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7681C4B">
      <w:pPr>
        <w:jc w:val="center"/>
        <w:rPr>
          <w:rStyle w:val="95"/>
          <w:rFonts w:eastAsia="黑体"/>
          <w:bCs/>
          <w:w w:val="70"/>
          <w:szCs w:val="21"/>
        </w:rPr>
      </w:pPr>
    </w:p>
    <w:p w14:paraId="1613F93E">
      <w:pPr>
        <w:pStyle w:val="85"/>
        <w:rPr>
          <w:rFonts w:ascii="Times New Roman" w:hAnsi="Times New Roman"/>
        </w:rPr>
      </w:pPr>
    </w:p>
    <w:p w14:paraId="5B7389D6">
      <w:pPr>
        <w:pStyle w:val="85"/>
        <w:rPr>
          <w:rFonts w:ascii="Times New Roman" w:hAnsi="Times New Roman"/>
        </w:rPr>
      </w:pPr>
    </w:p>
    <w:p w14:paraId="5540D89D">
      <w:pPr>
        <w:jc w:val="center"/>
        <w:rPr>
          <w:rStyle w:val="95"/>
          <w:rFonts w:eastAsia="黑体"/>
          <w:bCs/>
          <w:w w:val="70"/>
          <w:sz w:val="52"/>
          <w:szCs w:val="52"/>
        </w:rPr>
      </w:pPr>
      <w:r>
        <w:rPr>
          <w:rStyle w:val="95"/>
          <w:rFonts w:hint="eastAsia" w:eastAsia="黑体"/>
          <w:bCs/>
          <w:w w:val="70"/>
          <w:sz w:val="52"/>
          <w:szCs w:val="52"/>
          <w:u w:val="single"/>
        </w:rPr>
        <w:t xml:space="preserve"> </w:t>
      </w:r>
      <w:r>
        <w:rPr>
          <w:rStyle w:val="95"/>
          <w:rFonts w:hint="eastAsia" w:eastAsia="黑体"/>
          <w:bCs/>
          <w:w w:val="70"/>
          <w:sz w:val="52"/>
          <w:szCs w:val="52"/>
        </w:rPr>
        <w:t xml:space="preserve">        </w:t>
      </w:r>
    </w:p>
    <w:p w14:paraId="1ABF0D1E">
      <w:pPr>
        <w:pStyle w:val="19"/>
        <w:spacing w:before="360" w:beforeLines="150"/>
        <w:jc w:val="center"/>
        <w:rPr>
          <w:rFonts w:eastAsia="黑体"/>
          <w:sz w:val="32"/>
        </w:rPr>
      </w:pPr>
      <w:r>
        <w:rPr>
          <w:rFonts w:hint="eastAsia"/>
          <w:b/>
          <w:bCs/>
          <w:kern w:val="0"/>
          <w:sz w:val="44"/>
          <w:szCs w:val="44"/>
          <w:u w:val="single"/>
        </w:rPr>
        <w:t xml:space="preserve">            </w:t>
      </w:r>
      <w:r>
        <w:rPr>
          <w:rFonts w:hint="eastAsia"/>
          <w:b/>
          <w:bCs/>
          <w:kern w:val="0"/>
          <w:sz w:val="44"/>
          <w:szCs w:val="44"/>
        </w:rPr>
        <w:t>工程总承包</w:t>
      </w:r>
    </w:p>
    <w:p w14:paraId="024A0DAC">
      <w:pPr>
        <w:spacing w:after="120"/>
        <w:jc w:val="center"/>
        <w:rPr>
          <w:rStyle w:val="95"/>
        </w:rPr>
      </w:pPr>
    </w:p>
    <w:p w14:paraId="7C42C833">
      <w:pPr>
        <w:spacing w:after="120"/>
        <w:jc w:val="center"/>
        <w:rPr>
          <w:rStyle w:val="95"/>
        </w:rPr>
      </w:pPr>
    </w:p>
    <w:p w14:paraId="000E9545">
      <w:pPr>
        <w:spacing w:after="120"/>
        <w:jc w:val="center"/>
        <w:rPr>
          <w:rStyle w:val="95"/>
        </w:rPr>
      </w:pPr>
    </w:p>
    <w:p w14:paraId="1E3D2A9B">
      <w:pPr>
        <w:spacing w:after="120"/>
        <w:jc w:val="center"/>
        <w:rPr>
          <w:rStyle w:val="95"/>
        </w:rPr>
      </w:pPr>
    </w:p>
    <w:p w14:paraId="1CA4E232">
      <w:pPr>
        <w:spacing w:after="120"/>
        <w:jc w:val="center"/>
        <w:rPr>
          <w:rStyle w:val="95"/>
        </w:rPr>
      </w:pPr>
    </w:p>
    <w:p w14:paraId="6A5F97EE">
      <w:pPr>
        <w:spacing w:after="120"/>
        <w:jc w:val="center"/>
        <w:rPr>
          <w:rStyle w:val="95"/>
        </w:rPr>
      </w:pPr>
    </w:p>
    <w:p w14:paraId="445167B9">
      <w:pPr>
        <w:rPr>
          <w:rStyle w:val="95"/>
        </w:rPr>
      </w:pPr>
    </w:p>
    <w:p w14:paraId="53745669">
      <w:pPr>
        <w:spacing w:after="120"/>
        <w:jc w:val="center"/>
        <w:rPr>
          <w:rStyle w:val="95"/>
          <w:rFonts w:eastAsia="黑体"/>
          <w:sz w:val="72"/>
          <w:szCs w:val="72"/>
        </w:rPr>
      </w:pPr>
      <w:r>
        <w:rPr>
          <w:rStyle w:val="95"/>
          <w:rFonts w:hint="eastAsia" w:eastAsia="黑体"/>
          <w:sz w:val="72"/>
          <w:szCs w:val="72"/>
        </w:rPr>
        <w:t>招标文件</w:t>
      </w:r>
    </w:p>
    <w:p w14:paraId="370BB1D4">
      <w:pPr>
        <w:spacing w:after="120"/>
        <w:jc w:val="center"/>
        <w:rPr>
          <w:rStyle w:val="95"/>
          <w:b/>
        </w:rPr>
      </w:pPr>
    </w:p>
    <w:p w14:paraId="79015F99">
      <w:pPr>
        <w:rPr>
          <w:rStyle w:val="95"/>
        </w:rPr>
      </w:pPr>
      <w:r>
        <w:rPr>
          <w:rStyle w:val="95"/>
        </w:rPr>
        <w:tab/>
      </w:r>
      <w:r>
        <w:rPr>
          <w:rStyle w:val="95"/>
        </w:rPr>
        <w:tab/>
      </w:r>
    </w:p>
    <w:p w14:paraId="1F2EEB21">
      <w:pPr>
        <w:rPr>
          <w:rStyle w:val="95"/>
          <w:b/>
        </w:rPr>
      </w:pPr>
    </w:p>
    <w:p w14:paraId="6ECEF2C6">
      <w:pPr>
        <w:pStyle w:val="85"/>
        <w:rPr>
          <w:rStyle w:val="95"/>
          <w:rFonts w:ascii="Times New Roman" w:hAnsi="Times New Roman"/>
        </w:rPr>
      </w:pPr>
    </w:p>
    <w:p w14:paraId="123900F3">
      <w:pPr>
        <w:rPr>
          <w:rStyle w:val="95"/>
          <w:b/>
        </w:rPr>
      </w:pPr>
    </w:p>
    <w:p w14:paraId="074F7DCA">
      <w:pPr>
        <w:pStyle w:val="85"/>
        <w:rPr>
          <w:rStyle w:val="95"/>
          <w:rFonts w:ascii="Times New Roman" w:hAnsi="Times New Roman"/>
        </w:rPr>
      </w:pPr>
    </w:p>
    <w:p w14:paraId="58089C70">
      <w:pPr>
        <w:spacing w:after="120"/>
        <w:jc w:val="center"/>
        <w:rPr>
          <w:rStyle w:val="95"/>
          <w:b/>
        </w:rPr>
      </w:pPr>
    </w:p>
    <w:p w14:paraId="5675288C">
      <w:pPr>
        <w:spacing w:after="120"/>
        <w:jc w:val="center"/>
        <w:rPr>
          <w:rStyle w:val="95"/>
          <w:b/>
        </w:rPr>
      </w:pPr>
    </w:p>
    <w:p w14:paraId="64AC3FE0">
      <w:pPr>
        <w:spacing w:after="120"/>
        <w:jc w:val="center"/>
        <w:rPr>
          <w:rStyle w:val="95"/>
          <w:b/>
        </w:rPr>
      </w:pPr>
    </w:p>
    <w:p w14:paraId="1A9F4D6A">
      <w:pPr>
        <w:spacing w:after="120"/>
        <w:rPr>
          <w:rStyle w:val="95"/>
          <w:b/>
        </w:rPr>
      </w:pPr>
    </w:p>
    <w:p w14:paraId="124F8968">
      <w:pPr>
        <w:pStyle w:val="85"/>
        <w:rPr>
          <w:rFonts w:ascii="Times New Roman" w:hAnsi="Times New Roman"/>
        </w:rPr>
      </w:pPr>
    </w:p>
    <w:p w14:paraId="3E809D97">
      <w:pPr>
        <w:spacing w:before="480" w:after="120" w:line="460" w:lineRule="exact"/>
        <w:ind w:firstLine="1050" w:firstLineChars="350"/>
        <w:rPr>
          <w:rStyle w:val="95"/>
          <w:rFonts w:eastAsia="黑体"/>
          <w:sz w:val="30"/>
          <w:szCs w:val="30"/>
        </w:rPr>
      </w:pPr>
    </w:p>
    <w:p w14:paraId="6B93AE02">
      <w:pPr>
        <w:pStyle w:val="85"/>
        <w:rPr>
          <w:rFonts w:ascii="Times New Roman" w:hAnsi="Times New Roman"/>
        </w:rPr>
      </w:pPr>
    </w:p>
    <w:p w14:paraId="6F5A5BA1">
      <w:pPr>
        <w:pStyle w:val="85"/>
        <w:rPr>
          <w:rFonts w:ascii="Times New Roman" w:hAnsi="Times New Roman"/>
        </w:rPr>
      </w:pPr>
    </w:p>
    <w:p w14:paraId="631164C3">
      <w:pPr>
        <w:pStyle w:val="85"/>
        <w:rPr>
          <w:rStyle w:val="95"/>
          <w:rFonts w:ascii="Times New Roman" w:hAnsi="Times New Roman"/>
        </w:rPr>
      </w:pPr>
    </w:p>
    <w:p w14:paraId="11D10900">
      <w:pPr>
        <w:spacing w:after="120" w:line="460" w:lineRule="exact"/>
        <w:jc w:val="center"/>
        <w:rPr>
          <w:rStyle w:val="95"/>
        </w:rPr>
      </w:pPr>
      <w:r>
        <w:rPr>
          <w:rStyle w:val="95"/>
          <w:rFonts w:hint="eastAsia" w:eastAsia="黑体"/>
          <w:sz w:val="30"/>
          <w:szCs w:val="30"/>
        </w:rPr>
        <w:t xml:space="preserve">   年  月  日</w:t>
      </w:r>
    </w:p>
    <w:p w14:paraId="2A33758B">
      <w:pPr>
        <w:rPr>
          <w:rStyle w:val="95"/>
        </w:rPr>
      </w:pPr>
    </w:p>
    <w:p w14:paraId="0F78B42D">
      <w:pPr>
        <w:pStyle w:val="85"/>
        <w:rPr>
          <w:rFonts w:ascii="Times New Roman" w:hAnsi="Times New Roman"/>
        </w:rPr>
      </w:pPr>
    </w:p>
    <w:p w14:paraId="1C1B4CF1">
      <w:pPr>
        <w:rPr>
          <w:rStyle w:val="95"/>
          <w:sz w:val="24"/>
        </w:rPr>
      </w:pPr>
    </w:p>
    <w:p w14:paraId="4C631FD5">
      <w:pPr>
        <w:pStyle w:val="19"/>
        <w:rPr>
          <w:b/>
          <w:bCs/>
          <w:kern w:val="0"/>
          <w:sz w:val="44"/>
          <w:szCs w:val="44"/>
        </w:rPr>
      </w:pPr>
    </w:p>
    <w:p w14:paraId="62B1B5A1">
      <w:pPr>
        <w:pStyle w:val="19"/>
        <w:spacing w:before="360" w:beforeLines="150"/>
        <w:jc w:val="center"/>
        <w:rPr>
          <w:rFonts w:eastAsia="黑体"/>
          <w:sz w:val="32"/>
        </w:rPr>
      </w:pPr>
      <w:r>
        <w:rPr>
          <w:rFonts w:hint="eastAsia"/>
          <w:b/>
          <w:bCs/>
          <w:kern w:val="0"/>
          <w:sz w:val="44"/>
          <w:szCs w:val="44"/>
        </w:rPr>
        <w:t xml:space="preserve"> </w:t>
      </w:r>
      <w:r>
        <w:rPr>
          <w:rFonts w:hint="eastAsia"/>
          <w:b/>
          <w:bCs/>
          <w:kern w:val="0"/>
          <w:sz w:val="44"/>
          <w:szCs w:val="44"/>
          <w:u w:val="single"/>
        </w:rPr>
        <w:t xml:space="preserve">                  </w:t>
      </w:r>
      <w:r>
        <w:rPr>
          <w:rFonts w:hint="eastAsia"/>
          <w:b/>
          <w:bCs/>
          <w:kern w:val="0"/>
          <w:sz w:val="44"/>
          <w:szCs w:val="44"/>
        </w:rPr>
        <w:t>工程总承包</w:t>
      </w:r>
    </w:p>
    <w:p w14:paraId="5E2E39DA">
      <w:pPr>
        <w:rPr>
          <w:b/>
          <w:bCs/>
          <w:kern w:val="0"/>
          <w:sz w:val="44"/>
          <w:szCs w:val="44"/>
        </w:rPr>
      </w:pPr>
      <w:r>
        <w:rPr>
          <w:b/>
          <w:bCs/>
          <w:kern w:val="0"/>
          <w:sz w:val="48"/>
          <w:szCs w:val="48"/>
        </w:rPr>
        <w:t xml:space="preserve">  </w:t>
      </w:r>
      <w:r>
        <w:rPr>
          <w:b/>
          <w:bCs/>
          <w:kern w:val="0"/>
          <w:sz w:val="44"/>
          <w:szCs w:val="44"/>
        </w:rPr>
        <w:t xml:space="preserve"> </w:t>
      </w:r>
    </w:p>
    <w:p w14:paraId="637C14CB">
      <w:pPr>
        <w:pStyle w:val="85"/>
        <w:rPr>
          <w:rFonts w:ascii="Times New Roman" w:hAnsi="Times New Roman"/>
        </w:rPr>
      </w:pPr>
    </w:p>
    <w:p w14:paraId="2A521170">
      <w:pPr>
        <w:pStyle w:val="85"/>
        <w:rPr>
          <w:rFonts w:ascii="Times New Roman" w:hAnsi="Times New Roman"/>
        </w:rPr>
      </w:pPr>
    </w:p>
    <w:p w14:paraId="19DCD19B">
      <w:pPr>
        <w:pStyle w:val="85"/>
        <w:rPr>
          <w:rFonts w:ascii="Times New Roman" w:hAnsi="Times New Roman"/>
        </w:rPr>
      </w:pPr>
    </w:p>
    <w:p w14:paraId="657C5317">
      <w:pPr>
        <w:jc w:val="center"/>
        <w:rPr>
          <w:b/>
          <w:bCs/>
          <w:kern w:val="0"/>
          <w:sz w:val="72"/>
          <w:szCs w:val="72"/>
        </w:rPr>
      </w:pPr>
      <w:r>
        <w:rPr>
          <w:rFonts w:hint="eastAsia"/>
          <w:b/>
          <w:bCs/>
          <w:kern w:val="0"/>
          <w:sz w:val="72"/>
          <w:szCs w:val="72"/>
        </w:rPr>
        <w:t>招标文件</w:t>
      </w:r>
    </w:p>
    <w:p w14:paraId="28BEED93">
      <w:pPr>
        <w:pStyle w:val="19"/>
      </w:pPr>
    </w:p>
    <w:p w14:paraId="70EE4B61">
      <w:pPr>
        <w:pStyle w:val="19"/>
        <w:rPr>
          <w:sz w:val="30"/>
          <w:szCs w:val="30"/>
        </w:rPr>
      </w:pPr>
    </w:p>
    <w:p w14:paraId="325BC65D">
      <w:pPr>
        <w:pStyle w:val="19"/>
      </w:pPr>
      <w:r>
        <w:rPr>
          <w:sz w:val="30"/>
          <w:szCs w:val="30"/>
        </w:rPr>
        <w:t xml:space="preserve">                  </w:t>
      </w:r>
      <w:r>
        <w:rPr>
          <w:rFonts w:hint="eastAsia"/>
          <w:sz w:val="30"/>
          <w:szCs w:val="30"/>
        </w:rPr>
        <w:t xml:space="preserve"> </w:t>
      </w:r>
    </w:p>
    <w:p w14:paraId="2599875B">
      <w:pPr>
        <w:pStyle w:val="19"/>
      </w:pPr>
    </w:p>
    <w:p w14:paraId="4FF578D5">
      <w:pPr>
        <w:pStyle w:val="19"/>
      </w:pPr>
    </w:p>
    <w:p w14:paraId="647A51E2">
      <w:pPr>
        <w:pStyle w:val="19"/>
      </w:pPr>
    </w:p>
    <w:p w14:paraId="197FF0D5">
      <w:pPr>
        <w:pStyle w:val="19"/>
      </w:pPr>
    </w:p>
    <w:p w14:paraId="6BED96E6">
      <w:pPr>
        <w:pStyle w:val="19"/>
      </w:pPr>
    </w:p>
    <w:p w14:paraId="1D8BD492">
      <w:pPr>
        <w:pStyle w:val="19"/>
      </w:pPr>
    </w:p>
    <w:p w14:paraId="1F78E9F7">
      <w:pPr>
        <w:pStyle w:val="19"/>
      </w:pPr>
    </w:p>
    <w:p w14:paraId="657CAEAC">
      <w:pPr>
        <w:pStyle w:val="19"/>
      </w:pPr>
    </w:p>
    <w:p w14:paraId="604430DB">
      <w:pPr>
        <w:pStyle w:val="19"/>
      </w:pPr>
    </w:p>
    <w:p w14:paraId="5CA3E89E">
      <w:pPr>
        <w:pStyle w:val="19"/>
        <w:ind w:firstLine="1200" w:firstLineChars="400"/>
        <w:rPr>
          <w:sz w:val="30"/>
          <w:szCs w:val="30"/>
        </w:rPr>
      </w:pPr>
      <w:r>
        <w:rPr>
          <w:rFonts w:hint="eastAsia"/>
          <w:sz w:val="30"/>
          <w:szCs w:val="30"/>
        </w:rPr>
        <w:t>招</w:t>
      </w:r>
      <w:r>
        <w:rPr>
          <w:sz w:val="30"/>
          <w:szCs w:val="30"/>
        </w:rPr>
        <w:t xml:space="preserve">  </w:t>
      </w:r>
      <w:r>
        <w:rPr>
          <w:rFonts w:hint="eastAsia"/>
          <w:sz w:val="30"/>
          <w:szCs w:val="30"/>
        </w:rPr>
        <w:t>标</w:t>
      </w:r>
      <w:r>
        <w:rPr>
          <w:sz w:val="30"/>
          <w:szCs w:val="30"/>
        </w:rPr>
        <w:t xml:space="preserve">  </w:t>
      </w:r>
      <w:r>
        <w:rPr>
          <w:rFonts w:hint="eastAsia"/>
          <w:sz w:val="30"/>
          <w:szCs w:val="30"/>
        </w:rPr>
        <w:t>人：</w:t>
      </w:r>
      <w:r>
        <w:rPr>
          <w:rFonts w:hint="eastAsia"/>
          <w:sz w:val="30"/>
          <w:szCs w:val="30"/>
          <w:u w:val="single"/>
        </w:rPr>
        <w:t xml:space="preserve">                      </w:t>
      </w:r>
      <w:r>
        <w:rPr>
          <w:sz w:val="30"/>
          <w:szCs w:val="30"/>
          <w:u w:val="single"/>
        </w:rPr>
        <w:t xml:space="preserve"> </w:t>
      </w:r>
      <w:r>
        <w:rPr>
          <w:rFonts w:hint="eastAsia"/>
          <w:sz w:val="30"/>
          <w:szCs w:val="30"/>
        </w:rPr>
        <w:t>（章）</w:t>
      </w:r>
    </w:p>
    <w:p w14:paraId="3CC4E1F4">
      <w:pPr>
        <w:pStyle w:val="19"/>
        <w:jc w:val="center"/>
        <w:rPr>
          <w:sz w:val="30"/>
          <w:szCs w:val="30"/>
        </w:rPr>
      </w:pPr>
    </w:p>
    <w:p w14:paraId="46537641">
      <w:pPr>
        <w:pStyle w:val="19"/>
        <w:ind w:firstLine="1200" w:firstLineChars="400"/>
        <w:rPr>
          <w:sz w:val="30"/>
          <w:szCs w:val="30"/>
        </w:rPr>
      </w:pPr>
      <w:r>
        <w:rPr>
          <w:rFonts w:hint="eastAsia"/>
          <w:sz w:val="30"/>
          <w:szCs w:val="30"/>
        </w:rPr>
        <w:t>法定代表人：</w:t>
      </w:r>
      <w:r>
        <w:rPr>
          <w:sz w:val="30"/>
          <w:szCs w:val="30"/>
          <w:u w:val="single"/>
        </w:rPr>
        <w:t xml:space="preserve">                       </w:t>
      </w:r>
      <w:r>
        <w:rPr>
          <w:rFonts w:hint="eastAsia"/>
          <w:sz w:val="30"/>
          <w:szCs w:val="30"/>
        </w:rPr>
        <w:t>（签章）</w:t>
      </w:r>
    </w:p>
    <w:p w14:paraId="7FFFA067">
      <w:pPr>
        <w:pStyle w:val="19"/>
        <w:jc w:val="center"/>
        <w:rPr>
          <w:sz w:val="30"/>
          <w:szCs w:val="30"/>
        </w:rPr>
      </w:pPr>
    </w:p>
    <w:p w14:paraId="28956385">
      <w:pPr>
        <w:pStyle w:val="19"/>
        <w:ind w:firstLine="1200" w:firstLineChars="400"/>
        <w:rPr>
          <w:sz w:val="30"/>
          <w:szCs w:val="30"/>
        </w:rPr>
      </w:pPr>
      <w:r>
        <w:rPr>
          <w:rFonts w:hint="eastAsia"/>
          <w:sz w:val="30"/>
          <w:szCs w:val="30"/>
        </w:rPr>
        <w:t>招</w:t>
      </w:r>
      <w:r>
        <w:rPr>
          <w:sz w:val="30"/>
          <w:szCs w:val="30"/>
        </w:rPr>
        <w:t xml:space="preserve"> </w:t>
      </w:r>
      <w:r>
        <w:rPr>
          <w:rFonts w:hint="eastAsia"/>
          <w:sz w:val="30"/>
          <w:szCs w:val="30"/>
        </w:rPr>
        <w:t>标</w:t>
      </w:r>
      <w:r>
        <w:rPr>
          <w:sz w:val="30"/>
          <w:szCs w:val="30"/>
        </w:rPr>
        <w:t xml:space="preserve"> </w:t>
      </w:r>
      <w:r>
        <w:rPr>
          <w:rFonts w:hint="eastAsia"/>
          <w:sz w:val="30"/>
          <w:szCs w:val="30"/>
        </w:rPr>
        <w:t>代</w:t>
      </w:r>
      <w:r>
        <w:rPr>
          <w:sz w:val="30"/>
          <w:szCs w:val="30"/>
        </w:rPr>
        <w:t xml:space="preserve"> </w:t>
      </w:r>
      <w:r>
        <w:rPr>
          <w:rFonts w:hint="eastAsia"/>
          <w:sz w:val="30"/>
          <w:szCs w:val="30"/>
        </w:rPr>
        <w:t>理：</w:t>
      </w:r>
      <w:r>
        <w:rPr>
          <w:rFonts w:hint="eastAsia"/>
          <w:sz w:val="30"/>
          <w:szCs w:val="30"/>
          <w:u w:val="single"/>
        </w:rPr>
        <w:t xml:space="preserve">                           </w:t>
      </w:r>
      <w:r>
        <w:rPr>
          <w:rFonts w:hint="eastAsia"/>
          <w:sz w:val="30"/>
          <w:szCs w:val="30"/>
        </w:rPr>
        <w:t>（章）</w:t>
      </w:r>
    </w:p>
    <w:p w14:paraId="70A6693D">
      <w:pPr>
        <w:pStyle w:val="19"/>
        <w:jc w:val="center"/>
        <w:rPr>
          <w:sz w:val="30"/>
          <w:szCs w:val="30"/>
        </w:rPr>
      </w:pPr>
    </w:p>
    <w:p w14:paraId="14ED56C7">
      <w:pPr>
        <w:pStyle w:val="19"/>
        <w:ind w:firstLine="1200" w:firstLineChars="400"/>
        <w:rPr>
          <w:rStyle w:val="95"/>
          <w:sz w:val="24"/>
        </w:rPr>
      </w:pPr>
      <w:r>
        <w:rPr>
          <w:rFonts w:hint="eastAsia"/>
          <w:sz w:val="30"/>
          <w:szCs w:val="30"/>
        </w:rPr>
        <w:t>法定代表人：</w:t>
      </w:r>
      <w:r>
        <w:rPr>
          <w:sz w:val="30"/>
          <w:szCs w:val="30"/>
          <w:u w:val="single"/>
        </w:rPr>
        <w:t xml:space="preserve">                       </w:t>
      </w:r>
      <w:r>
        <w:rPr>
          <w:rFonts w:hint="eastAsia"/>
          <w:sz w:val="30"/>
          <w:szCs w:val="30"/>
        </w:rPr>
        <w:t>（签章）</w:t>
      </w:r>
    </w:p>
    <w:p w14:paraId="2445AA98">
      <w:pPr>
        <w:pStyle w:val="85"/>
        <w:rPr>
          <w:rStyle w:val="95"/>
          <w:rFonts w:ascii="Times New Roman" w:hAnsi="Times New Roman"/>
        </w:rPr>
      </w:pPr>
    </w:p>
    <w:p w14:paraId="03C3F412">
      <w:pPr>
        <w:pStyle w:val="355"/>
        <w:tabs>
          <w:tab w:val="right" w:leader="dot" w:pos="9356"/>
        </w:tabs>
        <w:spacing w:before="240"/>
        <w:jc w:val="center"/>
        <w:rPr>
          <w:rStyle w:val="95"/>
          <w:sz w:val="48"/>
          <w:szCs w:val="48"/>
        </w:rPr>
      </w:pPr>
      <w:r>
        <w:rPr>
          <w:rStyle w:val="95"/>
          <w:sz w:val="48"/>
          <w:szCs w:val="48"/>
        </w:rPr>
        <w:t>目  录</w:t>
      </w:r>
    </w:p>
    <w:p w14:paraId="2080CA9A">
      <w:pPr>
        <w:pStyle w:val="85"/>
        <w:jc w:val="left"/>
        <w:rPr>
          <w:rStyle w:val="95"/>
          <w:rFonts w:ascii="Times New Roman" w:hAnsi="Times New Roman"/>
          <w:b/>
          <w:bCs/>
          <w:sz w:val="28"/>
          <w:szCs w:val="28"/>
        </w:rPr>
      </w:pPr>
      <w:r>
        <w:rPr>
          <w:rStyle w:val="95"/>
          <w:rFonts w:ascii="Times New Roman" w:hAnsi="Times New Roman"/>
          <w:b/>
          <w:bCs/>
          <w:sz w:val="28"/>
          <w:szCs w:val="28"/>
        </w:rPr>
        <w:t>第一卷  商务文件</w:t>
      </w:r>
      <w:r>
        <w:rPr>
          <w:rStyle w:val="95"/>
          <w:rFonts w:hint="eastAsia" w:ascii="Times New Roman" w:hAnsi="Times New Roman"/>
          <w:b/>
          <w:bCs/>
          <w:sz w:val="28"/>
          <w:szCs w:val="28"/>
        </w:rPr>
        <w:t>..........................................................................................1</w:t>
      </w:r>
    </w:p>
    <w:p w14:paraId="3AD61A59">
      <w:pPr>
        <w:pStyle w:val="85"/>
        <w:ind w:firstLine="120" w:firstLineChars="50"/>
        <w:jc w:val="left"/>
        <w:rPr>
          <w:rStyle w:val="95"/>
          <w:rFonts w:ascii="Times New Roman" w:hAnsi="Times New Roman"/>
          <w:szCs w:val="24"/>
        </w:rPr>
      </w:pPr>
      <w:r>
        <w:rPr>
          <w:rStyle w:val="95"/>
          <w:rFonts w:ascii="Times New Roman" w:hAnsi="Times New Roman"/>
          <w:szCs w:val="24"/>
        </w:rPr>
        <w:t>第一章 招标公告</w:t>
      </w:r>
      <w:r>
        <w:rPr>
          <w:rFonts w:hint="eastAsia" w:ascii="Times New Roman" w:hAnsi="Times New Roman"/>
          <w:b/>
          <w:bCs/>
          <w:szCs w:val="24"/>
        </w:rPr>
        <w:t>...............................................................................................................2</w:t>
      </w:r>
    </w:p>
    <w:p w14:paraId="66FAD3A6">
      <w:pPr>
        <w:pStyle w:val="85"/>
        <w:ind w:firstLine="120" w:firstLineChars="50"/>
        <w:jc w:val="left"/>
        <w:rPr>
          <w:rStyle w:val="95"/>
          <w:rFonts w:ascii="Times New Roman" w:hAnsi="Times New Roman"/>
          <w:szCs w:val="24"/>
        </w:rPr>
      </w:pPr>
      <w:r>
        <w:rPr>
          <w:rStyle w:val="95"/>
          <w:rFonts w:ascii="Times New Roman" w:hAnsi="Times New Roman"/>
          <w:szCs w:val="24"/>
        </w:rPr>
        <w:t>第二章 投标人须知</w:t>
      </w:r>
      <w:r>
        <w:rPr>
          <w:rFonts w:hint="eastAsia" w:ascii="Times New Roman" w:hAnsi="Times New Roman"/>
          <w:b/>
          <w:bCs/>
          <w:szCs w:val="24"/>
        </w:rPr>
        <w:t>...........................................................................................................5</w:t>
      </w:r>
    </w:p>
    <w:p w14:paraId="0D1A3D6C">
      <w:pPr>
        <w:pStyle w:val="85"/>
        <w:ind w:firstLine="480" w:firstLineChars="200"/>
        <w:jc w:val="left"/>
        <w:rPr>
          <w:rStyle w:val="95"/>
          <w:rFonts w:ascii="Times New Roman" w:hAnsi="Times New Roman"/>
          <w:szCs w:val="24"/>
        </w:rPr>
      </w:pPr>
      <w:r>
        <w:rPr>
          <w:rStyle w:val="95"/>
          <w:rFonts w:ascii="Times New Roman" w:hAnsi="Times New Roman"/>
          <w:szCs w:val="24"/>
        </w:rPr>
        <w:t>一、投标人须知前附表</w:t>
      </w:r>
      <w:r>
        <w:rPr>
          <w:rFonts w:hint="eastAsia" w:ascii="Times New Roman" w:hAnsi="Times New Roman"/>
          <w:b/>
          <w:bCs/>
          <w:szCs w:val="24"/>
        </w:rPr>
        <w:t>...............................................................................................5</w:t>
      </w:r>
    </w:p>
    <w:p w14:paraId="237F3420">
      <w:pPr>
        <w:pStyle w:val="85"/>
        <w:ind w:firstLine="480" w:firstLineChars="200"/>
        <w:jc w:val="left"/>
        <w:rPr>
          <w:rFonts w:hint="eastAsia" w:ascii="Times New Roman" w:hAnsi="Times New Roman"/>
          <w:b/>
          <w:bCs/>
          <w:szCs w:val="24"/>
        </w:rPr>
      </w:pPr>
      <w:r>
        <w:rPr>
          <w:rStyle w:val="95"/>
          <w:rFonts w:ascii="Times New Roman" w:hAnsi="Times New Roman"/>
          <w:szCs w:val="24"/>
        </w:rPr>
        <w:t>二、投标人须知正文</w:t>
      </w:r>
      <w:r>
        <w:rPr>
          <w:rFonts w:hint="eastAsia" w:ascii="Times New Roman" w:hAnsi="Times New Roman"/>
          <w:b/>
          <w:bCs/>
          <w:szCs w:val="24"/>
        </w:rPr>
        <w:t>...................................................................................................13</w:t>
      </w:r>
    </w:p>
    <w:p w14:paraId="24043F21">
      <w:pPr>
        <w:pStyle w:val="85"/>
        <w:ind w:firstLine="480" w:firstLineChars="200"/>
        <w:jc w:val="left"/>
        <w:rPr>
          <w:rFonts w:hint="default" w:ascii="Times New Roman" w:hAnsi="Times New Roman" w:eastAsia="宋体"/>
          <w:b/>
          <w:bCs/>
          <w:szCs w:val="24"/>
          <w:lang w:val="en-US" w:eastAsia="zh-CN"/>
        </w:rPr>
      </w:pPr>
      <w:r>
        <w:rPr>
          <w:rStyle w:val="95"/>
          <w:rFonts w:hint="eastAsia" w:ascii="Times New Roman" w:hAnsi="Times New Roman"/>
          <w:szCs w:val="24"/>
          <w:lang w:eastAsia="zh-CN"/>
        </w:rPr>
        <w:t>三</w:t>
      </w:r>
      <w:r>
        <w:rPr>
          <w:rStyle w:val="95"/>
          <w:rFonts w:ascii="Times New Roman" w:hAnsi="Times New Roman"/>
          <w:szCs w:val="24"/>
        </w:rPr>
        <w:t>、</w:t>
      </w:r>
      <w:r>
        <w:rPr>
          <w:rStyle w:val="95"/>
          <w:rFonts w:hint="eastAsia" w:ascii="Times New Roman" w:hAnsi="Times New Roman"/>
          <w:szCs w:val="24"/>
          <w:lang w:eastAsia="zh-CN"/>
        </w:rPr>
        <w:t>开、评、定标程序</w:t>
      </w:r>
      <w:r>
        <w:rPr>
          <w:rStyle w:val="95"/>
          <w:rFonts w:hint="eastAsia" w:ascii="Times New Roman" w:hAnsi="Times New Roman"/>
          <w:szCs w:val="24"/>
          <w:lang w:val="en-US" w:eastAsia="zh-CN"/>
        </w:rPr>
        <w:t xml:space="preserve"> </w:t>
      </w:r>
      <w:r>
        <w:rPr>
          <w:rFonts w:hint="eastAsia" w:ascii="Times New Roman" w:hAnsi="Times New Roman"/>
          <w:b/>
          <w:bCs/>
          <w:szCs w:val="24"/>
        </w:rPr>
        <w:t>............................................................................................</w:t>
      </w:r>
      <w:r>
        <w:rPr>
          <w:rFonts w:hint="eastAsia" w:ascii="Times New Roman" w:hAnsi="Times New Roman"/>
          <w:b/>
          <w:bCs/>
          <w:szCs w:val="24"/>
          <w:lang w:val="en-US" w:eastAsia="zh-CN"/>
        </w:rPr>
        <w:t>27</w:t>
      </w:r>
    </w:p>
    <w:p w14:paraId="62EC27B1">
      <w:pPr>
        <w:pStyle w:val="85"/>
        <w:ind w:firstLine="120" w:firstLineChars="50"/>
        <w:jc w:val="left"/>
        <w:rPr>
          <w:rStyle w:val="95"/>
          <w:rFonts w:ascii="Times New Roman" w:hAnsi="Times New Roman"/>
          <w:szCs w:val="24"/>
        </w:rPr>
      </w:pPr>
      <w:r>
        <w:rPr>
          <w:rStyle w:val="95"/>
          <w:rFonts w:ascii="Times New Roman" w:hAnsi="Times New Roman"/>
          <w:szCs w:val="24"/>
        </w:rPr>
        <w:t>第三章 评标办法和标准（综合评估法）</w:t>
      </w:r>
      <w:r>
        <w:rPr>
          <w:rFonts w:hint="eastAsia" w:ascii="Times New Roman" w:hAnsi="Times New Roman"/>
          <w:b/>
          <w:bCs/>
          <w:szCs w:val="24"/>
        </w:rPr>
        <w:t>.......................................................................27</w:t>
      </w:r>
    </w:p>
    <w:p w14:paraId="6A6A6565">
      <w:pPr>
        <w:pStyle w:val="85"/>
        <w:ind w:firstLine="480" w:firstLineChars="200"/>
        <w:jc w:val="left"/>
        <w:rPr>
          <w:rStyle w:val="95"/>
          <w:rFonts w:ascii="Times New Roman" w:hAnsi="Times New Roman"/>
          <w:szCs w:val="24"/>
        </w:rPr>
      </w:pPr>
      <w:r>
        <w:rPr>
          <w:rStyle w:val="95"/>
          <w:rFonts w:ascii="Times New Roman" w:hAnsi="Times New Roman"/>
          <w:szCs w:val="24"/>
        </w:rPr>
        <w:t>一、评标办法前附表</w:t>
      </w:r>
      <w:r>
        <w:rPr>
          <w:rFonts w:hint="eastAsia" w:ascii="Times New Roman" w:hAnsi="Times New Roman"/>
          <w:b/>
          <w:bCs/>
          <w:szCs w:val="24"/>
        </w:rPr>
        <w:t>...................................................................................................27</w:t>
      </w:r>
    </w:p>
    <w:p w14:paraId="220BBBD6">
      <w:pPr>
        <w:pStyle w:val="85"/>
        <w:ind w:firstLine="480" w:firstLineChars="200"/>
        <w:jc w:val="left"/>
        <w:rPr>
          <w:rStyle w:val="95"/>
          <w:rFonts w:ascii="Times New Roman" w:hAnsi="Times New Roman"/>
          <w:szCs w:val="24"/>
        </w:rPr>
      </w:pPr>
      <w:r>
        <w:rPr>
          <w:rStyle w:val="95"/>
          <w:rFonts w:ascii="Times New Roman" w:hAnsi="Times New Roman"/>
          <w:szCs w:val="24"/>
        </w:rPr>
        <w:t>二、评标办法正文</w:t>
      </w:r>
      <w:r>
        <w:rPr>
          <w:rFonts w:hint="eastAsia" w:ascii="Times New Roman" w:hAnsi="Times New Roman"/>
          <w:b/>
          <w:bCs/>
          <w:szCs w:val="24"/>
        </w:rPr>
        <w:t>.......................................................................................................30</w:t>
      </w:r>
    </w:p>
    <w:p w14:paraId="7B447965">
      <w:pPr>
        <w:pStyle w:val="85"/>
        <w:ind w:firstLine="120" w:firstLineChars="50"/>
        <w:jc w:val="left"/>
        <w:rPr>
          <w:rStyle w:val="95"/>
          <w:rFonts w:ascii="Times New Roman" w:hAnsi="Times New Roman"/>
          <w:szCs w:val="24"/>
        </w:rPr>
      </w:pPr>
      <w:r>
        <w:rPr>
          <w:rStyle w:val="95"/>
          <w:rFonts w:ascii="Times New Roman" w:hAnsi="Times New Roman"/>
          <w:szCs w:val="24"/>
        </w:rPr>
        <w:t>第四章 合同条款及格式</w:t>
      </w:r>
      <w:r>
        <w:rPr>
          <w:rFonts w:hint="eastAsia" w:ascii="Times New Roman" w:hAnsi="Times New Roman"/>
          <w:b/>
          <w:bCs/>
          <w:szCs w:val="24"/>
        </w:rPr>
        <w:t>...................................................................................................35</w:t>
      </w:r>
    </w:p>
    <w:p w14:paraId="25EC928D">
      <w:pPr>
        <w:pStyle w:val="85"/>
        <w:ind w:firstLine="480" w:firstLineChars="200"/>
        <w:jc w:val="left"/>
        <w:rPr>
          <w:rStyle w:val="95"/>
          <w:rFonts w:ascii="Times New Roman" w:hAnsi="Times New Roman"/>
          <w:szCs w:val="24"/>
        </w:rPr>
      </w:pPr>
      <w:r>
        <w:rPr>
          <w:rStyle w:val="95"/>
          <w:rFonts w:ascii="Times New Roman" w:hAnsi="Times New Roman"/>
          <w:szCs w:val="24"/>
        </w:rPr>
        <w:t>第一部分 合同协议书</w:t>
      </w:r>
      <w:r>
        <w:rPr>
          <w:rFonts w:hint="eastAsia" w:ascii="Times New Roman" w:hAnsi="Times New Roman"/>
          <w:b/>
          <w:bCs/>
          <w:szCs w:val="24"/>
        </w:rPr>
        <w:t>.................................................................................................40</w:t>
      </w:r>
    </w:p>
    <w:p w14:paraId="48783AE7">
      <w:pPr>
        <w:pStyle w:val="85"/>
        <w:ind w:firstLine="480" w:firstLineChars="200"/>
        <w:jc w:val="left"/>
        <w:rPr>
          <w:rStyle w:val="95"/>
          <w:rFonts w:ascii="Times New Roman" w:hAnsi="Times New Roman"/>
          <w:szCs w:val="24"/>
        </w:rPr>
      </w:pPr>
      <w:r>
        <w:rPr>
          <w:rStyle w:val="95"/>
          <w:rFonts w:ascii="Times New Roman" w:hAnsi="Times New Roman"/>
          <w:szCs w:val="24"/>
        </w:rPr>
        <w:t>第二部分 通用条款</w:t>
      </w:r>
      <w:r>
        <w:rPr>
          <w:rFonts w:hint="eastAsia" w:ascii="Times New Roman" w:hAnsi="Times New Roman"/>
          <w:b/>
          <w:bCs/>
          <w:szCs w:val="24"/>
        </w:rPr>
        <w:t>.....................................................................................................42</w:t>
      </w:r>
    </w:p>
    <w:p w14:paraId="0AE9133E">
      <w:pPr>
        <w:pStyle w:val="85"/>
        <w:ind w:firstLine="600" w:firstLineChars="250"/>
        <w:jc w:val="left"/>
        <w:rPr>
          <w:rStyle w:val="95"/>
          <w:rFonts w:ascii="Times New Roman" w:hAnsi="Times New Roman"/>
          <w:szCs w:val="24"/>
        </w:rPr>
      </w:pPr>
      <w:r>
        <w:rPr>
          <w:rStyle w:val="95"/>
          <w:rFonts w:ascii="Times New Roman" w:hAnsi="Times New Roman"/>
          <w:szCs w:val="24"/>
        </w:rPr>
        <w:t>第一条 一般约定</w:t>
      </w:r>
      <w:r>
        <w:rPr>
          <w:rFonts w:hint="eastAsia" w:ascii="Times New Roman" w:hAnsi="Times New Roman"/>
          <w:b/>
          <w:bCs/>
          <w:szCs w:val="24"/>
        </w:rPr>
        <w:t>.......................................................................................................42</w:t>
      </w:r>
    </w:p>
    <w:p w14:paraId="4AC77B66">
      <w:pPr>
        <w:pStyle w:val="85"/>
        <w:ind w:firstLine="600" w:firstLineChars="250"/>
        <w:jc w:val="left"/>
        <w:rPr>
          <w:rStyle w:val="95"/>
          <w:rFonts w:ascii="Times New Roman" w:hAnsi="Times New Roman"/>
          <w:szCs w:val="24"/>
        </w:rPr>
      </w:pPr>
      <w:r>
        <w:rPr>
          <w:rStyle w:val="95"/>
          <w:rFonts w:ascii="Times New Roman" w:hAnsi="Times New Roman"/>
          <w:szCs w:val="24"/>
        </w:rPr>
        <w:t>第二条 发包人</w:t>
      </w:r>
      <w:r>
        <w:rPr>
          <w:rFonts w:hint="eastAsia" w:ascii="Times New Roman" w:hAnsi="Times New Roman"/>
          <w:b/>
          <w:bCs/>
          <w:szCs w:val="24"/>
        </w:rPr>
        <w:t>...........................................................................................................47</w:t>
      </w:r>
    </w:p>
    <w:p w14:paraId="505B75DC">
      <w:pPr>
        <w:pStyle w:val="85"/>
        <w:ind w:firstLine="600" w:firstLineChars="250"/>
        <w:jc w:val="left"/>
        <w:rPr>
          <w:rStyle w:val="95"/>
          <w:rFonts w:ascii="Times New Roman" w:hAnsi="Times New Roman"/>
          <w:szCs w:val="24"/>
        </w:rPr>
      </w:pPr>
      <w:r>
        <w:rPr>
          <w:rStyle w:val="95"/>
          <w:rFonts w:ascii="Times New Roman" w:hAnsi="Times New Roman"/>
          <w:szCs w:val="24"/>
        </w:rPr>
        <w:t>第三条 承包人</w:t>
      </w:r>
      <w:r>
        <w:rPr>
          <w:rFonts w:hint="eastAsia" w:ascii="Times New Roman" w:hAnsi="Times New Roman"/>
          <w:b/>
          <w:bCs/>
          <w:szCs w:val="24"/>
        </w:rPr>
        <w:t>...........................................................................................................48</w:t>
      </w:r>
    </w:p>
    <w:p w14:paraId="31E85ACF">
      <w:pPr>
        <w:pStyle w:val="85"/>
        <w:ind w:firstLine="600" w:firstLineChars="250"/>
        <w:jc w:val="left"/>
        <w:rPr>
          <w:rStyle w:val="95"/>
          <w:rFonts w:ascii="Times New Roman" w:hAnsi="Times New Roman"/>
          <w:szCs w:val="24"/>
        </w:rPr>
      </w:pPr>
      <w:r>
        <w:rPr>
          <w:rStyle w:val="95"/>
          <w:rFonts w:ascii="Times New Roman" w:hAnsi="Times New Roman"/>
          <w:szCs w:val="24"/>
        </w:rPr>
        <w:t>第四条 进度计划、延误和暂停</w:t>
      </w:r>
      <w:r>
        <w:rPr>
          <w:rFonts w:hint="eastAsia" w:ascii="Times New Roman" w:hAnsi="Times New Roman"/>
          <w:b/>
          <w:bCs/>
          <w:szCs w:val="24"/>
        </w:rPr>
        <w:t>...............................................................................51</w:t>
      </w:r>
    </w:p>
    <w:p w14:paraId="047DEAB6">
      <w:pPr>
        <w:pStyle w:val="85"/>
        <w:ind w:firstLine="600" w:firstLineChars="250"/>
        <w:jc w:val="left"/>
        <w:rPr>
          <w:rStyle w:val="95"/>
          <w:rFonts w:ascii="Times New Roman" w:hAnsi="Times New Roman"/>
          <w:szCs w:val="24"/>
        </w:rPr>
      </w:pPr>
      <w:r>
        <w:rPr>
          <w:rStyle w:val="95"/>
          <w:rFonts w:ascii="Times New Roman" w:hAnsi="Times New Roman"/>
          <w:szCs w:val="24"/>
        </w:rPr>
        <w:t>第五条 技术与设计</w:t>
      </w:r>
      <w:r>
        <w:rPr>
          <w:rFonts w:hint="eastAsia" w:ascii="Times New Roman" w:hAnsi="Times New Roman"/>
          <w:b/>
          <w:bCs/>
          <w:szCs w:val="24"/>
        </w:rPr>
        <w:t>...................................................................................................56</w:t>
      </w:r>
    </w:p>
    <w:p w14:paraId="2B0BAD82">
      <w:pPr>
        <w:pStyle w:val="85"/>
        <w:ind w:firstLine="600" w:firstLineChars="250"/>
        <w:jc w:val="left"/>
        <w:rPr>
          <w:rStyle w:val="95"/>
          <w:rFonts w:ascii="Times New Roman" w:hAnsi="Times New Roman"/>
          <w:szCs w:val="24"/>
        </w:rPr>
      </w:pPr>
      <w:r>
        <w:rPr>
          <w:rStyle w:val="95"/>
          <w:rFonts w:ascii="Times New Roman" w:hAnsi="Times New Roman"/>
          <w:szCs w:val="24"/>
        </w:rPr>
        <w:t>第六条 工程物资</w:t>
      </w:r>
      <w:r>
        <w:rPr>
          <w:rFonts w:hint="eastAsia" w:ascii="Times New Roman" w:hAnsi="Times New Roman"/>
          <w:b/>
          <w:bCs/>
          <w:szCs w:val="24"/>
        </w:rPr>
        <w:t>.......................................................................................................59</w:t>
      </w:r>
    </w:p>
    <w:p w14:paraId="09D67DEF">
      <w:pPr>
        <w:pStyle w:val="85"/>
        <w:ind w:firstLine="600" w:firstLineChars="250"/>
        <w:jc w:val="left"/>
        <w:rPr>
          <w:rStyle w:val="95"/>
          <w:rFonts w:ascii="Times New Roman" w:hAnsi="Times New Roman"/>
          <w:szCs w:val="24"/>
        </w:rPr>
      </w:pPr>
      <w:r>
        <w:rPr>
          <w:rStyle w:val="95"/>
          <w:rFonts w:ascii="Times New Roman" w:hAnsi="Times New Roman"/>
          <w:szCs w:val="24"/>
        </w:rPr>
        <w:t>第七条 施工</w:t>
      </w:r>
      <w:r>
        <w:rPr>
          <w:rFonts w:hint="eastAsia" w:ascii="Times New Roman" w:hAnsi="Times New Roman"/>
          <w:b/>
          <w:bCs/>
          <w:szCs w:val="24"/>
        </w:rPr>
        <w:t>...............................................................................................................63</w:t>
      </w:r>
    </w:p>
    <w:p w14:paraId="42F9BAB2">
      <w:pPr>
        <w:pStyle w:val="85"/>
        <w:ind w:firstLine="600" w:firstLineChars="250"/>
        <w:jc w:val="left"/>
        <w:rPr>
          <w:rStyle w:val="95"/>
          <w:rFonts w:ascii="Times New Roman" w:hAnsi="Times New Roman"/>
          <w:szCs w:val="24"/>
        </w:rPr>
      </w:pPr>
      <w:r>
        <w:rPr>
          <w:rStyle w:val="95"/>
          <w:rFonts w:ascii="Times New Roman" w:hAnsi="Times New Roman"/>
          <w:szCs w:val="24"/>
        </w:rPr>
        <w:t>第八条 竣工试验</w:t>
      </w:r>
      <w:r>
        <w:rPr>
          <w:rFonts w:hint="eastAsia" w:ascii="Times New Roman" w:hAnsi="Times New Roman"/>
          <w:b/>
          <w:bCs/>
          <w:szCs w:val="24"/>
        </w:rPr>
        <w:t>.......................................................................................................73</w:t>
      </w:r>
    </w:p>
    <w:p w14:paraId="62C95406">
      <w:pPr>
        <w:pStyle w:val="85"/>
        <w:ind w:firstLine="600" w:firstLineChars="250"/>
        <w:jc w:val="left"/>
        <w:rPr>
          <w:rStyle w:val="95"/>
          <w:rFonts w:ascii="Times New Roman" w:hAnsi="Times New Roman"/>
          <w:szCs w:val="24"/>
        </w:rPr>
      </w:pPr>
      <w:r>
        <w:rPr>
          <w:rStyle w:val="95"/>
          <w:rFonts w:ascii="Times New Roman" w:hAnsi="Times New Roman"/>
          <w:szCs w:val="24"/>
        </w:rPr>
        <w:t>第九条 工程接收</w:t>
      </w:r>
      <w:r>
        <w:rPr>
          <w:rFonts w:hint="eastAsia" w:ascii="Times New Roman" w:hAnsi="Times New Roman"/>
          <w:b/>
          <w:bCs/>
          <w:szCs w:val="24"/>
        </w:rPr>
        <w:t>.......................................................................................................79</w:t>
      </w:r>
    </w:p>
    <w:p w14:paraId="7E89B496">
      <w:pPr>
        <w:pStyle w:val="85"/>
        <w:ind w:firstLine="600" w:firstLineChars="250"/>
        <w:jc w:val="left"/>
        <w:rPr>
          <w:rStyle w:val="95"/>
          <w:rFonts w:ascii="Times New Roman" w:hAnsi="Times New Roman"/>
          <w:szCs w:val="24"/>
        </w:rPr>
      </w:pPr>
      <w:r>
        <w:rPr>
          <w:rStyle w:val="95"/>
          <w:rFonts w:ascii="Times New Roman" w:hAnsi="Times New Roman"/>
          <w:szCs w:val="24"/>
        </w:rPr>
        <w:t>第十条 竣工后试验</w:t>
      </w:r>
      <w:r>
        <w:rPr>
          <w:rFonts w:hint="eastAsia" w:ascii="Times New Roman" w:hAnsi="Times New Roman"/>
          <w:b/>
          <w:bCs/>
          <w:szCs w:val="24"/>
        </w:rPr>
        <w:t>...................................................................................................80</w:t>
      </w:r>
    </w:p>
    <w:p w14:paraId="1F4B00BC">
      <w:pPr>
        <w:pStyle w:val="85"/>
        <w:ind w:firstLine="600" w:firstLineChars="250"/>
        <w:jc w:val="left"/>
        <w:rPr>
          <w:rStyle w:val="95"/>
          <w:rFonts w:ascii="Times New Roman" w:hAnsi="Times New Roman"/>
          <w:szCs w:val="24"/>
        </w:rPr>
      </w:pPr>
      <w:r>
        <w:rPr>
          <w:rStyle w:val="95"/>
          <w:rFonts w:ascii="Times New Roman" w:hAnsi="Times New Roman"/>
          <w:szCs w:val="24"/>
        </w:rPr>
        <w:t>第十一条 质量保修责任</w:t>
      </w:r>
      <w:r>
        <w:rPr>
          <w:rFonts w:hint="eastAsia" w:ascii="Times New Roman" w:hAnsi="Times New Roman"/>
          <w:b/>
          <w:bCs/>
          <w:szCs w:val="24"/>
        </w:rPr>
        <w:t>...........................................................................................85</w:t>
      </w:r>
    </w:p>
    <w:p w14:paraId="78C81CBD">
      <w:pPr>
        <w:pStyle w:val="85"/>
        <w:ind w:firstLine="600" w:firstLineChars="250"/>
        <w:jc w:val="left"/>
        <w:rPr>
          <w:rStyle w:val="95"/>
          <w:rFonts w:ascii="Times New Roman" w:hAnsi="Times New Roman"/>
          <w:szCs w:val="24"/>
        </w:rPr>
      </w:pPr>
      <w:r>
        <w:rPr>
          <w:rStyle w:val="95"/>
          <w:rFonts w:ascii="Times New Roman" w:hAnsi="Times New Roman"/>
          <w:szCs w:val="24"/>
        </w:rPr>
        <w:t>第十二条 工程竣工验收</w:t>
      </w:r>
      <w:r>
        <w:rPr>
          <w:rFonts w:hint="eastAsia" w:ascii="Times New Roman" w:hAnsi="Times New Roman"/>
          <w:b/>
          <w:bCs/>
          <w:szCs w:val="24"/>
        </w:rPr>
        <w:t>...........................................................................................86</w:t>
      </w:r>
    </w:p>
    <w:p w14:paraId="0F5B7D0B">
      <w:pPr>
        <w:pStyle w:val="85"/>
        <w:ind w:firstLine="600" w:firstLineChars="250"/>
        <w:jc w:val="left"/>
        <w:rPr>
          <w:rStyle w:val="95"/>
          <w:rFonts w:ascii="Times New Roman" w:hAnsi="Times New Roman"/>
          <w:szCs w:val="24"/>
        </w:rPr>
      </w:pPr>
      <w:r>
        <w:rPr>
          <w:rStyle w:val="95"/>
          <w:rFonts w:ascii="Times New Roman" w:hAnsi="Times New Roman"/>
          <w:szCs w:val="24"/>
        </w:rPr>
        <w:t>第十三条 变更和合同价格调整</w:t>
      </w:r>
      <w:r>
        <w:rPr>
          <w:rFonts w:hint="eastAsia" w:ascii="Times New Roman" w:hAnsi="Times New Roman"/>
          <w:b/>
          <w:bCs/>
          <w:szCs w:val="24"/>
        </w:rPr>
        <w:t>...............................................................................86</w:t>
      </w:r>
    </w:p>
    <w:p w14:paraId="216DB2C6">
      <w:pPr>
        <w:pStyle w:val="85"/>
        <w:ind w:firstLine="600" w:firstLineChars="250"/>
        <w:jc w:val="left"/>
        <w:rPr>
          <w:rStyle w:val="95"/>
          <w:rFonts w:ascii="Times New Roman" w:hAnsi="Times New Roman"/>
          <w:szCs w:val="24"/>
        </w:rPr>
      </w:pPr>
      <w:r>
        <w:rPr>
          <w:rStyle w:val="95"/>
          <w:rFonts w:ascii="Times New Roman" w:hAnsi="Times New Roman"/>
          <w:szCs w:val="24"/>
        </w:rPr>
        <w:t>第十四条 合同总价和付款</w:t>
      </w:r>
      <w:r>
        <w:rPr>
          <w:rFonts w:hint="eastAsia" w:ascii="Times New Roman" w:hAnsi="Times New Roman"/>
          <w:b/>
          <w:bCs/>
          <w:szCs w:val="24"/>
        </w:rPr>
        <w:t>.......................................................................................91</w:t>
      </w:r>
    </w:p>
    <w:p w14:paraId="07CC6EA3">
      <w:pPr>
        <w:pStyle w:val="85"/>
        <w:ind w:firstLine="600" w:firstLineChars="250"/>
        <w:jc w:val="left"/>
        <w:rPr>
          <w:rStyle w:val="95"/>
          <w:rFonts w:ascii="Times New Roman" w:hAnsi="Times New Roman"/>
          <w:szCs w:val="24"/>
        </w:rPr>
      </w:pPr>
      <w:r>
        <w:rPr>
          <w:rStyle w:val="95"/>
          <w:rFonts w:ascii="Times New Roman" w:hAnsi="Times New Roman"/>
          <w:szCs w:val="24"/>
        </w:rPr>
        <w:t>第十五条 保险</w:t>
      </w:r>
      <w:r>
        <w:rPr>
          <w:rFonts w:hint="eastAsia" w:ascii="Times New Roman" w:hAnsi="Times New Roman"/>
          <w:b/>
          <w:bCs/>
          <w:szCs w:val="24"/>
        </w:rPr>
        <w:t>...........................................................................................................97</w:t>
      </w:r>
    </w:p>
    <w:p w14:paraId="6B66EF16">
      <w:pPr>
        <w:pStyle w:val="85"/>
        <w:ind w:firstLine="600" w:firstLineChars="250"/>
        <w:jc w:val="left"/>
        <w:rPr>
          <w:rStyle w:val="95"/>
          <w:rFonts w:ascii="Times New Roman" w:hAnsi="Times New Roman"/>
          <w:szCs w:val="24"/>
        </w:rPr>
      </w:pPr>
      <w:r>
        <w:rPr>
          <w:rStyle w:val="95"/>
          <w:rFonts w:ascii="Times New Roman" w:hAnsi="Times New Roman"/>
          <w:szCs w:val="24"/>
        </w:rPr>
        <w:t>第十六条 违约、索赔和争议</w:t>
      </w:r>
      <w:r>
        <w:rPr>
          <w:rFonts w:hint="eastAsia" w:ascii="Times New Roman" w:hAnsi="Times New Roman"/>
          <w:b/>
          <w:bCs/>
          <w:szCs w:val="24"/>
        </w:rPr>
        <w:t>...................................................................................98</w:t>
      </w:r>
    </w:p>
    <w:p w14:paraId="2E354807">
      <w:pPr>
        <w:pStyle w:val="85"/>
        <w:ind w:firstLine="600" w:firstLineChars="250"/>
        <w:jc w:val="left"/>
        <w:rPr>
          <w:rFonts w:ascii="Times New Roman" w:hAnsi="Times New Roman"/>
          <w:b/>
          <w:bCs/>
          <w:szCs w:val="24"/>
        </w:rPr>
      </w:pPr>
      <w:r>
        <w:rPr>
          <w:rStyle w:val="95"/>
          <w:rFonts w:ascii="Times New Roman" w:hAnsi="Times New Roman"/>
          <w:szCs w:val="24"/>
        </w:rPr>
        <w:t>第十七条 不可抗力</w:t>
      </w:r>
      <w:r>
        <w:rPr>
          <w:rFonts w:hint="eastAsia" w:ascii="Times New Roman" w:hAnsi="Times New Roman"/>
          <w:b/>
          <w:bCs/>
          <w:szCs w:val="24"/>
        </w:rPr>
        <w:t>..................................................................................................101</w:t>
      </w:r>
    </w:p>
    <w:p w14:paraId="0F03439A">
      <w:pPr>
        <w:pStyle w:val="85"/>
        <w:ind w:firstLine="600" w:firstLineChars="250"/>
        <w:jc w:val="left"/>
        <w:rPr>
          <w:rStyle w:val="95"/>
          <w:rFonts w:ascii="Times New Roman" w:hAnsi="Times New Roman"/>
          <w:szCs w:val="24"/>
        </w:rPr>
      </w:pPr>
      <w:r>
        <w:rPr>
          <w:rStyle w:val="95"/>
          <w:rFonts w:ascii="Times New Roman" w:hAnsi="Times New Roman"/>
          <w:szCs w:val="24"/>
        </w:rPr>
        <w:t>第十八条 合同解除</w:t>
      </w:r>
      <w:r>
        <w:rPr>
          <w:rFonts w:hint="eastAsia" w:ascii="Times New Roman" w:hAnsi="Times New Roman"/>
          <w:b/>
          <w:bCs/>
          <w:szCs w:val="24"/>
        </w:rPr>
        <w:t>..................................................................................................102</w:t>
      </w:r>
    </w:p>
    <w:p w14:paraId="0BA577E0">
      <w:pPr>
        <w:pStyle w:val="85"/>
        <w:ind w:firstLine="600" w:firstLineChars="250"/>
        <w:jc w:val="left"/>
        <w:rPr>
          <w:rStyle w:val="95"/>
          <w:rFonts w:ascii="Times New Roman" w:hAnsi="Times New Roman"/>
          <w:szCs w:val="24"/>
        </w:rPr>
      </w:pPr>
      <w:r>
        <w:rPr>
          <w:rStyle w:val="95"/>
          <w:rFonts w:ascii="Times New Roman" w:hAnsi="Times New Roman"/>
          <w:szCs w:val="24"/>
        </w:rPr>
        <w:t>第十九条 合同生效与合同终止</w:t>
      </w:r>
      <w:r>
        <w:rPr>
          <w:rFonts w:hint="eastAsia" w:ascii="Times New Roman" w:hAnsi="Times New Roman"/>
          <w:b/>
          <w:bCs/>
          <w:szCs w:val="24"/>
        </w:rPr>
        <w:t>..............................................................................106</w:t>
      </w:r>
    </w:p>
    <w:p w14:paraId="5854D176">
      <w:pPr>
        <w:pStyle w:val="85"/>
        <w:ind w:firstLine="480" w:firstLineChars="200"/>
        <w:jc w:val="left"/>
        <w:rPr>
          <w:rStyle w:val="95"/>
          <w:rFonts w:ascii="Times New Roman" w:hAnsi="Times New Roman"/>
          <w:szCs w:val="24"/>
        </w:rPr>
      </w:pPr>
      <w:r>
        <w:rPr>
          <w:rStyle w:val="95"/>
          <w:rFonts w:ascii="Times New Roman" w:hAnsi="Times New Roman"/>
          <w:szCs w:val="24"/>
        </w:rPr>
        <w:t>第三部分 专用条款</w:t>
      </w:r>
      <w:r>
        <w:rPr>
          <w:rFonts w:hint="eastAsia" w:ascii="Times New Roman" w:hAnsi="Times New Roman"/>
          <w:b/>
          <w:bCs/>
          <w:szCs w:val="24"/>
        </w:rPr>
        <w:t>....................................................................................................107</w:t>
      </w:r>
    </w:p>
    <w:p w14:paraId="4CAEA0E2">
      <w:pPr>
        <w:pStyle w:val="85"/>
        <w:ind w:firstLine="120" w:firstLineChars="50"/>
        <w:jc w:val="left"/>
        <w:rPr>
          <w:rStyle w:val="95"/>
          <w:rFonts w:ascii="Times New Roman" w:hAnsi="Times New Roman"/>
          <w:szCs w:val="24"/>
        </w:rPr>
      </w:pPr>
      <w:r>
        <w:rPr>
          <w:rStyle w:val="95"/>
          <w:rFonts w:ascii="Times New Roman" w:hAnsi="Times New Roman"/>
          <w:szCs w:val="24"/>
        </w:rPr>
        <w:t>第五章 投标文件格式</w:t>
      </w:r>
      <w:r>
        <w:rPr>
          <w:rFonts w:hint="eastAsia" w:ascii="Times New Roman" w:hAnsi="Times New Roman"/>
          <w:b/>
          <w:bCs/>
          <w:szCs w:val="24"/>
        </w:rPr>
        <w:t>......................................................................................................117</w:t>
      </w:r>
    </w:p>
    <w:p w14:paraId="0A660DAD">
      <w:pPr>
        <w:pStyle w:val="85"/>
        <w:ind w:left="660" w:leftChars="200" w:hanging="240" w:hangingChars="100"/>
        <w:jc w:val="left"/>
        <w:rPr>
          <w:rStyle w:val="95"/>
          <w:rFonts w:ascii="Times New Roman" w:hAnsi="Times New Roman"/>
          <w:szCs w:val="24"/>
        </w:rPr>
      </w:pPr>
      <w:r>
        <w:rPr>
          <w:rStyle w:val="95"/>
          <w:rFonts w:ascii="Times New Roman" w:hAnsi="Times New Roman"/>
          <w:szCs w:val="24"/>
        </w:rPr>
        <w:t>第一节 投标函文件</w:t>
      </w:r>
      <w:r>
        <w:rPr>
          <w:rFonts w:hint="eastAsia" w:ascii="Times New Roman" w:hAnsi="Times New Roman"/>
          <w:b/>
          <w:bCs/>
          <w:szCs w:val="24"/>
        </w:rPr>
        <w:t>....................................................................................................119</w:t>
      </w:r>
    </w:p>
    <w:p w14:paraId="103E3EDE">
      <w:pPr>
        <w:pStyle w:val="85"/>
        <w:ind w:firstLine="600" w:firstLineChars="250"/>
        <w:jc w:val="left"/>
        <w:rPr>
          <w:rFonts w:ascii="Times New Roman" w:hAnsi="Times New Roman"/>
        </w:rPr>
      </w:pPr>
      <w:r>
        <w:rPr>
          <w:rFonts w:hint="eastAsia" w:ascii="Times New Roman" w:hAnsi="Times New Roman"/>
          <w:lang w:eastAsia="zh-CN"/>
        </w:rPr>
        <w:t>一</w:t>
      </w:r>
      <w:r>
        <w:rPr>
          <w:rFonts w:ascii="Times New Roman" w:hAnsi="Times New Roman"/>
        </w:rPr>
        <w:t>投标函</w:t>
      </w:r>
      <w:r>
        <w:rPr>
          <w:rFonts w:hint="eastAsia" w:ascii="Times New Roman" w:hAnsi="Times New Roman"/>
          <w:b/>
          <w:bCs/>
        </w:rPr>
        <w:t>..............................  .................................................................................120</w:t>
      </w:r>
    </w:p>
    <w:p w14:paraId="1B6285F9">
      <w:pPr>
        <w:pStyle w:val="85"/>
        <w:ind w:firstLine="1080" w:firstLineChars="450"/>
        <w:jc w:val="left"/>
        <w:rPr>
          <w:rFonts w:ascii="Times New Roman" w:hAnsi="Times New Roman"/>
        </w:rPr>
      </w:pPr>
      <w:r>
        <w:rPr>
          <w:rFonts w:ascii="Times New Roman" w:hAnsi="Times New Roman"/>
        </w:rPr>
        <w:t>投标函附录</w:t>
      </w:r>
      <w:r>
        <w:rPr>
          <w:rFonts w:hint="eastAsia" w:ascii="Times New Roman" w:hAnsi="Times New Roman"/>
          <w:b/>
          <w:bCs/>
        </w:rPr>
        <w:t>........................................................................................................121</w:t>
      </w:r>
    </w:p>
    <w:p w14:paraId="0377E804">
      <w:pPr>
        <w:pStyle w:val="85"/>
        <w:ind w:firstLine="600" w:firstLineChars="250"/>
        <w:jc w:val="left"/>
        <w:rPr>
          <w:rFonts w:ascii="Times New Roman" w:hAnsi="Times New Roman"/>
        </w:rPr>
      </w:pPr>
      <w:r>
        <w:rPr>
          <w:rFonts w:hint="eastAsia" w:ascii="Times New Roman" w:hAnsi="Times New Roman"/>
          <w:lang w:eastAsia="zh-CN"/>
        </w:rPr>
        <w:t>二</w:t>
      </w:r>
      <w:r>
        <w:rPr>
          <w:rFonts w:ascii="Times New Roman" w:hAnsi="Times New Roman"/>
        </w:rPr>
        <w:t>、法定代表人身份证明</w:t>
      </w:r>
      <w:r>
        <w:rPr>
          <w:rFonts w:hint="eastAsia" w:ascii="Times New Roman" w:hAnsi="Times New Roman"/>
          <w:b/>
          <w:bCs/>
        </w:rPr>
        <w:t>........................................................................................122</w:t>
      </w:r>
    </w:p>
    <w:p w14:paraId="6B75B429">
      <w:pPr>
        <w:pStyle w:val="85"/>
        <w:ind w:firstLine="600" w:firstLineChars="250"/>
        <w:jc w:val="left"/>
        <w:rPr>
          <w:rFonts w:ascii="Times New Roman" w:hAnsi="Times New Roman"/>
        </w:rPr>
      </w:pPr>
      <w:r>
        <w:rPr>
          <w:rFonts w:hint="eastAsia" w:ascii="Times New Roman" w:hAnsi="Times New Roman"/>
          <w:lang w:eastAsia="zh-CN"/>
        </w:rPr>
        <w:t>三</w:t>
      </w:r>
      <w:r>
        <w:rPr>
          <w:rFonts w:ascii="Times New Roman" w:hAnsi="Times New Roman"/>
        </w:rPr>
        <w:t>、授权委托书</w:t>
      </w:r>
      <w:r>
        <w:rPr>
          <w:rFonts w:hint="eastAsia" w:ascii="Times New Roman" w:hAnsi="Times New Roman"/>
          <w:b/>
          <w:bCs/>
        </w:rPr>
        <w:t>........................................................................................................123</w:t>
      </w:r>
    </w:p>
    <w:p w14:paraId="1E9BF1A6">
      <w:pPr>
        <w:pStyle w:val="85"/>
        <w:ind w:firstLine="600" w:firstLineChars="250"/>
        <w:jc w:val="left"/>
        <w:rPr>
          <w:rFonts w:ascii="Times New Roman" w:hAnsi="Times New Roman"/>
        </w:rPr>
      </w:pPr>
      <w:r>
        <w:rPr>
          <w:rFonts w:hint="eastAsia" w:ascii="Times New Roman" w:hAnsi="Times New Roman"/>
          <w:lang w:eastAsia="zh-CN"/>
        </w:rPr>
        <w:t>四</w:t>
      </w:r>
      <w:r>
        <w:rPr>
          <w:rFonts w:ascii="Times New Roman" w:hAnsi="Times New Roman"/>
        </w:rPr>
        <w:t>、投标保证金</w:t>
      </w:r>
      <w:r>
        <w:rPr>
          <w:rFonts w:hint="eastAsia" w:ascii="Times New Roman" w:hAnsi="Times New Roman"/>
          <w:b/>
          <w:bCs/>
        </w:rPr>
        <w:t>........................................................................................................124</w:t>
      </w:r>
    </w:p>
    <w:p w14:paraId="146963E1">
      <w:pPr>
        <w:pStyle w:val="85"/>
        <w:ind w:firstLine="600" w:firstLineChars="250"/>
        <w:jc w:val="left"/>
        <w:rPr>
          <w:rStyle w:val="95"/>
          <w:rFonts w:ascii="Times New Roman" w:hAnsi="Times New Roman"/>
          <w:szCs w:val="24"/>
        </w:rPr>
      </w:pPr>
      <w:r>
        <w:rPr>
          <w:rFonts w:hint="eastAsia" w:ascii="Times New Roman" w:hAnsi="Times New Roman"/>
          <w:szCs w:val="24"/>
          <w:lang w:eastAsia="zh-CN"/>
        </w:rPr>
        <w:t>五</w:t>
      </w:r>
      <w:r>
        <w:rPr>
          <w:rFonts w:ascii="Times New Roman" w:hAnsi="Times New Roman"/>
          <w:szCs w:val="24"/>
        </w:rPr>
        <w:t>、联合体协议书（如有）</w:t>
      </w:r>
      <w:r>
        <w:rPr>
          <w:rFonts w:hint="eastAsia" w:ascii="Times New Roman" w:hAnsi="Times New Roman"/>
          <w:b/>
          <w:bCs/>
          <w:szCs w:val="24"/>
        </w:rPr>
        <w:t>....................................................................................125</w:t>
      </w:r>
    </w:p>
    <w:p w14:paraId="744578A6">
      <w:pPr>
        <w:pStyle w:val="85"/>
        <w:ind w:firstLine="480" w:firstLineChars="200"/>
        <w:jc w:val="left"/>
        <w:rPr>
          <w:rStyle w:val="95"/>
          <w:rFonts w:ascii="Times New Roman" w:hAnsi="Times New Roman"/>
          <w:szCs w:val="24"/>
        </w:rPr>
      </w:pPr>
      <w:r>
        <w:rPr>
          <w:rStyle w:val="95"/>
          <w:rFonts w:ascii="Times New Roman" w:hAnsi="Times New Roman"/>
          <w:szCs w:val="24"/>
        </w:rPr>
        <w:t>第二节 投标报价文件</w:t>
      </w:r>
      <w:r>
        <w:rPr>
          <w:rFonts w:hint="eastAsia" w:ascii="Times New Roman" w:hAnsi="Times New Roman"/>
          <w:b/>
          <w:bCs/>
          <w:szCs w:val="24"/>
        </w:rPr>
        <w:t>................................................................................................126</w:t>
      </w:r>
    </w:p>
    <w:p w14:paraId="7E532FA9">
      <w:pPr>
        <w:pStyle w:val="85"/>
        <w:ind w:firstLine="600" w:firstLineChars="250"/>
        <w:jc w:val="left"/>
        <w:rPr>
          <w:rFonts w:ascii="Times New Roman" w:hAnsi="Times New Roman"/>
          <w:szCs w:val="24"/>
        </w:rPr>
      </w:pPr>
      <w:r>
        <w:rPr>
          <w:rFonts w:ascii="Times New Roman" w:hAnsi="Times New Roman"/>
          <w:szCs w:val="24"/>
        </w:rPr>
        <w:t>一、投标报价一览表</w:t>
      </w:r>
      <w:r>
        <w:rPr>
          <w:rFonts w:hint="eastAsia" w:ascii="Times New Roman" w:hAnsi="Times New Roman"/>
          <w:b/>
          <w:bCs/>
          <w:szCs w:val="24"/>
        </w:rPr>
        <w:t>................................................................................................129</w:t>
      </w:r>
    </w:p>
    <w:p w14:paraId="6A24EB2E">
      <w:pPr>
        <w:pStyle w:val="85"/>
        <w:ind w:firstLine="600" w:firstLineChars="250"/>
        <w:jc w:val="left"/>
        <w:rPr>
          <w:rFonts w:ascii="Times New Roman" w:hAnsi="Times New Roman"/>
          <w:szCs w:val="24"/>
        </w:rPr>
      </w:pPr>
      <w:r>
        <w:rPr>
          <w:rFonts w:ascii="Times New Roman" w:hAnsi="Times New Roman"/>
          <w:szCs w:val="24"/>
        </w:rPr>
        <w:t>二、设计分项报价一览表</w:t>
      </w:r>
      <w:r>
        <w:rPr>
          <w:rFonts w:hint="eastAsia" w:ascii="Times New Roman" w:hAnsi="Times New Roman"/>
          <w:b/>
          <w:bCs/>
          <w:szCs w:val="24"/>
        </w:rPr>
        <w:t>........................................................................................130</w:t>
      </w:r>
    </w:p>
    <w:p w14:paraId="57A12F5E">
      <w:pPr>
        <w:pStyle w:val="85"/>
        <w:ind w:firstLine="480" w:firstLineChars="200"/>
        <w:jc w:val="left"/>
        <w:rPr>
          <w:rStyle w:val="95"/>
          <w:rFonts w:ascii="Times New Roman" w:hAnsi="Times New Roman"/>
          <w:szCs w:val="24"/>
        </w:rPr>
      </w:pPr>
      <w:r>
        <w:rPr>
          <w:rStyle w:val="95"/>
          <w:rFonts w:ascii="Times New Roman" w:hAnsi="Times New Roman"/>
          <w:szCs w:val="24"/>
        </w:rPr>
        <w:t>第三节 资格审查文件</w:t>
      </w:r>
      <w:r>
        <w:rPr>
          <w:rFonts w:hint="eastAsia" w:ascii="Times New Roman" w:hAnsi="Times New Roman"/>
          <w:b/>
          <w:bCs/>
          <w:szCs w:val="24"/>
        </w:rPr>
        <w:t>................................................................................................131</w:t>
      </w:r>
    </w:p>
    <w:p w14:paraId="4495FF57">
      <w:pPr>
        <w:pStyle w:val="85"/>
        <w:ind w:firstLine="600" w:firstLineChars="250"/>
        <w:jc w:val="left"/>
        <w:rPr>
          <w:rFonts w:ascii="Times New Roman" w:hAnsi="Times New Roman"/>
        </w:rPr>
      </w:pPr>
      <w:r>
        <w:rPr>
          <w:rFonts w:ascii="Times New Roman" w:hAnsi="Times New Roman"/>
        </w:rPr>
        <w:t>一、投标人基本情况表</w:t>
      </w:r>
      <w:r>
        <w:rPr>
          <w:rFonts w:hint="eastAsia" w:ascii="Times New Roman" w:hAnsi="Times New Roman"/>
          <w:b/>
          <w:bCs/>
        </w:rPr>
        <w:t>............................................................................................132</w:t>
      </w:r>
    </w:p>
    <w:p w14:paraId="16A01535">
      <w:pPr>
        <w:pStyle w:val="85"/>
        <w:ind w:firstLine="600" w:firstLineChars="250"/>
        <w:jc w:val="left"/>
        <w:rPr>
          <w:rFonts w:ascii="Times New Roman" w:hAnsi="Times New Roman"/>
        </w:rPr>
      </w:pPr>
      <w:r>
        <w:rPr>
          <w:rFonts w:ascii="Times New Roman" w:hAnsi="Times New Roman"/>
        </w:rPr>
        <w:t>二、投标人企业组织结构框图</w:t>
      </w:r>
      <w:r>
        <w:rPr>
          <w:rFonts w:hint="eastAsia" w:ascii="Times New Roman" w:hAnsi="Times New Roman"/>
          <w:b/>
          <w:bCs/>
        </w:rPr>
        <w:t>................................................................................133</w:t>
      </w:r>
    </w:p>
    <w:p w14:paraId="158C17B4">
      <w:pPr>
        <w:pStyle w:val="85"/>
        <w:ind w:firstLine="1080" w:firstLineChars="450"/>
        <w:jc w:val="left"/>
        <w:rPr>
          <w:rFonts w:ascii="Times New Roman" w:hAnsi="Times New Roman"/>
        </w:rPr>
      </w:pPr>
      <w:r>
        <w:rPr>
          <w:rFonts w:ascii="Times New Roman" w:hAnsi="Times New Roman"/>
        </w:rPr>
        <w:t>项目管理机构</w:t>
      </w:r>
      <w:r>
        <w:rPr>
          <w:rFonts w:hint="eastAsia" w:ascii="Times New Roman" w:hAnsi="Times New Roman"/>
          <w:b/>
          <w:bCs/>
        </w:rPr>
        <w:t>....................................................................................................134</w:t>
      </w:r>
    </w:p>
    <w:p w14:paraId="620280B8">
      <w:pPr>
        <w:pStyle w:val="85"/>
        <w:ind w:firstLine="600" w:firstLineChars="250"/>
        <w:jc w:val="left"/>
        <w:rPr>
          <w:rFonts w:ascii="Times New Roman" w:hAnsi="Times New Roman"/>
        </w:rPr>
      </w:pPr>
      <w:r>
        <w:rPr>
          <w:rFonts w:ascii="Times New Roman" w:hAnsi="Times New Roman"/>
        </w:rPr>
        <w:t>三、拟委任的项目经理、项目</w:t>
      </w:r>
      <w:r>
        <w:rPr>
          <w:rFonts w:hint="eastAsia" w:ascii="Times New Roman" w:hAnsi="Times New Roman"/>
          <w:lang w:eastAsia="zh-CN"/>
        </w:rPr>
        <w:t>技术负责人</w:t>
      </w:r>
      <w:r>
        <w:rPr>
          <w:rFonts w:ascii="Times New Roman" w:hAnsi="Times New Roman"/>
        </w:rPr>
        <w:t>资历表</w:t>
      </w:r>
      <w:r>
        <w:rPr>
          <w:rFonts w:hint="eastAsia" w:ascii="Times New Roman" w:hAnsi="Times New Roman"/>
          <w:b/>
          <w:bCs/>
        </w:rPr>
        <w:t>........................................................135</w:t>
      </w:r>
    </w:p>
    <w:p w14:paraId="22AAF696">
      <w:pPr>
        <w:pStyle w:val="85"/>
        <w:ind w:firstLine="600" w:firstLineChars="250"/>
        <w:jc w:val="left"/>
        <w:rPr>
          <w:rFonts w:ascii="Times New Roman" w:hAnsi="Times New Roman"/>
        </w:rPr>
      </w:pPr>
      <w:r>
        <w:rPr>
          <w:rFonts w:ascii="Times New Roman" w:hAnsi="Times New Roman"/>
        </w:rPr>
        <w:t>四、其他主要技术和管理人员汇总表</w:t>
      </w:r>
      <w:r>
        <w:rPr>
          <w:rFonts w:hint="eastAsia" w:ascii="Times New Roman" w:hAnsi="Times New Roman"/>
          <w:b/>
          <w:bCs/>
        </w:rPr>
        <w:t>....................................................................136</w:t>
      </w:r>
    </w:p>
    <w:p w14:paraId="7C3765AF">
      <w:pPr>
        <w:pStyle w:val="85"/>
        <w:ind w:firstLine="720" w:firstLineChars="300"/>
        <w:jc w:val="left"/>
        <w:rPr>
          <w:rFonts w:ascii="Times New Roman" w:hAnsi="Times New Roman"/>
        </w:rPr>
      </w:pPr>
      <w:r>
        <w:rPr>
          <w:rFonts w:ascii="Times New Roman" w:hAnsi="Times New Roman"/>
        </w:rPr>
        <w:t>四-1、拟委任的其他主要技术和管理人员资历表</w:t>
      </w:r>
      <w:r>
        <w:rPr>
          <w:rFonts w:hint="eastAsia" w:ascii="Times New Roman" w:hAnsi="Times New Roman"/>
          <w:b/>
          <w:bCs/>
        </w:rPr>
        <w:t>..............................................137</w:t>
      </w:r>
    </w:p>
    <w:p w14:paraId="6630FA94">
      <w:pPr>
        <w:pStyle w:val="85"/>
        <w:ind w:firstLine="600" w:firstLineChars="250"/>
        <w:jc w:val="left"/>
        <w:rPr>
          <w:rFonts w:ascii="Times New Roman" w:hAnsi="Times New Roman"/>
        </w:rPr>
      </w:pPr>
      <w:r>
        <w:rPr>
          <w:rFonts w:ascii="Times New Roman" w:hAnsi="Times New Roman"/>
        </w:rPr>
        <w:t>五、近年完成的类似项目情况表</w:t>
      </w:r>
      <w:r>
        <w:rPr>
          <w:rFonts w:hint="eastAsia" w:ascii="Times New Roman" w:hAnsi="Times New Roman"/>
          <w:b/>
          <w:bCs/>
        </w:rPr>
        <w:t>............................................................................139</w:t>
      </w:r>
    </w:p>
    <w:p w14:paraId="0E792F45">
      <w:pPr>
        <w:pStyle w:val="85"/>
        <w:ind w:firstLine="600" w:firstLineChars="250"/>
        <w:jc w:val="left"/>
        <w:rPr>
          <w:rFonts w:ascii="Times New Roman" w:hAnsi="Times New Roman"/>
        </w:rPr>
      </w:pPr>
      <w:r>
        <w:rPr>
          <w:rFonts w:hint="eastAsia" w:ascii="Times New Roman" w:hAnsi="Times New Roman"/>
          <w:lang w:eastAsia="zh-CN"/>
        </w:rPr>
        <w:t>六</w:t>
      </w:r>
      <w:r>
        <w:rPr>
          <w:rFonts w:ascii="Times New Roman" w:hAnsi="Times New Roman"/>
        </w:rPr>
        <w:t>、正在施工和新承接的项目情况表</w:t>
      </w:r>
      <w:r>
        <w:rPr>
          <w:rFonts w:hint="eastAsia" w:ascii="Times New Roman" w:hAnsi="Times New Roman"/>
          <w:b/>
          <w:bCs/>
        </w:rPr>
        <w:t>....................................................................140</w:t>
      </w:r>
    </w:p>
    <w:p w14:paraId="604B7121">
      <w:pPr>
        <w:pStyle w:val="85"/>
        <w:ind w:firstLine="600" w:firstLineChars="250"/>
        <w:jc w:val="left"/>
        <w:rPr>
          <w:rFonts w:ascii="Times New Roman" w:hAnsi="Times New Roman"/>
        </w:rPr>
      </w:pPr>
      <w:r>
        <w:rPr>
          <w:rFonts w:hint="eastAsia" w:ascii="Times New Roman" w:hAnsi="Times New Roman"/>
          <w:lang w:eastAsia="zh-CN"/>
        </w:rPr>
        <w:t>七</w:t>
      </w:r>
      <w:r>
        <w:rPr>
          <w:rFonts w:ascii="Times New Roman" w:hAnsi="Times New Roman"/>
        </w:rPr>
        <w:t>、近年发生的诉讼及仲裁情况表</w:t>
      </w:r>
      <w:r>
        <w:rPr>
          <w:rFonts w:hint="eastAsia" w:ascii="Times New Roman" w:hAnsi="Times New Roman"/>
          <w:b/>
          <w:bCs/>
        </w:rPr>
        <w:t>........................................................................141</w:t>
      </w:r>
    </w:p>
    <w:p w14:paraId="7099D72A">
      <w:pPr>
        <w:pStyle w:val="85"/>
        <w:ind w:firstLine="600" w:firstLineChars="250"/>
        <w:jc w:val="left"/>
        <w:rPr>
          <w:rFonts w:ascii="Times New Roman" w:hAnsi="Times New Roman"/>
        </w:rPr>
      </w:pPr>
      <w:r>
        <w:rPr>
          <w:rFonts w:hint="eastAsia" w:ascii="Times New Roman" w:hAnsi="Times New Roman"/>
          <w:lang w:eastAsia="zh-CN"/>
        </w:rPr>
        <w:t>八</w:t>
      </w:r>
      <w:r>
        <w:rPr>
          <w:rFonts w:ascii="Times New Roman" w:hAnsi="Times New Roman"/>
        </w:rPr>
        <w:t>、承包人（投标人）项目班子人员配备登记表</w:t>
      </w:r>
      <w:r>
        <w:rPr>
          <w:rFonts w:hint="eastAsia" w:ascii="Times New Roman" w:hAnsi="Times New Roman"/>
          <w:b/>
          <w:bCs/>
        </w:rPr>
        <w:t>................................................142</w:t>
      </w:r>
    </w:p>
    <w:p w14:paraId="2DD56A9E">
      <w:pPr>
        <w:pStyle w:val="85"/>
        <w:ind w:firstLine="600" w:firstLineChars="250"/>
        <w:jc w:val="left"/>
        <w:rPr>
          <w:rFonts w:ascii="Times New Roman" w:hAnsi="Times New Roman"/>
        </w:rPr>
      </w:pPr>
      <w:r>
        <w:rPr>
          <w:rFonts w:hint="eastAsia" w:ascii="Times New Roman" w:hAnsi="Times New Roman"/>
          <w:lang w:eastAsia="zh-CN"/>
        </w:rPr>
        <w:t>九</w:t>
      </w:r>
      <w:r>
        <w:rPr>
          <w:rFonts w:ascii="Times New Roman" w:hAnsi="Times New Roman"/>
        </w:rPr>
        <w:t>、</w:t>
      </w:r>
      <w:r>
        <w:rPr>
          <w:rFonts w:hint="eastAsia" w:ascii="Times New Roman" w:hAnsi="Times New Roman"/>
        </w:rPr>
        <w:t>拟投入本项目的主要施工设备表</w:t>
      </w:r>
      <w:r>
        <w:rPr>
          <w:rFonts w:hint="eastAsia" w:ascii="Times New Roman" w:hAnsi="Times New Roman"/>
          <w:b/>
          <w:bCs/>
        </w:rPr>
        <w:t>....................................................................143</w:t>
      </w:r>
    </w:p>
    <w:p w14:paraId="5DBA4201">
      <w:pPr>
        <w:pStyle w:val="85"/>
        <w:ind w:firstLine="600" w:firstLineChars="250"/>
        <w:jc w:val="left"/>
        <w:rPr>
          <w:rFonts w:ascii="Times New Roman" w:hAnsi="Times New Roman"/>
          <w:b/>
          <w:bCs/>
          <w:szCs w:val="24"/>
        </w:rPr>
      </w:pPr>
      <w:r>
        <w:rPr>
          <w:rFonts w:ascii="Times New Roman" w:hAnsi="Times New Roman"/>
          <w:szCs w:val="24"/>
        </w:rPr>
        <w:t>十、</w:t>
      </w:r>
      <w:r>
        <w:rPr>
          <w:rFonts w:hint="eastAsia"/>
        </w:rPr>
        <w:t>拟配备本项目的试验和检测仪器设备表</w:t>
      </w:r>
      <w:r>
        <w:rPr>
          <w:rFonts w:hint="eastAsia" w:ascii="Times New Roman" w:hAnsi="Times New Roman"/>
          <w:b/>
          <w:bCs/>
          <w:szCs w:val="24"/>
        </w:rPr>
        <w:t>...................................................144</w:t>
      </w:r>
    </w:p>
    <w:p w14:paraId="4AD5104A">
      <w:pPr>
        <w:pStyle w:val="85"/>
        <w:ind w:firstLine="600" w:firstLineChars="250"/>
        <w:jc w:val="left"/>
        <w:rPr>
          <w:rFonts w:ascii="Times New Roman" w:hAnsi="Times New Roman"/>
          <w:b/>
          <w:bCs/>
          <w:szCs w:val="24"/>
        </w:rPr>
      </w:pPr>
      <w:r>
        <w:rPr>
          <w:rFonts w:hint="eastAsia" w:ascii="Times New Roman" w:hAnsi="Times New Roman"/>
          <w:szCs w:val="24"/>
        </w:rPr>
        <w:t>十</w:t>
      </w:r>
      <w:r>
        <w:rPr>
          <w:rFonts w:hint="eastAsia" w:ascii="Times New Roman" w:hAnsi="Times New Roman"/>
          <w:szCs w:val="24"/>
          <w:lang w:eastAsia="zh-CN"/>
        </w:rPr>
        <w:t>一</w:t>
      </w:r>
      <w:r>
        <w:rPr>
          <w:rFonts w:hint="eastAsia" w:ascii="Times New Roman" w:hAnsi="Times New Roman"/>
          <w:szCs w:val="24"/>
        </w:rPr>
        <w:t>、</w:t>
      </w:r>
      <w:r>
        <w:rPr>
          <w:rFonts w:ascii="Times New Roman" w:hAnsi="Times New Roman"/>
          <w:szCs w:val="24"/>
        </w:rPr>
        <w:t>投标文件、合同条款的商务偏离表格式</w:t>
      </w:r>
      <w:r>
        <w:rPr>
          <w:rFonts w:hint="eastAsia" w:ascii="Times New Roman" w:hAnsi="Times New Roman"/>
          <w:b/>
          <w:bCs/>
          <w:szCs w:val="24"/>
        </w:rPr>
        <w:t>...................................................145</w:t>
      </w:r>
    </w:p>
    <w:p w14:paraId="3B18DCCE">
      <w:pPr>
        <w:pStyle w:val="85"/>
        <w:ind w:firstLine="600" w:firstLineChars="250"/>
        <w:jc w:val="left"/>
        <w:rPr>
          <w:rStyle w:val="95"/>
          <w:rFonts w:ascii="Times New Roman" w:hAnsi="Times New Roman"/>
          <w:szCs w:val="24"/>
        </w:rPr>
      </w:pPr>
      <w:r>
        <w:rPr>
          <w:rFonts w:hint="eastAsia" w:ascii="Times New Roman" w:hAnsi="Times New Roman"/>
          <w:szCs w:val="24"/>
        </w:rPr>
        <w:t>十</w:t>
      </w:r>
      <w:r>
        <w:rPr>
          <w:rFonts w:hint="eastAsia" w:ascii="Times New Roman" w:hAnsi="Times New Roman"/>
          <w:szCs w:val="24"/>
          <w:lang w:eastAsia="zh-CN"/>
        </w:rPr>
        <w:t>二</w:t>
      </w:r>
      <w:r>
        <w:rPr>
          <w:rFonts w:hint="eastAsia" w:ascii="Times New Roman" w:hAnsi="Times New Roman"/>
          <w:szCs w:val="24"/>
        </w:rPr>
        <w:t>、</w:t>
      </w:r>
      <w:r>
        <w:rPr>
          <w:rFonts w:ascii="Times New Roman" w:hAnsi="Times New Roman"/>
          <w:szCs w:val="24"/>
        </w:rPr>
        <w:t>投标人认为有必要的其他材料</w:t>
      </w:r>
      <w:r>
        <w:rPr>
          <w:rFonts w:hint="eastAsia" w:ascii="Times New Roman" w:hAnsi="Times New Roman"/>
          <w:b/>
          <w:bCs/>
          <w:szCs w:val="24"/>
        </w:rPr>
        <w:t>...................................................................146</w:t>
      </w:r>
    </w:p>
    <w:p w14:paraId="109F3829">
      <w:pPr>
        <w:pStyle w:val="85"/>
        <w:ind w:firstLine="480" w:firstLineChars="200"/>
        <w:jc w:val="left"/>
        <w:rPr>
          <w:rStyle w:val="95"/>
          <w:rFonts w:ascii="Times New Roman" w:hAnsi="Times New Roman"/>
          <w:szCs w:val="24"/>
        </w:rPr>
      </w:pPr>
      <w:r>
        <w:rPr>
          <w:rStyle w:val="95"/>
          <w:rFonts w:ascii="Times New Roman" w:hAnsi="Times New Roman"/>
          <w:szCs w:val="24"/>
        </w:rPr>
        <w:t>第四节 技术文件</w:t>
      </w:r>
      <w:r>
        <w:rPr>
          <w:rFonts w:hint="eastAsia" w:ascii="Times New Roman" w:hAnsi="Times New Roman"/>
          <w:b/>
          <w:bCs/>
          <w:szCs w:val="24"/>
        </w:rPr>
        <w:t>.......................................................................................................147</w:t>
      </w:r>
    </w:p>
    <w:p w14:paraId="7837E4C3">
      <w:pPr>
        <w:pStyle w:val="85"/>
        <w:ind w:firstLine="600" w:firstLineChars="250"/>
        <w:jc w:val="left"/>
        <w:rPr>
          <w:rFonts w:ascii="Times New Roman" w:hAnsi="Times New Roman"/>
        </w:rPr>
      </w:pPr>
      <w:r>
        <w:rPr>
          <w:rFonts w:ascii="Times New Roman" w:hAnsi="Times New Roman"/>
        </w:rPr>
        <w:t>一、</w:t>
      </w:r>
      <w:r>
        <w:rPr>
          <w:rFonts w:hint="eastAsia" w:ascii="Times New Roman" w:hAnsi="Times New Roman"/>
        </w:rPr>
        <w:t>承包人建议书</w:t>
      </w:r>
      <w:r>
        <w:rPr>
          <w:rFonts w:hint="eastAsia" w:ascii="Times New Roman" w:hAnsi="Times New Roman"/>
          <w:b/>
          <w:bCs/>
        </w:rPr>
        <w:t>...................................................................................................148</w:t>
      </w:r>
    </w:p>
    <w:p w14:paraId="0DF4C981">
      <w:pPr>
        <w:pStyle w:val="85"/>
        <w:ind w:firstLine="600" w:firstLineChars="250"/>
        <w:jc w:val="left"/>
        <w:rPr>
          <w:rFonts w:ascii="Times New Roman" w:hAnsi="Times New Roman"/>
        </w:rPr>
      </w:pPr>
      <w:r>
        <w:rPr>
          <w:rFonts w:ascii="Times New Roman" w:hAnsi="Times New Roman"/>
        </w:rPr>
        <w:t>二、设计方案</w:t>
      </w:r>
      <w:r>
        <w:rPr>
          <w:rFonts w:hint="eastAsia" w:ascii="Times New Roman" w:hAnsi="Times New Roman"/>
          <w:b/>
          <w:bCs/>
        </w:rPr>
        <w:t>...........................................................................................................149</w:t>
      </w:r>
    </w:p>
    <w:p w14:paraId="4E100D4E">
      <w:pPr>
        <w:pStyle w:val="85"/>
        <w:ind w:firstLine="600" w:firstLineChars="250"/>
        <w:jc w:val="left"/>
        <w:rPr>
          <w:rFonts w:ascii="Times New Roman" w:hAnsi="Times New Roman"/>
        </w:rPr>
      </w:pPr>
      <w:r>
        <w:rPr>
          <w:rFonts w:ascii="Times New Roman" w:hAnsi="Times New Roman"/>
          <w:szCs w:val="24"/>
        </w:rPr>
        <w:t>三、</w:t>
      </w:r>
      <w:r>
        <w:rPr>
          <w:rFonts w:ascii="Times New Roman" w:hAnsi="Times New Roman"/>
        </w:rPr>
        <w:t>工程总承包组织实施方案</w:t>
      </w:r>
      <w:r>
        <w:rPr>
          <w:rFonts w:hint="eastAsia" w:ascii="Times New Roman" w:hAnsi="Times New Roman"/>
          <w:b/>
          <w:bCs/>
        </w:rPr>
        <w:t>...............................................................................150</w:t>
      </w:r>
    </w:p>
    <w:p w14:paraId="49868449">
      <w:pPr>
        <w:pStyle w:val="85"/>
        <w:ind w:firstLine="600" w:firstLineChars="250"/>
        <w:jc w:val="left"/>
        <w:rPr>
          <w:rStyle w:val="95"/>
          <w:rFonts w:ascii="Times New Roman" w:hAnsi="Times New Roman"/>
          <w:szCs w:val="24"/>
        </w:rPr>
      </w:pPr>
      <w:r>
        <w:rPr>
          <w:rFonts w:hint="eastAsia" w:ascii="Times New Roman" w:hAnsi="Times New Roman"/>
          <w:szCs w:val="24"/>
        </w:rPr>
        <w:t>四、</w:t>
      </w:r>
      <w:r>
        <w:rPr>
          <w:rFonts w:ascii="Times New Roman" w:hAnsi="Times New Roman"/>
          <w:szCs w:val="24"/>
        </w:rPr>
        <w:t>技术偏差表</w:t>
      </w:r>
      <w:r>
        <w:rPr>
          <w:rFonts w:hint="eastAsia" w:ascii="Times New Roman" w:hAnsi="Times New Roman"/>
          <w:b/>
          <w:bCs/>
          <w:szCs w:val="24"/>
        </w:rPr>
        <w:t>.......................................................................................................151</w:t>
      </w:r>
    </w:p>
    <w:p w14:paraId="68E4EDA3">
      <w:pPr>
        <w:pStyle w:val="85"/>
        <w:jc w:val="left"/>
        <w:rPr>
          <w:rStyle w:val="95"/>
          <w:rFonts w:ascii="Times New Roman" w:hAnsi="Times New Roman"/>
          <w:b/>
          <w:sz w:val="28"/>
          <w:szCs w:val="28"/>
        </w:rPr>
      </w:pPr>
      <w:r>
        <w:rPr>
          <w:rStyle w:val="95"/>
          <w:rFonts w:ascii="Times New Roman" w:hAnsi="Times New Roman"/>
          <w:b/>
          <w:sz w:val="28"/>
          <w:szCs w:val="28"/>
        </w:rPr>
        <w:t>第二卷  技术文件</w:t>
      </w:r>
      <w:r>
        <w:rPr>
          <w:rFonts w:hint="eastAsia" w:ascii="Times New Roman" w:hAnsi="Times New Roman"/>
          <w:b/>
          <w:bCs/>
          <w:sz w:val="28"/>
          <w:szCs w:val="28"/>
        </w:rPr>
        <w:t>........................................................................................152</w:t>
      </w:r>
    </w:p>
    <w:p w14:paraId="21882AEC">
      <w:pPr>
        <w:pStyle w:val="85"/>
        <w:ind w:firstLine="120" w:firstLineChars="50"/>
        <w:jc w:val="left"/>
        <w:rPr>
          <w:rStyle w:val="95"/>
          <w:rFonts w:ascii="Times New Roman" w:hAnsi="Times New Roman"/>
          <w:szCs w:val="24"/>
        </w:rPr>
      </w:pPr>
      <w:r>
        <w:rPr>
          <w:rStyle w:val="95"/>
          <w:rFonts w:ascii="Times New Roman" w:hAnsi="Times New Roman"/>
          <w:szCs w:val="24"/>
        </w:rPr>
        <w:t>第一章 发包人要求</w:t>
      </w:r>
      <w:r>
        <w:rPr>
          <w:rFonts w:hint="eastAsia" w:ascii="Times New Roman" w:hAnsi="Times New Roman"/>
          <w:b/>
          <w:bCs/>
          <w:szCs w:val="24"/>
        </w:rPr>
        <w:t>..........................................................................................................153</w:t>
      </w:r>
    </w:p>
    <w:p w14:paraId="73825D4E">
      <w:pPr>
        <w:pStyle w:val="85"/>
        <w:ind w:firstLine="120" w:firstLineChars="50"/>
        <w:jc w:val="left"/>
        <w:rPr>
          <w:rStyle w:val="95"/>
          <w:rFonts w:ascii="Times New Roman" w:hAnsi="Times New Roman"/>
          <w:szCs w:val="24"/>
        </w:rPr>
      </w:pPr>
      <w:r>
        <w:rPr>
          <w:rStyle w:val="95"/>
          <w:rFonts w:ascii="Times New Roman" w:hAnsi="Times New Roman"/>
          <w:szCs w:val="24"/>
        </w:rPr>
        <w:t>第二章 建设单位提供的资料和条件</w:t>
      </w:r>
      <w:r>
        <w:rPr>
          <w:rFonts w:hint="eastAsia" w:ascii="Times New Roman" w:hAnsi="Times New Roman"/>
          <w:b/>
          <w:bCs/>
          <w:szCs w:val="24"/>
        </w:rPr>
        <w:t>..............................................................................160</w:t>
      </w:r>
    </w:p>
    <w:p w14:paraId="07BA0815">
      <w:pPr>
        <w:pStyle w:val="85"/>
        <w:ind w:firstLine="120" w:firstLineChars="50"/>
        <w:jc w:val="left"/>
        <w:rPr>
          <w:rStyle w:val="95"/>
          <w:rFonts w:ascii="Times New Roman" w:hAnsi="Times New Roman"/>
          <w:szCs w:val="24"/>
        </w:rPr>
      </w:pPr>
      <w:r>
        <w:rPr>
          <w:rStyle w:val="95"/>
          <w:rFonts w:ascii="Times New Roman" w:hAnsi="Times New Roman"/>
          <w:szCs w:val="24"/>
        </w:rPr>
        <w:t>第三章 招标工程量清单</w:t>
      </w:r>
      <w:r>
        <w:rPr>
          <w:rFonts w:hint="eastAsia" w:ascii="Times New Roman" w:hAnsi="Times New Roman"/>
          <w:b/>
          <w:bCs/>
          <w:szCs w:val="24"/>
        </w:rPr>
        <w:t>..................................................................................................162</w:t>
      </w:r>
    </w:p>
    <w:p w14:paraId="29BCFAD7">
      <w:pPr>
        <w:pStyle w:val="85"/>
        <w:ind w:firstLine="120" w:firstLineChars="50"/>
        <w:jc w:val="left"/>
        <w:rPr>
          <w:rStyle w:val="95"/>
          <w:rFonts w:ascii="Times New Roman" w:hAnsi="Times New Roman"/>
          <w:szCs w:val="24"/>
        </w:rPr>
      </w:pPr>
      <w:r>
        <w:rPr>
          <w:rStyle w:val="95"/>
          <w:rFonts w:ascii="Times New Roman" w:hAnsi="Times New Roman"/>
          <w:szCs w:val="24"/>
        </w:rPr>
        <w:t>第四章</w:t>
      </w:r>
      <w:r>
        <w:rPr>
          <w:rStyle w:val="95"/>
          <w:rFonts w:hint="eastAsia" w:ascii="Times New Roman" w:hAnsi="Times New Roman"/>
          <w:szCs w:val="24"/>
        </w:rPr>
        <w:t xml:space="preserve"> </w:t>
      </w:r>
      <w:r>
        <w:rPr>
          <w:rStyle w:val="95"/>
          <w:rFonts w:ascii="Times New Roman" w:hAnsi="Times New Roman"/>
          <w:szCs w:val="24"/>
        </w:rPr>
        <w:t>招标控制价（最高投标限价）</w:t>
      </w:r>
      <w:r>
        <w:rPr>
          <w:rFonts w:hint="eastAsia" w:ascii="Times New Roman" w:hAnsi="Times New Roman"/>
          <w:b/>
          <w:bCs/>
          <w:szCs w:val="24"/>
        </w:rPr>
        <w:t>..........................................................................165</w:t>
      </w:r>
    </w:p>
    <w:p w14:paraId="3C207187">
      <w:pPr>
        <w:pStyle w:val="85"/>
        <w:jc w:val="left"/>
        <w:rPr>
          <w:rStyle w:val="95"/>
          <w:rFonts w:ascii="Times New Roman" w:hAnsi="Times New Roman"/>
          <w:b/>
          <w:bCs/>
          <w:sz w:val="44"/>
          <w:szCs w:val="44"/>
        </w:rPr>
      </w:pPr>
      <w:r>
        <w:rPr>
          <w:rStyle w:val="95"/>
          <w:rFonts w:ascii="Times New Roman" w:hAnsi="Times New Roman"/>
          <w:b/>
          <w:bCs/>
          <w:sz w:val="28"/>
          <w:szCs w:val="28"/>
        </w:rPr>
        <w:t>第三卷  附录</w:t>
      </w:r>
      <w:r>
        <w:rPr>
          <w:rFonts w:hint="eastAsia" w:ascii="Times New Roman" w:hAnsi="Times New Roman"/>
          <w:b/>
          <w:bCs/>
          <w:sz w:val="28"/>
          <w:szCs w:val="28"/>
        </w:rPr>
        <w:t>................................................................................................167</w:t>
      </w:r>
    </w:p>
    <w:p w14:paraId="3195E338">
      <w:pPr>
        <w:pStyle w:val="85"/>
        <w:jc w:val="left"/>
        <w:rPr>
          <w:rStyle w:val="95"/>
          <w:rFonts w:ascii="Times New Roman" w:hAnsi="Times New Roman"/>
          <w:b/>
          <w:bCs/>
          <w:sz w:val="44"/>
          <w:szCs w:val="44"/>
        </w:rPr>
      </w:pPr>
    </w:p>
    <w:p w14:paraId="55BB2F39">
      <w:pPr>
        <w:rPr>
          <w:rStyle w:val="95"/>
          <w:sz w:val="10"/>
        </w:rPr>
      </w:pPr>
    </w:p>
    <w:p w14:paraId="45169E3E">
      <w:pPr>
        <w:rPr>
          <w:rStyle w:val="95"/>
          <w:sz w:val="10"/>
        </w:rPr>
      </w:pPr>
    </w:p>
    <w:p w14:paraId="5AB8EDFE">
      <w:pPr>
        <w:rPr>
          <w:rStyle w:val="95"/>
          <w:sz w:val="10"/>
        </w:rPr>
      </w:pPr>
    </w:p>
    <w:p w14:paraId="0A45FE43">
      <w:pPr>
        <w:rPr>
          <w:rStyle w:val="95"/>
          <w:sz w:val="10"/>
        </w:rPr>
      </w:pPr>
    </w:p>
    <w:p w14:paraId="253BED47">
      <w:pPr>
        <w:rPr>
          <w:rStyle w:val="95"/>
          <w:sz w:val="10"/>
        </w:rPr>
      </w:pPr>
    </w:p>
    <w:p w14:paraId="58963770">
      <w:pPr>
        <w:rPr>
          <w:rStyle w:val="95"/>
          <w:sz w:val="10"/>
        </w:rPr>
      </w:pPr>
    </w:p>
    <w:p w14:paraId="6A1B3647">
      <w:pPr>
        <w:rPr>
          <w:rStyle w:val="95"/>
          <w:sz w:val="10"/>
        </w:rPr>
      </w:pPr>
    </w:p>
    <w:p w14:paraId="167356A6">
      <w:pPr>
        <w:rPr>
          <w:rStyle w:val="95"/>
          <w:sz w:val="10"/>
        </w:rPr>
      </w:pPr>
    </w:p>
    <w:p w14:paraId="4AD409BE">
      <w:pPr>
        <w:rPr>
          <w:rStyle w:val="95"/>
          <w:sz w:val="10"/>
        </w:rPr>
      </w:pPr>
    </w:p>
    <w:p w14:paraId="2614DE12">
      <w:pPr>
        <w:rPr>
          <w:rStyle w:val="95"/>
          <w:sz w:val="10"/>
        </w:rPr>
      </w:pPr>
    </w:p>
    <w:p w14:paraId="3E7D3122">
      <w:pPr>
        <w:rPr>
          <w:rStyle w:val="95"/>
          <w:sz w:val="10"/>
        </w:rPr>
      </w:pPr>
    </w:p>
    <w:p w14:paraId="465EDBFF">
      <w:pPr>
        <w:rPr>
          <w:rStyle w:val="95"/>
          <w:sz w:val="10"/>
        </w:rPr>
      </w:pPr>
    </w:p>
    <w:p w14:paraId="711D11F3">
      <w:pPr>
        <w:rPr>
          <w:rStyle w:val="95"/>
          <w:sz w:val="10"/>
        </w:rPr>
        <w:sectPr>
          <w:headerReference r:id="rId4" w:type="first"/>
          <w:footerReference r:id="rId6" w:type="first"/>
          <w:headerReference r:id="rId3" w:type="default"/>
          <w:footerReference r:id="rId5" w:type="default"/>
          <w:pgSz w:w="11900" w:h="16840"/>
          <w:pgMar w:top="1701" w:right="1418" w:bottom="1701" w:left="1588" w:header="1134" w:footer="1134" w:gutter="0"/>
          <w:cols w:space="720" w:num="1"/>
          <w:titlePg/>
          <w:docGrid w:linePitch="360" w:charSpace="0"/>
        </w:sectPr>
      </w:pPr>
    </w:p>
    <w:p w14:paraId="5D129F1D">
      <w:pPr>
        <w:rPr>
          <w:rStyle w:val="95"/>
        </w:rPr>
      </w:pPr>
    </w:p>
    <w:p w14:paraId="5083BAE3">
      <w:pPr>
        <w:rPr>
          <w:rStyle w:val="95"/>
          <w:sz w:val="10"/>
        </w:rPr>
      </w:pPr>
    </w:p>
    <w:p w14:paraId="31FEA511">
      <w:pPr>
        <w:rPr>
          <w:rStyle w:val="95"/>
          <w:sz w:val="10"/>
        </w:rPr>
      </w:pPr>
    </w:p>
    <w:p w14:paraId="001312E6">
      <w:pPr>
        <w:rPr>
          <w:rStyle w:val="95"/>
          <w:sz w:val="10"/>
        </w:rPr>
      </w:pPr>
    </w:p>
    <w:p w14:paraId="4E09E959">
      <w:pPr>
        <w:rPr>
          <w:rStyle w:val="95"/>
          <w:sz w:val="10"/>
        </w:rPr>
      </w:pPr>
    </w:p>
    <w:p w14:paraId="7C0DD9D7">
      <w:pPr>
        <w:rPr>
          <w:rStyle w:val="95"/>
          <w:sz w:val="10"/>
        </w:rPr>
      </w:pPr>
    </w:p>
    <w:p w14:paraId="0BE52513">
      <w:pPr>
        <w:rPr>
          <w:rStyle w:val="95"/>
          <w:sz w:val="48"/>
          <w:szCs w:val="48"/>
        </w:rPr>
      </w:pPr>
    </w:p>
    <w:p w14:paraId="79970BD6">
      <w:pPr>
        <w:pStyle w:val="85"/>
        <w:rPr>
          <w:rStyle w:val="95"/>
          <w:rFonts w:ascii="Times New Roman" w:hAnsi="Times New Roman"/>
        </w:rPr>
      </w:pPr>
    </w:p>
    <w:p w14:paraId="1B561329">
      <w:pPr>
        <w:pStyle w:val="85"/>
        <w:rPr>
          <w:rStyle w:val="95"/>
          <w:rFonts w:ascii="Times New Roman" w:hAnsi="Times New Roman"/>
        </w:rPr>
      </w:pPr>
    </w:p>
    <w:p w14:paraId="76D8A338">
      <w:pPr>
        <w:pStyle w:val="42"/>
        <w:rPr>
          <w:rStyle w:val="95"/>
          <w:rFonts w:ascii="Times New Roman" w:hAnsi="Times New Roman" w:cs="Times New Roman"/>
          <w:sz w:val="52"/>
          <w:szCs w:val="52"/>
        </w:rPr>
      </w:pPr>
    </w:p>
    <w:p w14:paraId="37AA726D">
      <w:pPr>
        <w:pStyle w:val="42"/>
        <w:rPr>
          <w:rStyle w:val="95"/>
          <w:rFonts w:ascii="Times New Roman" w:hAnsi="Times New Roman" w:cs="Times New Roman"/>
          <w:sz w:val="52"/>
          <w:szCs w:val="52"/>
        </w:rPr>
      </w:pPr>
    </w:p>
    <w:p w14:paraId="0B5AD3B1">
      <w:pPr>
        <w:pStyle w:val="42"/>
        <w:rPr>
          <w:rStyle w:val="95"/>
          <w:rFonts w:ascii="Times New Roman" w:hAnsi="Times New Roman" w:cs="Times New Roman"/>
          <w:sz w:val="52"/>
          <w:szCs w:val="52"/>
        </w:rPr>
      </w:pPr>
    </w:p>
    <w:p w14:paraId="650176B0">
      <w:pPr>
        <w:pStyle w:val="42"/>
        <w:rPr>
          <w:rStyle w:val="95"/>
          <w:rFonts w:ascii="Times New Roman" w:hAnsi="Times New Roman" w:cs="Times New Roman"/>
          <w:sz w:val="52"/>
          <w:szCs w:val="52"/>
        </w:rPr>
      </w:pPr>
    </w:p>
    <w:p w14:paraId="743FD772">
      <w:pPr>
        <w:rPr>
          <w:rStyle w:val="95"/>
        </w:rPr>
      </w:pPr>
    </w:p>
    <w:p w14:paraId="3E77823E">
      <w:pPr>
        <w:pStyle w:val="42"/>
        <w:rPr>
          <w:rStyle w:val="95"/>
          <w:rFonts w:ascii="Times New Roman" w:hAnsi="Times New Roman" w:cs="Times New Roman"/>
          <w:sz w:val="52"/>
          <w:szCs w:val="52"/>
        </w:rPr>
      </w:pPr>
      <w:r>
        <w:rPr>
          <w:rStyle w:val="95"/>
          <w:rFonts w:hint="eastAsia" w:ascii="Times New Roman" w:hAnsi="Times New Roman" w:cs="Times New Roman"/>
          <w:sz w:val="52"/>
          <w:szCs w:val="52"/>
        </w:rPr>
        <w:t>第一卷</w:t>
      </w:r>
      <w:r>
        <w:rPr>
          <w:rStyle w:val="95"/>
          <w:rFonts w:ascii="Times New Roman" w:hAnsi="Times New Roman" w:cs="Times New Roman"/>
          <w:sz w:val="52"/>
          <w:szCs w:val="52"/>
        </w:rPr>
        <w:t xml:space="preserve">  </w:t>
      </w:r>
      <w:r>
        <w:rPr>
          <w:rStyle w:val="95"/>
          <w:rFonts w:hint="eastAsia" w:ascii="Times New Roman" w:hAnsi="Times New Roman" w:cs="Times New Roman"/>
          <w:sz w:val="52"/>
          <w:szCs w:val="52"/>
        </w:rPr>
        <w:t>商务文件</w:t>
      </w:r>
    </w:p>
    <w:p w14:paraId="2EEC80BF">
      <w:pPr>
        <w:pStyle w:val="42"/>
        <w:rPr>
          <w:rStyle w:val="95"/>
          <w:rFonts w:ascii="Times New Roman" w:hAnsi="Times New Roman" w:cs="Times New Roman"/>
          <w:sz w:val="44"/>
          <w:szCs w:val="44"/>
        </w:rPr>
        <w:sectPr>
          <w:pgSz w:w="11900" w:h="16840"/>
          <w:pgMar w:top="1417" w:right="1729" w:bottom="1417" w:left="1560" w:header="1134" w:footer="1134" w:gutter="0"/>
          <w:cols w:space="720" w:num="1"/>
          <w:docGrid w:linePitch="360" w:charSpace="0"/>
        </w:sectPr>
      </w:pPr>
    </w:p>
    <w:p w14:paraId="088E2CED">
      <w:pPr>
        <w:pStyle w:val="42"/>
        <w:rPr>
          <w:rStyle w:val="95"/>
          <w:rFonts w:ascii="Times New Roman" w:hAnsi="Times New Roman" w:cs="Times New Roman"/>
          <w:sz w:val="24"/>
          <w:szCs w:val="24"/>
        </w:rPr>
      </w:pPr>
      <w:r>
        <w:rPr>
          <w:rStyle w:val="95"/>
          <w:rFonts w:hint="eastAsia" w:ascii="Times New Roman" w:hAnsi="Times New Roman" w:cs="Times New Roman"/>
          <w:sz w:val="44"/>
          <w:szCs w:val="44"/>
        </w:rPr>
        <w:t>第一章</w:t>
      </w:r>
      <w:r>
        <w:rPr>
          <w:rStyle w:val="95"/>
          <w:rFonts w:ascii="Times New Roman" w:hAnsi="Times New Roman" w:cs="Times New Roman"/>
          <w:sz w:val="44"/>
          <w:szCs w:val="44"/>
        </w:rPr>
        <w:t xml:space="preserve">  </w:t>
      </w:r>
      <w:r>
        <w:rPr>
          <w:rStyle w:val="95"/>
          <w:rFonts w:hint="eastAsia" w:ascii="Times New Roman" w:hAnsi="Times New Roman" w:cs="Times New Roman"/>
          <w:sz w:val="44"/>
          <w:szCs w:val="44"/>
        </w:rPr>
        <w:t>招标公告</w:t>
      </w:r>
    </w:p>
    <w:p w14:paraId="0DF0D00D">
      <w:pPr>
        <w:spacing w:line="600" w:lineRule="exact"/>
        <w:jc w:val="center"/>
        <w:rPr>
          <w:rStyle w:val="95"/>
          <w:b/>
          <w:bCs/>
          <w:sz w:val="28"/>
          <w:szCs w:val="28"/>
        </w:rPr>
      </w:pPr>
      <w:r>
        <w:rPr>
          <w:rStyle w:val="95"/>
          <w:rFonts w:hint="eastAsia"/>
          <w:b/>
          <w:bCs/>
          <w:spacing w:val="-6"/>
          <w:sz w:val="28"/>
          <w:szCs w:val="28"/>
        </w:rPr>
        <w:t xml:space="preserve"> </w:t>
      </w:r>
      <w:r>
        <w:rPr>
          <w:rStyle w:val="95"/>
          <w:rFonts w:hint="eastAsia"/>
          <w:b/>
          <w:bCs/>
          <w:spacing w:val="-6"/>
          <w:sz w:val="28"/>
          <w:szCs w:val="28"/>
          <w:u w:val="single"/>
        </w:rPr>
        <w:t xml:space="preserve">                  </w:t>
      </w:r>
      <w:r>
        <w:rPr>
          <w:rStyle w:val="95"/>
          <w:rFonts w:hint="eastAsia"/>
          <w:b/>
          <w:bCs/>
          <w:spacing w:val="-6"/>
          <w:sz w:val="28"/>
          <w:szCs w:val="28"/>
        </w:rPr>
        <w:t>工程总承包</w:t>
      </w:r>
    </w:p>
    <w:p w14:paraId="1A3200F5">
      <w:pPr>
        <w:spacing w:line="600" w:lineRule="exact"/>
        <w:jc w:val="center"/>
        <w:rPr>
          <w:rStyle w:val="95"/>
          <w:sz w:val="24"/>
        </w:rPr>
      </w:pPr>
      <w:r>
        <w:rPr>
          <w:rStyle w:val="95"/>
          <w:rFonts w:hint="eastAsia"/>
          <w:sz w:val="24"/>
        </w:rPr>
        <w:t>（</w:t>
      </w:r>
      <w:r>
        <w:rPr>
          <w:rFonts w:hint="eastAsia" w:ascii="仿宋" w:hAnsi="仿宋" w:eastAsia="仿宋" w:cs="仿宋"/>
          <w:color w:val="000000"/>
          <w:sz w:val="28"/>
          <w:szCs w:val="28"/>
        </w:rPr>
        <w:t xml:space="preserve">招标编号： </w:t>
      </w:r>
      <w:r>
        <w:rPr>
          <w:rStyle w:val="95"/>
          <w:rFonts w:hint="eastAsia"/>
          <w:sz w:val="24"/>
        </w:rPr>
        <w:t>）</w:t>
      </w:r>
    </w:p>
    <w:p w14:paraId="0DF00753">
      <w:pPr>
        <w:spacing w:line="340" w:lineRule="exact"/>
        <w:ind w:firstLine="480" w:firstLineChars="200"/>
        <w:jc w:val="center"/>
        <w:rPr>
          <w:rStyle w:val="95"/>
          <w:sz w:val="24"/>
        </w:rPr>
      </w:pPr>
    </w:p>
    <w:p w14:paraId="2D5221EE">
      <w:pPr>
        <w:spacing w:line="480" w:lineRule="exact"/>
        <w:rPr>
          <w:rStyle w:val="95"/>
          <w:sz w:val="24"/>
        </w:rPr>
      </w:pPr>
      <w:r>
        <w:rPr>
          <w:rStyle w:val="95"/>
          <w:rFonts w:hint="eastAsia"/>
          <w:sz w:val="24"/>
        </w:rPr>
        <w:t>招标项目所在地区：山西省</w:t>
      </w:r>
      <w:r>
        <w:rPr>
          <w:rStyle w:val="95"/>
          <w:sz w:val="24"/>
        </w:rPr>
        <w:t>·</w:t>
      </w:r>
      <w:r>
        <w:rPr>
          <w:rStyle w:val="95"/>
          <w:rFonts w:hint="eastAsia"/>
          <w:sz w:val="24"/>
        </w:rPr>
        <w:t>大同市</w:t>
      </w:r>
      <w:r>
        <w:rPr>
          <w:rStyle w:val="95"/>
          <w:sz w:val="24"/>
        </w:rPr>
        <w:t>·</w:t>
      </w:r>
      <w:r>
        <w:rPr>
          <w:rStyle w:val="95"/>
          <w:rFonts w:hint="eastAsia"/>
          <w:sz w:val="24"/>
        </w:rPr>
        <w:t xml:space="preserve"> </w:t>
      </w:r>
    </w:p>
    <w:p w14:paraId="5AF4DABE">
      <w:pPr>
        <w:spacing w:line="480" w:lineRule="exact"/>
        <w:ind w:firstLine="480" w:firstLineChars="200"/>
        <w:rPr>
          <w:rStyle w:val="95"/>
          <w:sz w:val="24"/>
        </w:rPr>
      </w:pPr>
    </w:p>
    <w:p w14:paraId="2BF5080F">
      <w:pPr>
        <w:spacing w:line="480" w:lineRule="exact"/>
        <w:rPr>
          <w:rStyle w:val="95"/>
          <w:b/>
          <w:sz w:val="24"/>
        </w:rPr>
      </w:pPr>
      <w:r>
        <w:rPr>
          <w:rStyle w:val="95"/>
          <w:b/>
          <w:sz w:val="24"/>
        </w:rPr>
        <w:t>1.</w:t>
      </w:r>
      <w:r>
        <w:rPr>
          <w:rStyle w:val="95"/>
          <w:rFonts w:hint="eastAsia"/>
          <w:b/>
          <w:sz w:val="24"/>
        </w:rPr>
        <w:t>招标条件</w:t>
      </w:r>
    </w:p>
    <w:p w14:paraId="7F3B3937">
      <w:pPr>
        <w:spacing w:line="360" w:lineRule="auto"/>
        <w:ind w:firstLine="480" w:firstLineChars="200"/>
        <w:rPr>
          <w:rStyle w:val="95"/>
          <w:sz w:val="24"/>
        </w:rPr>
      </w:pPr>
      <w:r>
        <w:rPr>
          <w:rStyle w:val="95"/>
          <w:rFonts w:hint="eastAsia"/>
          <w:sz w:val="24"/>
          <w:u w:val="single"/>
        </w:rPr>
        <w:t xml:space="preserve">              </w:t>
      </w:r>
      <w:r>
        <w:rPr>
          <w:rStyle w:val="95"/>
          <w:rFonts w:hint="eastAsia"/>
          <w:sz w:val="24"/>
        </w:rPr>
        <w:t xml:space="preserve">，已由 </w:t>
      </w:r>
      <w:r>
        <w:rPr>
          <w:rStyle w:val="95"/>
          <w:rFonts w:hint="eastAsia"/>
          <w:sz w:val="24"/>
          <w:u w:val="single"/>
        </w:rPr>
        <w:t xml:space="preserve">                                        </w:t>
      </w:r>
      <w:r>
        <w:rPr>
          <w:rStyle w:val="95"/>
          <w:rFonts w:hint="eastAsia"/>
          <w:sz w:val="24"/>
        </w:rPr>
        <w:t xml:space="preserve">文件审批，项目资金来源为 </w:t>
      </w:r>
      <w:r>
        <w:rPr>
          <w:rStyle w:val="95"/>
          <w:rFonts w:hint="eastAsia"/>
          <w:sz w:val="24"/>
          <w:u w:val="single"/>
        </w:rPr>
        <w:t xml:space="preserve">       </w:t>
      </w:r>
      <w:r>
        <w:rPr>
          <w:rStyle w:val="95"/>
          <w:rFonts w:hint="eastAsia"/>
          <w:sz w:val="24"/>
        </w:rPr>
        <w:t>，招标人为</w:t>
      </w:r>
      <w:r>
        <w:rPr>
          <w:rStyle w:val="95"/>
          <w:rFonts w:hint="eastAsia"/>
          <w:bCs/>
          <w:sz w:val="24"/>
        </w:rPr>
        <w:t xml:space="preserve"> </w:t>
      </w:r>
      <w:r>
        <w:rPr>
          <w:rStyle w:val="95"/>
          <w:rFonts w:hint="eastAsia"/>
          <w:bCs/>
          <w:sz w:val="24"/>
          <w:u w:val="single"/>
        </w:rPr>
        <w:t xml:space="preserve">          </w:t>
      </w:r>
      <w:r>
        <w:rPr>
          <w:rStyle w:val="95"/>
          <w:rFonts w:hint="eastAsia"/>
          <w:sz w:val="24"/>
        </w:rPr>
        <w:t>。本项目已具备工程总承包招标条件，现进行公开招标。</w:t>
      </w:r>
    </w:p>
    <w:p w14:paraId="423A2A5C">
      <w:pPr>
        <w:spacing w:line="360" w:lineRule="auto"/>
        <w:rPr>
          <w:rStyle w:val="95"/>
          <w:b/>
          <w:sz w:val="24"/>
        </w:rPr>
      </w:pPr>
      <w:r>
        <w:rPr>
          <w:rStyle w:val="95"/>
          <w:b/>
          <w:sz w:val="24"/>
        </w:rPr>
        <w:t>2.</w:t>
      </w:r>
      <w:r>
        <w:rPr>
          <w:rStyle w:val="95"/>
          <w:rFonts w:hint="eastAsia"/>
          <w:b/>
          <w:sz w:val="24"/>
        </w:rPr>
        <w:t>项目概况与招标范围</w:t>
      </w:r>
    </w:p>
    <w:p w14:paraId="07D34E25">
      <w:pPr>
        <w:spacing w:line="360" w:lineRule="auto"/>
        <w:ind w:firstLine="480" w:firstLineChars="200"/>
        <w:rPr>
          <w:rStyle w:val="95"/>
          <w:sz w:val="24"/>
        </w:rPr>
      </w:pPr>
      <w:r>
        <w:rPr>
          <w:rStyle w:val="95"/>
          <w:sz w:val="24"/>
        </w:rPr>
        <w:t>2.1</w:t>
      </w:r>
      <w:r>
        <w:rPr>
          <w:rStyle w:val="95"/>
          <w:rFonts w:hint="eastAsia"/>
          <w:sz w:val="24"/>
        </w:rPr>
        <w:t>项目规模：</w:t>
      </w:r>
    </w:p>
    <w:p w14:paraId="058C95BB">
      <w:pPr>
        <w:spacing w:line="360" w:lineRule="auto"/>
        <w:ind w:firstLine="480" w:firstLineChars="200"/>
        <w:rPr>
          <w:rStyle w:val="95"/>
          <w:sz w:val="24"/>
        </w:rPr>
      </w:pPr>
      <w:r>
        <w:rPr>
          <w:rStyle w:val="95"/>
          <w:sz w:val="24"/>
        </w:rPr>
        <w:t>2.2</w:t>
      </w:r>
      <w:r>
        <w:rPr>
          <w:rStyle w:val="95"/>
          <w:rFonts w:hint="eastAsia"/>
          <w:sz w:val="24"/>
        </w:rPr>
        <w:t>投资额：</w:t>
      </w:r>
    </w:p>
    <w:p w14:paraId="048DD545">
      <w:pPr>
        <w:spacing w:line="360" w:lineRule="auto"/>
        <w:ind w:firstLine="480" w:firstLineChars="200"/>
        <w:rPr>
          <w:rStyle w:val="95"/>
          <w:sz w:val="24"/>
        </w:rPr>
      </w:pPr>
      <w:r>
        <w:rPr>
          <w:rStyle w:val="95"/>
          <w:sz w:val="24"/>
        </w:rPr>
        <w:t>2.3</w:t>
      </w:r>
      <w:r>
        <w:rPr>
          <w:rStyle w:val="95"/>
          <w:rFonts w:hint="eastAsia"/>
          <w:sz w:val="24"/>
        </w:rPr>
        <w:t>招标内容与范围：</w:t>
      </w:r>
      <w:r>
        <w:rPr>
          <w:rFonts w:hint="eastAsia"/>
          <w:sz w:val="24"/>
        </w:rPr>
        <w:t>本次招标为其中的：</w:t>
      </w:r>
      <w:r>
        <w:rPr>
          <w:sz w:val="24"/>
        </w:rPr>
        <w:t>001</w:t>
      </w:r>
      <w:r>
        <w:rPr>
          <w:rFonts w:hint="eastAsia"/>
          <w:sz w:val="24"/>
        </w:rPr>
        <w:t>第一标段，该标段内容为：工程总承包（设计、采购、施工）。设计包含施工图设计和后续服务等；施工包含施工图纸的全部内容。</w:t>
      </w:r>
    </w:p>
    <w:p w14:paraId="4E4B1E80">
      <w:pPr>
        <w:spacing w:line="360" w:lineRule="auto"/>
        <w:rPr>
          <w:rStyle w:val="95"/>
          <w:b/>
          <w:sz w:val="24"/>
        </w:rPr>
      </w:pPr>
      <w:r>
        <w:rPr>
          <w:rStyle w:val="95"/>
          <w:b/>
          <w:sz w:val="24"/>
        </w:rPr>
        <w:t>3.</w:t>
      </w:r>
      <w:r>
        <w:rPr>
          <w:rStyle w:val="95"/>
          <w:rFonts w:hint="eastAsia"/>
          <w:b/>
          <w:sz w:val="24"/>
        </w:rPr>
        <w:t>投标人资格要求</w:t>
      </w:r>
    </w:p>
    <w:p w14:paraId="1C12E78C">
      <w:pPr>
        <w:spacing w:line="360" w:lineRule="auto"/>
        <w:ind w:left="1199" w:leftChars="228" w:hanging="720" w:hangingChars="300"/>
        <w:rPr>
          <w:rStyle w:val="95"/>
          <w:sz w:val="24"/>
        </w:rPr>
      </w:pPr>
      <w:r>
        <w:rPr>
          <w:rStyle w:val="95"/>
          <w:sz w:val="24"/>
        </w:rPr>
        <w:t>3.1</w:t>
      </w:r>
      <w:r>
        <w:rPr>
          <w:rStyle w:val="95"/>
          <w:rFonts w:hint="eastAsia"/>
          <w:sz w:val="24"/>
        </w:rPr>
        <w:t>要求具有独立的法人资格，且同时具有</w:t>
      </w:r>
      <w:r>
        <w:rPr>
          <w:rStyle w:val="95"/>
          <w:rFonts w:hint="eastAsia"/>
          <w:sz w:val="24"/>
          <w:u w:val="single"/>
        </w:rPr>
        <w:t xml:space="preserve">       </w:t>
      </w:r>
      <w:r>
        <w:rPr>
          <w:rStyle w:val="95"/>
          <w:rFonts w:hint="eastAsia"/>
          <w:sz w:val="24"/>
        </w:rPr>
        <w:t>设计</w:t>
      </w:r>
      <w:r>
        <w:rPr>
          <w:rStyle w:val="95"/>
          <w:rFonts w:hint="eastAsia"/>
          <w:sz w:val="24"/>
          <w:u w:val="single"/>
        </w:rPr>
        <w:t xml:space="preserve">     </w:t>
      </w:r>
      <w:r>
        <w:rPr>
          <w:rStyle w:val="95"/>
          <w:rFonts w:hint="eastAsia"/>
          <w:sz w:val="24"/>
        </w:rPr>
        <w:t>级及以上和</w:t>
      </w:r>
      <w:r>
        <w:rPr>
          <w:rStyle w:val="95"/>
          <w:rFonts w:hint="eastAsia"/>
          <w:sz w:val="24"/>
          <w:u w:val="single"/>
        </w:rPr>
        <w:t xml:space="preserve">  </w:t>
      </w:r>
      <w:r>
        <w:rPr>
          <w:rStyle w:val="95"/>
          <w:rFonts w:hint="eastAsia"/>
          <w:sz w:val="24"/>
        </w:rPr>
        <w:t xml:space="preserve"> </w:t>
      </w:r>
    </w:p>
    <w:p w14:paraId="20E5F6B1">
      <w:pPr>
        <w:spacing w:line="360" w:lineRule="auto"/>
        <w:ind w:left="191" w:leftChars="91"/>
        <w:rPr>
          <w:rStyle w:val="95"/>
          <w:sz w:val="24"/>
        </w:rPr>
      </w:pPr>
      <w:r>
        <w:rPr>
          <w:rStyle w:val="95"/>
          <w:rFonts w:hint="eastAsia"/>
          <w:sz w:val="24"/>
        </w:rPr>
        <w:t>施工总承包</w:t>
      </w:r>
      <w:r>
        <w:rPr>
          <w:rStyle w:val="95"/>
          <w:rFonts w:hint="eastAsia"/>
          <w:sz w:val="24"/>
          <w:u w:val="single"/>
        </w:rPr>
        <w:t xml:space="preserve">    </w:t>
      </w:r>
      <w:r>
        <w:rPr>
          <w:rStyle w:val="95"/>
          <w:rFonts w:hint="eastAsia"/>
          <w:sz w:val="24"/>
        </w:rPr>
        <w:t>级及以上资质，具有有效的安全生产许可证及营业执照，并在人员、设备、资金等方面具有相应的工程总承包能力；</w:t>
      </w:r>
    </w:p>
    <w:p w14:paraId="7BD00940">
      <w:pPr>
        <w:spacing w:line="360" w:lineRule="auto"/>
        <w:ind w:firstLine="480" w:firstLineChars="200"/>
      </w:pPr>
      <w:r>
        <w:rPr>
          <w:rStyle w:val="95"/>
          <w:sz w:val="24"/>
        </w:rPr>
        <w:t>3.2</w:t>
      </w:r>
      <w:r>
        <w:rPr>
          <w:rStyle w:val="95"/>
          <w:rFonts w:hint="eastAsia"/>
          <w:sz w:val="24"/>
        </w:rPr>
        <w:t>投标人拟派项目经理须具备</w:t>
      </w:r>
      <w:r>
        <w:rPr>
          <w:rFonts w:hint="eastAsia"/>
          <w:sz w:val="24"/>
        </w:rPr>
        <w:t xml:space="preserve"> </w:t>
      </w:r>
      <w:r>
        <w:rPr>
          <w:rFonts w:hint="eastAsia"/>
          <w:sz w:val="24"/>
          <w:u w:val="single"/>
        </w:rPr>
        <w:t xml:space="preserve">        </w:t>
      </w:r>
      <w:r>
        <w:rPr>
          <w:rStyle w:val="95"/>
          <w:rFonts w:hint="eastAsia" w:ascii="Calibri" w:hAnsi="Calibri"/>
          <w:sz w:val="24"/>
        </w:rPr>
        <w:t>级建造师</w:t>
      </w:r>
      <w:r>
        <w:rPr>
          <w:rStyle w:val="95"/>
          <w:rFonts w:hint="eastAsia" w:ascii="Calibri" w:hAnsi="Calibri"/>
          <w:sz w:val="24"/>
          <w:lang w:eastAsia="zh-CN"/>
        </w:rPr>
        <w:t>注册证书</w:t>
      </w:r>
      <w:r>
        <w:rPr>
          <w:rStyle w:val="95"/>
          <w:rFonts w:hint="eastAsia"/>
          <w:sz w:val="24"/>
        </w:rPr>
        <w:t>，</w:t>
      </w:r>
      <w:r>
        <w:rPr>
          <w:rFonts w:hint="eastAsia"/>
          <w:sz w:val="24"/>
        </w:rPr>
        <w:t>同时须</w:t>
      </w:r>
      <w:r>
        <w:rPr>
          <w:rStyle w:val="95"/>
          <w:rFonts w:hint="eastAsia"/>
          <w:sz w:val="24"/>
        </w:rPr>
        <w:t>具备有效的安全生产考核合格证书（</w:t>
      </w:r>
      <w:r>
        <w:rPr>
          <w:rStyle w:val="95"/>
          <w:sz w:val="24"/>
        </w:rPr>
        <w:t>B</w:t>
      </w:r>
      <w:r>
        <w:rPr>
          <w:rStyle w:val="95"/>
          <w:rFonts w:hint="eastAsia"/>
          <w:sz w:val="24"/>
        </w:rPr>
        <w:t>证）；</w:t>
      </w:r>
    </w:p>
    <w:p w14:paraId="483B4BFE">
      <w:pPr>
        <w:pStyle w:val="438"/>
        <w:spacing w:before="0" w:beforeAutospacing="0" w:after="0" w:afterAutospacing="0" w:line="360" w:lineRule="auto"/>
        <w:ind w:firstLine="480" w:firstLineChars="200"/>
        <w:jc w:val="both"/>
        <w:rPr>
          <w:rStyle w:val="95"/>
          <w:rFonts w:ascii="Times New Roman" w:hAnsi="Times New Roman"/>
          <w:kern w:val="2"/>
        </w:rPr>
      </w:pPr>
      <w:r>
        <w:rPr>
          <w:rStyle w:val="95"/>
          <w:rFonts w:ascii="Times New Roman" w:hAnsi="Times New Roman"/>
          <w:kern w:val="2"/>
        </w:rPr>
        <w:t>3.3</w:t>
      </w:r>
      <w:r>
        <w:rPr>
          <w:rStyle w:val="95"/>
          <w:rFonts w:hint="eastAsia" w:ascii="Times New Roman" w:hAnsi="Times New Roman"/>
          <w:kern w:val="2"/>
        </w:rPr>
        <w:t>与招标人存在利害关系可能影响招标公正性的法人、其他组织或者个人，不得参加投标；</w:t>
      </w:r>
    </w:p>
    <w:p w14:paraId="2862CC57">
      <w:pPr>
        <w:pStyle w:val="438"/>
        <w:spacing w:before="0" w:beforeAutospacing="0" w:after="0" w:afterAutospacing="0" w:line="360" w:lineRule="auto"/>
        <w:ind w:firstLine="480" w:firstLineChars="200"/>
        <w:jc w:val="both"/>
        <w:rPr>
          <w:rStyle w:val="95"/>
          <w:rFonts w:ascii="Calibri" w:hAnsi="Calibri" w:eastAsia="宋体" w:cs="Times New Roman"/>
          <w:kern w:val="2"/>
          <w:sz w:val="24"/>
          <w:szCs w:val="24"/>
          <w:lang w:val="en-US" w:eastAsia="zh-CN" w:bidi="ar-SA"/>
        </w:rPr>
      </w:pPr>
      <w:r>
        <w:rPr>
          <w:rStyle w:val="95"/>
          <w:rFonts w:hint="eastAsia" w:ascii="Times New Roman" w:hAnsi="Times New Roman"/>
        </w:rPr>
        <w:t>单位负责人为同一人或者存在控股、管理关系的不同单位，不得参加同一</w:t>
      </w:r>
      <w:r>
        <w:rPr>
          <w:rStyle w:val="95"/>
          <w:rFonts w:hint="eastAsia" w:ascii="Calibri" w:hAnsi="Calibri" w:eastAsia="宋体" w:cs="Times New Roman"/>
          <w:kern w:val="2"/>
          <w:sz w:val="24"/>
          <w:szCs w:val="24"/>
          <w:lang w:val="en-US" w:eastAsia="zh-CN" w:bidi="ar-SA"/>
        </w:rPr>
        <w:t>标段投标或者未划分标段的同一招标项目投标；</w:t>
      </w:r>
    </w:p>
    <w:p w14:paraId="030C18B2">
      <w:pPr>
        <w:spacing w:line="480" w:lineRule="exact"/>
        <w:ind w:firstLine="480" w:firstLineChars="200"/>
        <w:rPr>
          <w:rStyle w:val="95"/>
          <w:rFonts w:ascii="Calibri" w:hAnsi="Calibri" w:eastAsia="宋体" w:cs="Times New Roman"/>
          <w:kern w:val="2"/>
          <w:sz w:val="24"/>
          <w:szCs w:val="24"/>
          <w:lang w:val="en-US" w:eastAsia="zh-CN" w:bidi="ar-SA"/>
        </w:rPr>
      </w:pPr>
      <w:r>
        <w:rPr>
          <w:rStyle w:val="95"/>
          <w:rFonts w:ascii="Calibri" w:hAnsi="Calibri" w:eastAsia="宋体" w:cs="Times New Roman"/>
          <w:kern w:val="2"/>
          <w:sz w:val="24"/>
          <w:szCs w:val="24"/>
          <w:lang w:val="en-US" w:eastAsia="zh-CN" w:bidi="ar-SA"/>
        </w:rPr>
        <w:t>3.4本项目    联合体投标。</w:t>
      </w:r>
      <w:r>
        <w:rPr>
          <w:rStyle w:val="95"/>
          <w:rFonts w:hint="eastAsia" w:ascii="Calibri" w:hAnsi="Calibri" w:eastAsia="宋体" w:cs="Times New Roman"/>
          <w:kern w:val="2"/>
          <w:sz w:val="24"/>
          <w:szCs w:val="24"/>
          <w:lang w:val="en-US" w:eastAsia="zh-CN" w:bidi="ar-SA"/>
        </w:rPr>
        <w:t>牵头人为</w:t>
      </w:r>
      <w:r>
        <w:rPr>
          <w:rStyle w:val="95"/>
          <w:rFonts w:ascii="Calibri" w:hAnsi="Calibri" w:eastAsia="宋体" w:cs="Times New Roman"/>
          <w:kern w:val="2"/>
          <w:sz w:val="24"/>
          <w:szCs w:val="24"/>
          <w:lang w:val="en-US" w:eastAsia="zh-CN" w:bidi="ar-SA"/>
        </w:rPr>
        <w:t xml:space="preserve">    </w:t>
      </w:r>
      <w:r>
        <w:rPr>
          <w:rStyle w:val="95"/>
          <w:rFonts w:hint="eastAsia" w:ascii="Calibri" w:hAnsi="Calibri" w:eastAsia="宋体" w:cs="Times New Roman"/>
          <w:kern w:val="2"/>
          <w:sz w:val="24"/>
          <w:szCs w:val="24"/>
          <w:lang w:val="en-US" w:eastAsia="zh-CN" w:bidi="ar-SA"/>
        </w:rPr>
        <w:t xml:space="preserve">               </w:t>
      </w:r>
      <w:r>
        <w:rPr>
          <w:rStyle w:val="95"/>
          <w:rFonts w:ascii="Calibri" w:hAnsi="Calibri" w:eastAsia="宋体" w:cs="Times New Roman"/>
          <w:kern w:val="2"/>
          <w:sz w:val="24"/>
          <w:szCs w:val="24"/>
          <w:lang w:val="en-US" w:eastAsia="zh-CN" w:bidi="ar-SA"/>
        </w:rPr>
        <w:t>。</w:t>
      </w:r>
    </w:p>
    <w:p w14:paraId="6DAFEBE0">
      <w:pPr>
        <w:spacing w:line="360" w:lineRule="auto"/>
        <w:rPr>
          <w:rStyle w:val="95"/>
          <w:b/>
          <w:sz w:val="24"/>
        </w:rPr>
      </w:pPr>
      <w:r>
        <w:rPr>
          <w:rStyle w:val="95"/>
          <w:rFonts w:hint="eastAsia"/>
          <w:b/>
          <w:sz w:val="24"/>
        </w:rPr>
        <w:t>4、招标文件的获取</w:t>
      </w:r>
    </w:p>
    <w:p w14:paraId="3ED1372E">
      <w:pPr>
        <w:pStyle w:val="438"/>
        <w:spacing w:before="0" w:beforeAutospacing="0" w:after="0" w:afterAutospacing="0" w:line="360" w:lineRule="auto"/>
        <w:ind w:firstLine="480" w:firstLineChars="200"/>
        <w:jc w:val="both"/>
        <w:rPr>
          <w:rStyle w:val="95"/>
          <w:rFonts w:ascii="Times New Roman" w:hAnsi="Times New Roman"/>
        </w:rPr>
      </w:pPr>
      <w:r>
        <w:rPr>
          <w:rStyle w:val="95"/>
          <w:rFonts w:hint="eastAsia" w:ascii="Times New Roman" w:hAnsi="Times New Roman"/>
        </w:rPr>
        <w:t xml:space="preserve">获取时间：   年    月    日  时   分 至  年  月  日  时  分      招标文件每套售价0.00元，售后不退 。 </w:t>
      </w:r>
    </w:p>
    <w:p w14:paraId="20AF517C">
      <w:pPr>
        <w:pStyle w:val="438"/>
        <w:spacing w:before="0" w:beforeAutospacing="0" w:after="0" w:afterAutospacing="0" w:line="360" w:lineRule="auto"/>
        <w:ind w:firstLine="480" w:firstLineChars="200"/>
        <w:jc w:val="both"/>
        <w:rPr>
          <w:rFonts w:ascii="仿宋_GB2312" w:hAnsi="仿宋_GB2312" w:eastAsia="仿宋_GB2312" w:cs="仿宋_GB2312"/>
          <w:kern w:val="44"/>
          <w:position w:val="-6"/>
          <w:sz w:val="32"/>
          <w:szCs w:val="32"/>
        </w:rPr>
      </w:pPr>
      <w:r>
        <w:rPr>
          <w:rStyle w:val="95"/>
          <w:rFonts w:hint="eastAsia" w:ascii="Times New Roman" w:hAnsi="Times New Roman"/>
        </w:rPr>
        <w:t>获取方法：在山西省公共资源交易市场主体库(http://jyzt.sxzwfw.gov.cn）进行注册，主体库注册完成后办理CA数字证书（USBKey），凭借CA数字证书在全国公共资源交易平台(山西省·大同市) （http://ggzyjy.dt.gov.cn/）交易系统登陆入口登录，按照要求支付文件费用后，通过系统下载招标文件（.sxz格式），此为获取招标文件的唯一途径，通过其他渠道获取招标文件的不具备投标资格。</w:t>
      </w:r>
      <w:r>
        <w:rPr>
          <w:rFonts w:hint="eastAsia" w:ascii="仿宋_GB2312" w:hAnsi="仿宋_GB2312" w:eastAsia="仿宋_GB2312" w:cs="仿宋_GB2312"/>
          <w:kern w:val="44"/>
          <w:position w:val="-6"/>
          <w:sz w:val="32"/>
          <w:szCs w:val="32"/>
        </w:rPr>
        <w:t xml:space="preserve"> </w:t>
      </w:r>
    </w:p>
    <w:p w14:paraId="7415D767">
      <w:pPr>
        <w:spacing w:line="360" w:lineRule="auto"/>
        <w:rPr>
          <w:rStyle w:val="95"/>
          <w:b/>
          <w:sz w:val="24"/>
        </w:rPr>
      </w:pPr>
      <w:r>
        <w:rPr>
          <w:rStyle w:val="95"/>
          <w:rFonts w:hint="eastAsia"/>
          <w:b/>
          <w:sz w:val="24"/>
        </w:rPr>
        <w:t>5、投标文件的递交</w:t>
      </w:r>
    </w:p>
    <w:p w14:paraId="4FC92154">
      <w:pPr>
        <w:pStyle w:val="438"/>
        <w:spacing w:before="0" w:beforeAutospacing="0" w:after="0" w:afterAutospacing="0" w:line="360" w:lineRule="auto"/>
        <w:ind w:firstLine="480" w:firstLineChars="200"/>
        <w:jc w:val="both"/>
        <w:rPr>
          <w:rStyle w:val="95"/>
          <w:rFonts w:ascii="Times New Roman" w:hAnsi="Times New Roman"/>
        </w:rPr>
      </w:pPr>
      <w:r>
        <w:rPr>
          <w:rStyle w:val="95"/>
          <w:rFonts w:hint="eastAsia" w:ascii="Times New Roman" w:hAnsi="Times New Roman"/>
        </w:rPr>
        <w:t xml:space="preserve">递交截止时间： </w:t>
      </w:r>
    </w:p>
    <w:p w14:paraId="11BD6AB7">
      <w:pPr>
        <w:pStyle w:val="438"/>
        <w:spacing w:before="0" w:beforeAutospacing="0" w:after="0" w:afterAutospacing="0" w:line="360" w:lineRule="auto"/>
        <w:ind w:firstLine="480" w:firstLineChars="200"/>
        <w:jc w:val="both"/>
        <w:rPr>
          <w:rStyle w:val="95"/>
          <w:rFonts w:ascii="Times New Roman" w:hAnsi="Times New Roman"/>
        </w:rPr>
      </w:pPr>
      <w:r>
        <w:rPr>
          <w:rStyle w:val="95"/>
          <w:rFonts w:hint="eastAsia" w:ascii="Times New Roman" w:hAnsi="Times New Roman"/>
        </w:rPr>
        <w:t xml:space="preserve">递交方法：电子投标文件须使用系统提供的投标文件编制工具编制完成，投标截止时间前在全国公共资源交易平台(山西省·大同市)（http://ggzyjy.dt.gov.cn/）上传经过CA签章的加密电子投标文件（.sxt格式）。逾期递交或未按要求递交投标文件的,招标人将予以拒收。 </w:t>
      </w:r>
    </w:p>
    <w:p w14:paraId="6AABA942">
      <w:pPr>
        <w:spacing w:line="360" w:lineRule="auto"/>
        <w:rPr>
          <w:rStyle w:val="95"/>
          <w:b/>
          <w:sz w:val="24"/>
        </w:rPr>
      </w:pPr>
      <w:r>
        <w:rPr>
          <w:rStyle w:val="95"/>
          <w:rFonts w:hint="eastAsia"/>
          <w:b/>
          <w:sz w:val="24"/>
        </w:rPr>
        <w:t>6、开标时间及地点</w:t>
      </w:r>
    </w:p>
    <w:p w14:paraId="7A175C1A">
      <w:pPr>
        <w:pStyle w:val="438"/>
        <w:spacing w:before="0" w:beforeAutospacing="0" w:after="0" w:afterAutospacing="0" w:line="360" w:lineRule="auto"/>
        <w:ind w:firstLine="480" w:firstLineChars="200"/>
        <w:jc w:val="both"/>
        <w:rPr>
          <w:rStyle w:val="95"/>
          <w:rFonts w:ascii="Times New Roman" w:hAnsi="Times New Roman"/>
        </w:rPr>
      </w:pPr>
      <w:r>
        <w:rPr>
          <w:rStyle w:val="95"/>
          <w:rFonts w:hint="eastAsia" w:ascii="Times New Roman" w:hAnsi="Times New Roman"/>
        </w:rPr>
        <w:t xml:space="preserve">开标时间： </w:t>
      </w:r>
    </w:p>
    <w:p w14:paraId="4012B1F1">
      <w:pPr>
        <w:pStyle w:val="438"/>
        <w:spacing w:before="0" w:beforeAutospacing="0" w:after="0" w:afterAutospacing="0" w:line="360" w:lineRule="auto"/>
        <w:ind w:firstLine="480" w:firstLineChars="200"/>
        <w:jc w:val="both"/>
        <w:rPr>
          <w:rStyle w:val="95"/>
          <w:rFonts w:ascii="Times New Roman" w:hAnsi="Times New Roman"/>
        </w:rPr>
      </w:pPr>
      <w:r>
        <w:rPr>
          <w:rStyle w:val="95"/>
          <w:rFonts w:hint="eastAsia" w:ascii="Times New Roman" w:hAnsi="Times New Roman"/>
        </w:rPr>
        <w:t xml:space="preserve">开标方式：通过大同市公共资源电子交易系统进行电子开标 </w:t>
      </w:r>
    </w:p>
    <w:p w14:paraId="233A3DA2">
      <w:pPr>
        <w:spacing w:line="360" w:lineRule="auto"/>
        <w:rPr>
          <w:rStyle w:val="95"/>
          <w:rFonts w:hint="eastAsia" w:ascii="Calibri" w:hAnsi="Calibri" w:cs="Times New Roman"/>
          <w:b/>
          <w:sz w:val="24"/>
          <w:lang w:val="en-US" w:eastAsia="zh-CN"/>
        </w:rPr>
      </w:pPr>
      <w:r>
        <w:rPr>
          <w:rStyle w:val="95"/>
          <w:rFonts w:hint="eastAsia" w:ascii="Calibri" w:hAnsi="Calibri" w:cs="Times New Roman"/>
          <w:b/>
          <w:sz w:val="24"/>
          <w:lang w:val="en-US" w:eastAsia="zh-CN"/>
        </w:rPr>
        <w:t>7、提交投标保证金的形式</w:t>
      </w:r>
    </w:p>
    <w:p w14:paraId="33A63E7F">
      <w:pPr>
        <w:pStyle w:val="438"/>
        <w:spacing w:before="0" w:beforeAutospacing="0" w:after="0" w:afterAutospacing="0" w:line="360" w:lineRule="auto"/>
        <w:ind w:firstLine="480" w:firstLineChars="200"/>
        <w:jc w:val="both"/>
        <w:rPr>
          <w:rStyle w:val="95"/>
          <w:rFonts w:hint="eastAsia" w:ascii="Times New Roman" w:hAnsi="Times New Roman" w:cs="Times New Roman"/>
        </w:rPr>
      </w:pPr>
      <w:r>
        <w:rPr>
          <w:rStyle w:val="95"/>
          <w:rFonts w:hint="eastAsia" w:ascii="Times New Roman" w:hAnsi="Times New Roman" w:cs="Times New Roman"/>
        </w:rPr>
        <w:t>1.本项目不收取投标保证金</w:t>
      </w:r>
    </w:p>
    <w:p w14:paraId="47805A8F">
      <w:pPr>
        <w:pStyle w:val="438"/>
        <w:spacing w:before="0" w:beforeAutospacing="0" w:after="0" w:afterAutospacing="0" w:line="360" w:lineRule="auto"/>
        <w:ind w:firstLine="480" w:firstLineChars="200"/>
        <w:jc w:val="both"/>
        <w:rPr>
          <w:rStyle w:val="95"/>
          <w:rFonts w:hint="eastAsia" w:ascii="Times New Roman" w:hAnsi="Times New Roman" w:cs="Times New Roman"/>
        </w:rPr>
      </w:pPr>
      <w:r>
        <w:rPr>
          <w:rStyle w:val="95"/>
          <w:rFonts w:hint="eastAsia" w:ascii="Times New Roman" w:hAnsi="Times New Roman" w:cs="Times New Roman"/>
        </w:rPr>
        <w:t>2.本项目可以采用现金保证金或银行保函、保证保险、担保机构保函、电子保函等非现金交易担保方式提交投标保证金。</w:t>
      </w:r>
    </w:p>
    <w:p w14:paraId="50E2899D">
      <w:pPr>
        <w:pStyle w:val="438"/>
        <w:spacing w:before="0" w:beforeAutospacing="0" w:after="0" w:afterAutospacing="0" w:line="360" w:lineRule="auto"/>
        <w:ind w:firstLine="480" w:firstLineChars="200"/>
        <w:jc w:val="both"/>
        <w:rPr>
          <w:rStyle w:val="95"/>
          <w:rFonts w:hint="eastAsia" w:ascii="Times New Roman" w:hAnsi="Times New Roman" w:cs="Times New Roman"/>
        </w:rPr>
      </w:pPr>
      <w:r>
        <w:rPr>
          <w:rStyle w:val="95"/>
          <w:rFonts w:hint="eastAsia" w:ascii="Times New Roman" w:hAnsi="Times New Roman" w:cs="Times New Roman"/>
        </w:rPr>
        <w:t>说明：招标人可以根据项目实际选择1或2。</w:t>
      </w:r>
    </w:p>
    <w:p w14:paraId="3B1EB8AC">
      <w:pPr>
        <w:spacing w:line="360" w:lineRule="auto"/>
        <w:rPr>
          <w:rStyle w:val="95"/>
          <w:rFonts w:hint="eastAsia" w:ascii="Calibri" w:hAnsi="Calibri" w:cs="Times New Roman"/>
          <w:b/>
          <w:sz w:val="24"/>
          <w:lang w:val="en-US" w:eastAsia="zh-CN"/>
        </w:rPr>
      </w:pPr>
      <w:r>
        <w:rPr>
          <w:rStyle w:val="95"/>
          <w:rFonts w:hint="eastAsia" w:ascii="Calibri" w:hAnsi="Calibri" w:cs="Times New Roman"/>
          <w:b/>
          <w:sz w:val="24"/>
          <w:lang w:val="en-US" w:eastAsia="zh-CN"/>
        </w:rPr>
        <w:t>8</w:t>
      </w:r>
      <w:r>
        <w:rPr>
          <w:rStyle w:val="95"/>
          <w:rFonts w:hint="eastAsia" w:ascii="Times New Roman" w:hAnsi="Times New Roman" w:eastAsia="宋体" w:cs="Times New Roman"/>
          <w:kern w:val="0"/>
          <w:sz w:val="24"/>
          <w:szCs w:val="24"/>
          <w:lang w:val="en-US" w:eastAsia="zh-CN" w:bidi="ar-SA"/>
        </w:rPr>
        <w:t>、提</w:t>
      </w:r>
      <w:r>
        <w:rPr>
          <w:rStyle w:val="95"/>
          <w:rFonts w:hint="eastAsia" w:ascii="Calibri" w:hAnsi="Calibri" w:cs="Times New Roman"/>
          <w:b/>
          <w:sz w:val="24"/>
          <w:lang w:val="en-US" w:eastAsia="zh-CN"/>
        </w:rPr>
        <w:t>出异议的渠道和方式</w:t>
      </w:r>
    </w:p>
    <w:p w14:paraId="1E8F6A6C">
      <w:pPr>
        <w:pStyle w:val="438"/>
        <w:spacing w:before="0" w:beforeAutospacing="0" w:after="0" w:afterAutospacing="0" w:line="360" w:lineRule="auto"/>
        <w:ind w:firstLine="480" w:firstLineChars="200"/>
        <w:jc w:val="both"/>
        <w:rPr>
          <w:rStyle w:val="95"/>
          <w:rFonts w:hint="eastAsia" w:ascii="Times New Roman" w:hAnsi="Times New Roman" w:cs="Times New Roman"/>
        </w:rPr>
      </w:pPr>
      <w:r>
        <w:rPr>
          <w:rStyle w:val="95"/>
          <w:rFonts w:hint="eastAsia" w:ascii="Times New Roman" w:hAnsi="Times New Roman" w:cs="Times New Roman"/>
        </w:rPr>
        <w:t>提出异议的渠道：1.通过电子招标投标交易平台（系统）</w:t>
      </w:r>
    </w:p>
    <w:p w14:paraId="36E7E7AB">
      <w:pPr>
        <w:pStyle w:val="438"/>
        <w:spacing w:before="0" w:beforeAutospacing="0" w:after="0" w:afterAutospacing="0" w:line="360" w:lineRule="auto"/>
        <w:ind w:firstLine="2400" w:firstLineChars="1000"/>
        <w:jc w:val="both"/>
        <w:rPr>
          <w:rStyle w:val="95"/>
          <w:rFonts w:hint="eastAsia" w:ascii="Times New Roman" w:hAnsi="Times New Roman" w:cs="Times New Roman"/>
        </w:rPr>
      </w:pPr>
      <w:r>
        <w:rPr>
          <w:rStyle w:val="95"/>
          <w:rFonts w:hint="eastAsia" w:ascii="Times New Roman" w:hAnsi="Times New Roman" w:cs="Times New Roman"/>
        </w:rPr>
        <w:t>2.纸质方式提出</w:t>
      </w:r>
    </w:p>
    <w:p w14:paraId="13A538AE">
      <w:pPr>
        <w:pStyle w:val="438"/>
        <w:spacing w:before="0" w:beforeAutospacing="0" w:after="0" w:afterAutospacing="0" w:line="360" w:lineRule="auto"/>
        <w:ind w:firstLine="480" w:firstLineChars="200"/>
        <w:jc w:val="both"/>
        <w:rPr>
          <w:rStyle w:val="95"/>
          <w:rFonts w:hint="eastAsia" w:ascii="Times New Roman" w:hAnsi="Times New Roman" w:cs="Times New Roman"/>
        </w:rPr>
      </w:pPr>
      <w:r>
        <w:rPr>
          <w:rStyle w:val="95"/>
          <w:rFonts w:hint="eastAsia" w:ascii="Times New Roman" w:hAnsi="Times New Roman" w:cs="Times New Roman"/>
        </w:rPr>
        <w:t xml:space="preserve">接收异议的联系人：（接收异议的联系人可以与招标人联系方式一致） </w:t>
      </w:r>
    </w:p>
    <w:p w14:paraId="0FD3E537">
      <w:pPr>
        <w:pStyle w:val="438"/>
        <w:spacing w:before="0" w:beforeAutospacing="0" w:after="0" w:afterAutospacing="0" w:line="360" w:lineRule="auto"/>
        <w:ind w:firstLine="480" w:firstLineChars="200"/>
        <w:jc w:val="both"/>
        <w:rPr>
          <w:rStyle w:val="95"/>
          <w:rFonts w:hint="eastAsia" w:ascii="Calibri" w:hAnsi="Calibri" w:cs="Times New Roman"/>
          <w:b/>
          <w:sz w:val="24"/>
        </w:rPr>
      </w:pPr>
      <w:r>
        <w:rPr>
          <w:rStyle w:val="95"/>
          <w:rFonts w:hint="eastAsia" w:ascii="Times New Roman" w:hAnsi="Times New Roman" w:cs="Times New Roman"/>
        </w:rPr>
        <w:t>电    话：</w:t>
      </w:r>
    </w:p>
    <w:p w14:paraId="4C091EC2">
      <w:pPr>
        <w:spacing w:line="360" w:lineRule="auto"/>
        <w:rPr>
          <w:rStyle w:val="95"/>
          <w:b/>
          <w:sz w:val="24"/>
        </w:rPr>
      </w:pPr>
      <w:r>
        <w:rPr>
          <w:rStyle w:val="95"/>
          <w:rFonts w:hint="eastAsia"/>
          <w:b/>
          <w:sz w:val="24"/>
          <w:lang w:val="en-US" w:eastAsia="zh-CN"/>
        </w:rPr>
        <w:t>9</w:t>
      </w:r>
      <w:r>
        <w:rPr>
          <w:rStyle w:val="95"/>
          <w:rFonts w:hint="eastAsia"/>
          <w:b/>
          <w:sz w:val="24"/>
        </w:rPr>
        <w:t>、其他公告内容</w:t>
      </w:r>
    </w:p>
    <w:p w14:paraId="32F6ED11">
      <w:pPr>
        <w:spacing w:line="360" w:lineRule="auto"/>
        <w:ind w:firstLine="480" w:firstLineChars="200"/>
        <w:rPr>
          <w:rStyle w:val="95"/>
          <w:kern w:val="0"/>
          <w:sz w:val="24"/>
        </w:rPr>
      </w:pPr>
      <w:r>
        <w:rPr>
          <w:rStyle w:val="95"/>
          <w:rFonts w:hint="eastAsia"/>
          <w:kern w:val="0"/>
          <w:sz w:val="24"/>
          <w:lang w:val="en-US" w:eastAsia="zh-CN"/>
        </w:rPr>
        <w:t>9</w:t>
      </w:r>
      <w:r>
        <w:rPr>
          <w:rStyle w:val="95"/>
          <w:kern w:val="0"/>
          <w:sz w:val="24"/>
        </w:rPr>
        <w:t>.1</w:t>
      </w:r>
      <w:r>
        <w:rPr>
          <w:rStyle w:val="95"/>
          <w:rFonts w:hint="eastAsia"/>
          <w:kern w:val="0"/>
          <w:sz w:val="24"/>
        </w:rPr>
        <w:t xml:space="preserve">项目地点： </w:t>
      </w:r>
    </w:p>
    <w:p w14:paraId="600CD79F">
      <w:pPr>
        <w:spacing w:line="360" w:lineRule="auto"/>
        <w:ind w:firstLine="480" w:firstLineChars="200"/>
        <w:rPr>
          <w:rStyle w:val="95"/>
          <w:kern w:val="0"/>
          <w:sz w:val="24"/>
        </w:rPr>
      </w:pPr>
      <w:r>
        <w:rPr>
          <w:rStyle w:val="95"/>
          <w:rFonts w:hint="eastAsia"/>
          <w:kern w:val="0"/>
          <w:sz w:val="24"/>
          <w:lang w:val="en-US" w:eastAsia="zh-CN"/>
        </w:rPr>
        <w:t>9</w:t>
      </w:r>
      <w:r>
        <w:rPr>
          <w:rStyle w:val="95"/>
          <w:kern w:val="0"/>
          <w:sz w:val="24"/>
        </w:rPr>
        <w:t>.2</w:t>
      </w:r>
      <w:r>
        <w:rPr>
          <w:rStyle w:val="95"/>
          <w:rFonts w:hint="eastAsia"/>
          <w:kern w:val="0"/>
          <w:sz w:val="24"/>
        </w:rPr>
        <w:t xml:space="preserve">计划工期：     </w:t>
      </w:r>
    </w:p>
    <w:p w14:paraId="4653F840">
      <w:pPr>
        <w:spacing w:line="360" w:lineRule="auto"/>
        <w:ind w:firstLine="480" w:firstLineChars="200"/>
        <w:rPr>
          <w:rStyle w:val="95"/>
          <w:rFonts w:ascii="Calibri" w:hAnsi="Calibri"/>
          <w:kern w:val="0"/>
          <w:sz w:val="24"/>
        </w:rPr>
      </w:pPr>
      <w:r>
        <w:rPr>
          <w:rStyle w:val="95"/>
          <w:rFonts w:hint="eastAsia"/>
          <w:kern w:val="0"/>
          <w:sz w:val="24"/>
          <w:lang w:val="en-US" w:eastAsia="zh-CN"/>
        </w:rPr>
        <w:t>9</w:t>
      </w:r>
      <w:r>
        <w:rPr>
          <w:rStyle w:val="95"/>
          <w:kern w:val="0"/>
          <w:sz w:val="24"/>
        </w:rPr>
        <w:t>.3</w:t>
      </w:r>
      <w:r>
        <w:rPr>
          <w:rStyle w:val="95"/>
          <w:rFonts w:hint="eastAsia"/>
          <w:kern w:val="0"/>
          <w:sz w:val="24"/>
        </w:rPr>
        <w:t>质量要求：合格</w:t>
      </w:r>
    </w:p>
    <w:p w14:paraId="6904CA65">
      <w:pPr>
        <w:spacing w:line="360" w:lineRule="auto"/>
        <w:ind w:right="-210" w:rightChars="-100" w:firstLine="480" w:firstLineChars="200"/>
        <w:rPr>
          <w:rStyle w:val="95"/>
          <w:kern w:val="0"/>
          <w:sz w:val="24"/>
        </w:rPr>
      </w:pPr>
      <w:r>
        <w:rPr>
          <w:rStyle w:val="95"/>
          <w:rFonts w:hint="eastAsia"/>
          <w:kern w:val="0"/>
          <w:sz w:val="24"/>
        </w:rPr>
        <w:t xml:space="preserve">本次招标公告同时在 山西省招标投标公共服务平台、全国公共资源交易平台(山西省·大同市) 上发布。 </w:t>
      </w:r>
    </w:p>
    <w:p w14:paraId="264C1234">
      <w:pPr>
        <w:spacing w:line="360" w:lineRule="auto"/>
        <w:rPr>
          <w:rStyle w:val="95"/>
          <w:b/>
          <w:sz w:val="24"/>
        </w:rPr>
      </w:pPr>
      <w:r>
        <w:rPr>
          <w:rStyle w:val="95"/>
          <w:rFonts w:hint="eastAsia"/>
          <w:b/>
          <w:sz w:val="24"/>
          <w:lang w:val="en-US" w:eastAsia="zh-CN"/>
        </w:rPr>
        <w:t>10</w:t>
      </w:r>
      <w:r>
        <w:rPr>
          <w:rStyle w:val="95"/>
          <w:rFonts w:hint="eastAsia"/>
          <w:b/>
          <w:sz w:val="24"/>
        </w:rPr>
        <w:t>、监督部门</w:t>
      </w:r>
    </w:p>
    <w:p w14:paraId="4CA1AC32">
      <w:pPr>
        <w:pStyle w:val="438"/>
        <w:spacing w:before="0" w:beforeAutospacing="0" w:after="0" w:afterAutospacing="0" w:line="360" w:lineRule="auto"/>
        <w:ind w:firstLine="480" w:firstLineChars="200"/>
        <w:jc w:val="both"/>
        <w:rPr>
          <w:rStyle w:val="95"/>
          <w:rFonts w:ascii="Times New Roman" w:hAnsi="Times New Roman"/>
        </w:rPr>
      </w:pPr>
      <w:r>
        <w:rPr>
          <w:rStyle w:val="95"/>
          <w:rFonts w:hint="eastAsia" w:ascii="Times New Roman" w:hAnsi="Times New Roman"/>
        </w:rPr>
        <w:t>本招标项目的监督部门为</w:t>
      </w:r>
      <w:r>
        <w:rPr>
          <w:rStyle w:val="95"/>
          <w:rFonts w:hint="eastAsia" w:ascii="Times New Roman" w:hAnsi="Times New Roman"/>
          <w:u w:val="single"/>
        </w:rPr>
        <w:t xml:space="preserve">            </w:t>
      </w:r>
      <w:r>
        <w:rPr>
          <w:rStyle w:val="95"/>
          <w:rFonts w:hint="eastAsia" w:ascii="Times New Roman" w:hAnsi="Times New Roman"/>
        </w:rPr>
        <w:t>，监督电话：</w:t>
      </w:r>
      <w:r>
        <w:rPr>
          <w:rStyle w:val="95"/>
          <w:rFonts w:hint="eastAsia" w:ascii="Times New Roman" w:hAnsi="Times New Roman"/>
          <w:u w:val="single"/>
        </w:rPr>
        <w:t xml:space="preserve">            </w:t>
      </w:r>
      <w:r>
        <w:rPr>
          <w:rStyle w:val="95"/>
          <w:rFonts w:hint="eastAsia" w:ascii="Times New Roman" w:hAnsi="Times New Roman"/>
        </w:rPr>
        <w:t xml:space="preserve">。 </w:t>
      </w:r>
    </w:p>
    <w:p w14:paraId="62119F67">
      <w:pPr>
        <w:spacing w:line="360" w:lineRule="auto"/>
        <w:rPr>
          <w:rStyle w:val="95"/>
          <w:b/>
          <w:sz w:val="24"/>
        </w:rPr>
      </w:pPr>
      <w:r>
        <w:rPr>
          <w:rStyle w:val="95"/>
          <w:rFonts w:hint="eastAsia"/>
          <w:b/>
          <w:sz w:val="24"/>
          <w:lang w:val="en-US" w:eastAsia="zh-CN"/>
        </w:rPr>
        <w:t>11</w:t>
      </w:r>
      <w:r>
        <w:rPr>
          <w:rStyle w:val="95"/>
          <w:rFonts w:hint="eastAsia"/>
          <w:b/>
          <w:sz w:val="24"/>
        </w:rPr>
        <w:t>、联系方式</w:t>
      </w:r>
    </w:p>
    <w:p w14:paraId="5917423B">
      <w:pPr>
        <w:spacing w:line="360" w:lineRule="auto"/>
        <w:ind w:firstLine="480" w:firstLineChars="200"/>
        <w:rPr>
          <w:rStyle w:val="95"/>
          <w:sz w:val="24"/>
        </w:rPr>
      </w:pPr>
      <w:r>
        <w:rPr>
          <w:rStyle w:val="95"/>
          <w:rFonts w:hint="eastAsia"/>
          <w:sz w:val="24"/>
        </w:rPr>
        <w:t xml:space="preserve">招标人： </w:t>
      </w:r>
    </w:p>
    <w:p w14:paraId="62F0B90C">
      <w:pPr>
        <w:spacing w:line="480" w:lineRule="exact"/>
        <w:ind w:firstLine="480" w:firstLineChars="200"/>
        <w:rPr>
          <w:rStyle w:val="95"/>
          <w:color w:val="FFFFFF"/>
          <w:sz w:val="24"/>
        </w:rPr>
      </w:pPr>
      <w:r>
        <w:rPr>
          <w:rStyle w:val="95"/>
          <w:rFonts w:hint="eastAsia"/>
          <w:sz w:val="24"/>
        </w:rPr>
        <w:t xml:space="preserve">地址： </w:t>
      </w:r>
      <w:r>
        <w:rPr>
          <w:rStyle w:val="95"/>
          <w:rFonts w:hint="eastAsia"/>
          <w:color w:val="FFFFFF"/>
          <w:sz w:val="24"/>
        </w:rPr>
        <w:t>百</w:t>
      </w:r>
    </w:p>
    <w:p w14:paraId="7A6DB7F3">
      <w:pPr>
        <w:spacing w:line="480" w:lineRule="exact"/>
        <w:ind w:firstLine="480" w:firstLineChars="200"/>
        <w:rPr>
          <w:rStyle w:val="95"/>
          <w:color w:val="FFFFFF"/>
          <w:sz w:val="24"/>
        </w:rPr>
      </w:pPr>
      <w:r>
        <w:rPr>
          <w:rStyle w:val="95"/>
          <w:rFonts w:hint="eastAsia"/>
          <w:sz w:val="24"/>
        </w:rPr>
        <w:t xml:space="preserve">联系人： </w:t>
      </w:r>
      <w:r>
        <w:rPr>
          <w:rStyle w:val="95"/>
          <w:rFonts w:hint="eastAsia"/>
          <w:color w:val="FFFFFF"/>
          <w:sz w:val="24"/>
          <w:u w:val="single"/>
        </w:rPr>
        <w:t>百</w:t>
      </w:r>
    </w:p>
    <w:p w14:paraId="69929EEE">
      <w:pPr>
        <w:spacing w:line="480" w:lineRule="exact"/>
        <w:ind w:firstLine="480" w:firstLineChars="200"/>
        <w:rPr>
          <w:rStyle w:val="95"/>
          <w:color w:val="FFFFFF"/>
          <w:sz w:val="24"/>
        </w:rPr>
      </w:pPr>
      <w:r>
        <w:rPr>
          <w:rStyle w:val="95"/>
          <w:rFonts w:hint="eastAsia"/>
          <w:sz w:val="24"/>
        </w:rPr>
        <w:t xml:space="preserve">手机： </w:t>
      </w:r>
    </w:p>
    <w:p w14:paraId="0C7A3343">
      <w:pPr>
        <w:spacing w:line="480" w:lineRule="exact"/>
        <w:ind w:firstLine="480" w:firstLineChars="200"/>
        <w:rPr>
          <w:rStyle w:val="95"/>
          <w:color w:val="FFFFFF"/>
          <w:sz w:val="24"/>
        </w:rPr>
      </w:pPr>
      <w:r>
        <w:rPr>
          <w:rStyle w:val="95"/>
          <w:rFonts w:hint="eastAsia"/>
          <w:sz w:val="24"/>
        </w:rPr>
        <w:t xml:space="preserve">邮箱： </w:t>
      </w:r>
    </w:p>
    <w:p w14:paraId="3CD00948">
      <w:pPr>
        <w:spacing w:line="480" w:lineRule="exact"/>
        <w:ind w:firstLine="480" w:firstLineChars="200"/>
        <w:rPr>
          <w:rStyle w:val="95"/>
          <w:sz w:val="24"/>
        </w:rPr>
      </w:pPr>
    </w:p>
    <w:p w14:paraId="45C7AF04">
      <w:pPr>
        <w:spacing w:line="480" w:lineRule="exact"/>
        <w:ind w:firstLine="480" w:firstLineChars="200"/>
        <w:rPr>
          <w:rStyle w:val="95"/>
          <w:sz w:val="24"/>
        </w:rPr>
      </w:pPr>
      <w:r>
        <w:rPr>
          <w:rStyle w:val="95"/>
          <w:rFonts w:hint="eastAsia"/>
          <w:sz w:val="24"/>
        </w:rPr>
        <w:t xml:space="preserve">招标代理： </w:t>
      </w:r>
    </w:p>
    <w:p w14:paraId="280E8E48">
      <w:pPr>
        <w:spacing w:line="480" w:lineRule="exact"/>
        <w:ind w:firstLine="480" w:firstLineChars="200"/>
        <w:rPr>
          <w:rStyle w:val="95"/>
          <w:color w:val="FFFFFF"/>
          <w:sz w:val="24"/>
        </w:rPr>
      </w:pPr>
      <w:r>
        <w:rPr>
          <w:rStyle w:val="95"/>
          <w:rFonts w:hint="eastAsia"/>
          <w:sz w:val="24"/>
        </w:rPr>
        <w:t xml:space="preserve">地址： </w:t>
      </w:r>
      <w:r>
        <w:rPr>
          <w:rStyle w:val="95"/>
          <w:rFonts w:hint="eastAsia"/>
          <w:color w:val="FFFFFF"/>
          <w:sz w:val="24"/>
          <w:u w:val="single"/>
        </w:rPr>
        <w:t>百</w:t>
      </w:r>
    </w:p>
    <w:p w14:paraId="26D75504">
      <w:pPr>
        <w:spacing w:line="480" w:lineRule="exact"/>
        <w:ind w:firstLine="480" w:firstLineChars="200"/>
        <w:rPr>
          <w:rStyle w:val="95"/>
          <w:color w:val="FFFFFF"/>
          <w:sz w:val="24"/>
        </w:rPr>
      </w:pPr>
      <w:r>
        <w:rPr>
          <w:rStyle w:val="95"/>
          <w:rFonts w:hint="eastAsia"/>
          <w:sz w:val="24"/>
        </w:rPr>
        <w:t xml:space="preserve">联系人： </w:t>
      </w:r>
    </w:p>
    <w:p w14:paraId="2202C98A">
      <w:pPr>
        <w:spacing w:line="480" w:lineRule="exact"/>
        <w:ind w:firstLine="480" w:firstLineChars="200"/>
        <w:rPr>
          <w:rStyle w:val="95"/>
          <w:color w:val="FFFFFF"/>
          <w:sz w:val="24"/>
        </w:rPr>
      </w:pPr>
      <w:r>
        <w:rPr>
          <w:rStyle w:val="95"/>
          <w:rFonts w:hint="eastAsia"/>
          <w:sz w:val="24"/>
        </w:rPr>
        <w:t xml:space="preserve">电话： </w:t>
      </w:r>
      <w:r>
        <w:rPr>
          <w:rStyle w:val="95"/>
          <w:rFonts w:hint="eastAsia"/>
          <w:color w:val="FFFFFF"/>
          <w:sz w:val="24"/>
          <w:u w:val="single"/>
        </w:rPr>
        <w:t>百</w:t>
      </w:r>
    </w:p>
    <w:p w14:paraId="5497C0B6">
      <w:pPr>
        <w:spacing w:line="480" w:lineRule="exact"/>
        <w:ind w:firstLine="480" w:firstLineChars="200"/>
        <w:rPr>
          <w:rStyle w:val="95"/>
          <w:color w:val="FFFFFF"/>
          <w:sz w:val="24"/>
        </w:rPr>
      </w:pPr>
      <w:r>
        <w:rPr>
          <w:rStyle w:val="95"/>
          <w:rFonts w:hint="eastAsia"/>
          <w:sz w:val="24"/>
        </w:rPr>
        <w:t xml:space="preserve">手机： </w:t>
      </w:r>
      <w:r>
        <w:rPr>
          <w:rStyle w:val="95"/>
          <w:rFonts w:hint="eastAsia"/>
          <w:color w:val="FFFFFF"/>
          <w:sz w:val="24"/>
          <w:u w:val="single"/>
        </w:rPr>
        <w:t>百</w:t>
      </w:r>
    </w:p>
    <w:p w14:paraId="0603CBCF">
      <w:pPr>
        <w:spacing w:line="480" w:lineRule="exact"/>
        <w:ind w:firstLine="480" w:firstLineChars="200"/>
        <w:rPr>
          <w:rStyle w:val="95"/>
          <w:sz w:val="24"/>
        </w:rPr>
      </w:pPr>
      <w:r>
        <w:rPr>
          <w:rStyle w:val="95"/>
          <w:rFonts w:hint="eastAsia"/>
          <w:sz w:val="24"/>
        </w:rPr>
        <w:t xml:space="preserve">邮箱： </w:t>
      </w:r>
    </w:p>
    <w:p w14:paraId="261AE143">
      <w:pPr>
        <w:spacing w:line="480" w:lineRule="exact"/>
        <w:ind w:firstLine="480" w:firstLineChars="200"/>
        <w:rPr>
          <w:rStyle w:val="95"/>
          <w:sz w:val="24"/>
        </w:rPr>
      </w:pPr>
      <w:r>
        <w:rPr>
          <w:rStyle w:val="95"/>
          <w:rFonts w:hint="eastAsia"/>
          <w:color w:val="FFFFFF"/>
          <w:sz w:val="24"/>
          <w:u w:val="single"/>
        </w:rPr>
        <w:t>百</w:t>
      </w:r>
    </w:p>
    <w:p w14:paraId="67C4A672">
      <w:pPr>
        <w:spacing w:line="480" w:lineRule="exact"/>
        <w:ind w:firstLine="480" w:firstLineChars="200"/>
        <w:rPr>
          <w:rStyle w:val="95"/>
          <w:rFonts w:hint="eastAsia" w:ascii="Calibri" w:hAnsi="Calibri" w:cs="Times New Roman"/>
          <w:sz w:val="24"/>
          <w:lang w:val="en-US" w:eastAsia="zh-CN"/>
        </w:rPr>
      </w:pPr>
      <w:r>
        <w:rPr>
          <w:rStyle w:val="95"/>
          <w:rFonts w:hint="eastAsia" w:ascii="Calibri" w:hAnsi="Calibri" w:cs="Times New Roman"/>
          <w:sz w:val="24"/>
          <w:lang w:val="en-US" w:eastAsia="zh-CN"/>
        </w:rPr>
        <w:t xml:space="preserve">招标人或其招标代理机构主要负责人（项目负责人）：（签名）        </w:t>
      </w:r>
    </w:p>
    <w:p w14:paraId="20D647FB">
      <w:pPr>
        <w:spacing w:line="480" w:lineRule="exact"/>
        <w:ind w:firstLine="480" w:firstLineChars="200"/>
        <w:rPr>
          <w:rStyle w:val="95"/>
          <w:rFonts w:hint="eastAsia" w:ascii="Calibri" w:hAnsi="Calibri" w:cs="Times New Roman"/>
          <w:sz w:val="24"/>
          <w:lang w:val="en-US" w:eastAsia="zh-CN"/>
        </w:rPr>
      </w:pPr>
      <w:r>
        <w:rPr>
          <w:rStyle w:val="95"/>
          <w:rFonts w:hint="eastAsia" w:ascii="Calibri" w:hAnsi="Calibri" w:cs="Times New Roman"/>
          <w:sz w:val="24"/>
          <w:lang w:val="en-US" w:eastAsia="zh-CN"/>
        </w:rPr>
        <w:t xml:space="preserve">                      </w:t>
      </w:r>
    </w:p>
    <w:p w14:paraId="380EB324">
      <w:pPr>
        <w:spacing w:line="480" w:lineRule="exact"/>
        <w:ind w:firstLine="480" w:firstLineChars="200"/>
        <w:rPr>
          <w:rStyle w:val="95"/>
          <w:rFonts w:hint="eastAsia" w:ascii="Calibri" w:hAnsi="Calibri" w:cs="Times New Roman"/>
          <w:sz w:val="24"/>
          <w:lang w:val="en-US" w:eastAsia="zh-CN"/>
        </w:rPr>
      </w:pPr>
      <w:r>
        <w:rPr>
          <w:rStyle w:val="95"/>
          <w:rFonts w:hint="eastAsia" w:ascii="Calibri" w:hAnsi="Calibri" w:cs="Times New Roman"/>
          <w:sz w:val="24"/>
          <w:lang w:val="en-US" w:eastAsia="zh-CN"/>
        </w:rPr>
        <w:t>招标人或其招标代理机构：                 （盖章）</w:t>
      </w:r>
    </w:p>
    <w:p w14:paraId="64571B7E">
      <w:pPr>
        <w:spacing w:line="480" w:lineRule="exact"/>
        <w:ind w:firstLine="480" w:firstLineChars="200"/>
        <w:rPr>
          <w:rStyle w:val="95"/>
          <w:color w:val="000000"/>
          <w:sz w:val="24"/>
        </w:rPr>
      </w:pPr>
    </w:p>
    <w:p w14:paraId="65317570">
      <w:pPr>
        <w:pStyle w:val="42"/>
        <w:numPr>
          <w:ilvl w:val="0"/>
          <w:numId w:val="1"/>
        </w:numPr>
        <w:rPr>
          <w:rStyle w:val="95"/>
          <w:rFonts w:ascii="Times New Roman" w:hAnsi="Times New Roman" w:cs="Times New Roman"/>
        </w:rPr>
      </w:pPr>
    </w:p>
    <w:p w14:paraId="0F80DAA2">
      <w:pPr>
        <w:pStyle w:val="42"/>
        <w:rPr>
          <w:rStyle w:val="95"/>
          <w:rFonts w:ascii="Times New Roman" w:hAnsi="Times New Roman" w:cs="Times New Roman"/>
        </w:rPr>
      </w:pPr>
    </w:p>
    <w:p w14:paraId="52F9B7EE"/>
    <w:p w14:paraId="47F7B9D9">
      <w:pPr>
        <w:pStyle w:val="19"/>
      </w:pPr>
    </w:p>
    <w:p w14:paraId="0A2D919F">
      <w:pPr>
        <w:pStyle w:val="19"/>
      </w:pPr>
    </w:p>
    <w:p w14:paraId="15DE92BF">
      <w:pPr>
        <w:pStyle w:val="42"/>
        <w:numPr>
          <w:ilvl w:val="0"/>
          <w:numId w:val="0"/>
        </w:numPr>
        <w:jc w:val="both"/>
        <w:rPr>
          <w:rStyle w:val="95"/>
          <w:rFonts w:ascii="Times New Roman" w:hAnsi="Times New Roman" w:cs="Times New Roman"/>
        </w:rPr>
      </w:pPr>
    </w:p>
    <w:p w14:paraId="1041D299">
      <w:pPr>
        <w:pStyle w:val="42"/>
        <w:numPr>
          <w:ilvl w:val="0"/>
          <w:numId w:val="0"/>
        </w:numPr>
        <w:ind w:firstLine="2209" w:firstLineChars="500"/>
        <w:jc w:val="both"/>
        <w:rPr>
          <w:rStyle w:val="95"/>
          <w:rFonts w:ascii="Times New Roman" w:hAnsi="Times New Roman" w:cs="Times New Roman"/>
        </w:rPr>
      </w:pPr>
      <w:r>
        <w:rPr>
          <w:rStyle w:val="95"/>
          <w:rFonts w:hint="eastAsia" w:ascii="Times New Roman" w:hAnsi="Times New Roman" w:cs="Times New Roman"/>
          <w:sz w:val="44"/>
          <w:szCs w:val="44"/>
        </w:rPr>
        <w:t>第二章</w:t>
      </w:r>
      <w:r>
        <w:rPr>
          <w:rStyle w:val="95"/>
          <w:rFonts w:ascii="Times New Roman" w:hAnsi="Times New Roman" w:cs="Times New Roman"/>
          <w:sz w:val="44"/>
          <w:szCs w:val="44"/>
        </w:rPr>
        <w:t xml:space="preserve">  </w:t>
      </w:r>
      <w:r>
        <w:rPr>
          <w:rStyle w:val="95"/>
          <w:rFonts w:hint="eastAsia" w:ascii="Times New Roman" w:hAnsi="Times New Roman" w:cs="Times New Roman"/>
          <w:sz w:val="44"/>
          <w:szCs w:val="44"/>
        </w:rPr>
        <w:t>投标人须知</w:t>
      </w:r>
    </w:p>
    <w:p w14:paraId="17254F09">
      <w:pPr>
        <w:pStyle w:val="592"/>
        <w:spacing w:before="0" w:line="240" w:lineRule="auto"/>
        <w:rPr>
          <w:rStyle w:val="95"/>
          <w:rFonts w:eastAsia="宋体"/>
        </w:rPr>
      </w:pPr>
      <w:r>
        <w:rPr>
          <w:rStyle w:val="95"/>
          <w:rFonts w:hint="eastAsia" w:eastAsia="宋体"/>
          <w:b/>
          <w:bCs/>
          <w:szCs w:val="28"/>
        </w:rPr>
        <w:t>一、投标人须知前附表</w:t>
      </w:r>
    </w:p>
    <w:tbl>
      <w:tblPr>
        <w:tblStyle w:val="45"/>
        <w:tblW w:w="8608"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61"/>
        <w:gridCol w:w="31"/>
        <w:gridCol w:w="1889"/>
        <w:gridCol w:w="5727"/>
      </w:tblGrid>
      <w:tr w14:paraId="36E0C3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blHeader/>
        </w:trPr>
        <w:tc>
          <w:tcPr>
            <w:tcW w:w="992" w:type="dxa"/>
            <w:gridSpan w:val="2"/>
            <w:vAlign w:val="center"/>
          </w:tcPr>
          <w:p w14:paraId="0F3E963E">
            <w:pPr>
              <w:jc w:val="center"/>
              <w:rPr>
                <w:rStyle w:val="95"/>
                <w:b/>
                <w:sz w:val="24"/>
              </w:rPr>
            </w:pPr>
            <w:r>
              <w:rPr>
                <w:rStyle w:val="95"/>
                <w:b/>
                <w:sz w:val="24"/>
              </w:rPr>
              <w:t>0</w:t>
            </w:r>
            <w:r>
              <w:rPr>
                <w:rStyle w:val="95"/>
                <w:rFonts w:hint="eastAsia"/>
                <w:b/>
                <w:sz w:val="24"/>
              </w:rPr>
              <w:t>条款号</w:t>
            </w:r>
          </w:p>
        </w:tc>
        <w:tc>
          <w:tcPr>
            <w:tcW w:w="1889" w:type="dxa"/>
            <w:vAlign w:val="center"/>
          </w:tcPr>
          <w:p w14:paraId="3DC90F6A">
            <w:pPr>
              <w:jc w:val="center"/>
              <w:rPr>
                <w:rStyle w:val="95"/>
                <w:b/>
                <w:sz w:val="24"/>
              </w:rPr>
            </w:pPr>
            <w:r>
              <w:rPr>
                <w:rStyle w:val="95"/>
                <w:rFonts w:hint="eastAsia"/>
                <w:b/>
                <w:sz w:val="24"/>
              </w:rPr>
              <w:t>条款名称</w:t>
            </w:r>
          </w:p>
        </w:tc>
        <w:tc>
          <w:tcPr>
            <w:tcW w:w="5727" w:type="dxa"/>
            <w:vAlign w:val="center"/>
          </w:tcPr>
          <w:p w14:paraId="41DEB7FA">
            <w:pPr>
              <w:jc w:val="center"/>
              <w:rPr>
                <w:rStyle w:val="95"/>
                <w:b/>
                <w:sz w:val="24"/>
              </w:rPr>
            </w:pPr>
            <w:r>
              <w:rPr>
                <w:rStyle w:val="95"/>
                <w:rFonts w:hint="eastAsia"/>
                <w:b/>
                <w:sz w:val="24"/>
              </w:rPr>
              <w:t>编列内容</w:t>
            </w:r>
          </w:p>
        </w:tc>
      </w:tr>
      <w:tr w14:paraId="5FB46E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6DB49D65">
            <w:pPr>
              <w:jc w:val="center"/>
              <w:rPr>
                <w:rStyle w:val="95"/>
                <w:szCs w:val="21"/>
              </w:rPr>
            </w:pPr>
            <w:r>
              <w:rPr>
                <w:rStyle w:val="95"/>
                <w:szCs w:val="21"/>
              </w:rPr>
              <w:t>1.1.2</w:t>
            </w:r>
          </w:p>
        </w:tc>
        <w:tc>
          <w:tcPr>
            <w:tcW w:w="1889" w:type="dxa"/>
            <w:vAlign w:val="center"/>
          </w:tcPr>
          <w:p w14:paraId="4971FD49">
            <w:pPr>
              <w:jc w:val="center"/>
              <w:rPr>
                <w:rStyle w:val="95"/>
                <w:szCs w:val="21"/>
              </w:rPr>
            </w:pPr>
            <w:r>
              <w:rPr>
                <w:rStyle w:val="95"/>
                <w:rFonts w:hint="eastAsia"/>
                <w:szCs w:val="21"/>
              </w:rPr>
              <w:t>招标人</w:t>
            </w:r>
          </w:p>
        </w:tc>
        <w:tc>
          <w:tcPr>
            <w:tcW w:w="5727" w:type="dxa"/>
            <w:vAlign w:val="center"/>
          </w:tcPr>
          <w:p w14:paraId="5FC4A88A">
            <w:pPr>
              <w:pStyle w:val="311"/>
              <w:spacing w:after="0" w:line="240" w:lineRule="auto"/>
              <w:ind w:left="0"/>
              <w:rPr>
                <w:rStyle w:val="95"/>
                <w:rFonts w:ascii="Times New Roman" w:hAnsi="Times New Roman"/>
                <w:szCs w:val="21"/>
              </w:rPr>
            </w:pPr>
            <w:r>
              <w:rPr>
                <w:rStyle w:val="95"/>
                <w:rFonts w:hint="eastAsia" w:ascii="Times New Roman" w:hAnsi="Times New Roman"/>
                <w:szCs w:val="21"/>
              </w:rPr>
              <w:t xml:space="preserve">名称： </w:t>
            </w:r>
          </w:p>
        </w:tc>
      </w:tr>
      <w:tr w14:paraId="07297F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6E340FFE">
            <w:pPr>
              <w:jc w:val="center"/>
              <w:rPr>
                <w:rStyle w:val="95"/>
                <w:szCs w:val="21"/>
              </w:rPr>
            </w:pPr>
            <w:r>
              <w:rPr>
                <w:rStyle w:val="95"/>
                <w:szCs w:val="21"/>
              </w:rPr>
              <w:t>1.1.3</w:t>
            </w:r>
          </w:p>
        </w:tc>
        <w:tc>
          <w:tcPr>
            <w:tcW w:w="1889" w:type="dxa"/>
            <w:vAlign w:val="center"/>
          </w:tcPr>
          <w:p w14:paraId="660EC5EC">
            <w:pPr>
              <w:jc w:val="center"/>
              <w:rPr>
                <w:rStyle w:val="95"/>
                <w:szCs w:val="21"/>
              </w:rPr>
            </w:pPr>
            <w:r>
              <w:rPr>
                <w:rStyle w:val="95"/>
                <w:rFonts w:hint="eastAsia"/>
                <w:szCs w:val="21"/>
              </w:rPr>
              <w:t>招标代理机构</w:t>
            </w:r>
          </w:p>
        </w:tc>
        <w:tc>
          <w:tcPr>
            <w:tcW w:w="5727" w:type="dxa"/>
            <w:vAlign w:val="center"/>
          </w:tcPr>
          <w:p w14:paraId="3CB18CDE">
            <w:pPr>
              <w:snapToGrid w:val="0"/>
              <w:jc w:val="left"/>
              <w:rPr>
                <w:rStyle w:val="95"/>
                <w:kern w:val="44"/>
                <w:position w:val="-6"/>
                <w:szCs w:val="21"/>
              </w:rPr>
            </w:pPr>
            <w:r>
              <w:rPr>
                <w:rStyle w:val="95"/>
                <w:rFonts w:hint="eastAsia"/>
                <w:kern w:val="44"/>
                <w:position w:val="-6"/>
                <w:szCs w:val="21"/>
              </w:rPr>
              <w:t xml:space="preserve">名称： </w:t>
            </w:r>
          </w:p>
        </w:tc>
      </w:tr>
      <w:tr w14:paraId="489548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39E09996">
            <w:pPr>
              <w:jc w:val="center"/>
              <w:rPr>
                <w:rStyle w:val="95"/>
                <w:szCs w:val="21"/>
              </w:rPr>
            </w:pPr>
            <w:r>
              <w:rPr>
                <w:rStyle w:val="95"/>
                <w:szCs w:val="21"/>
              </w:rPr>
              <w:t>1.1.4</w:t>
            </w:r>
          </w:p>
        </w:tc>
        <w:tc>
          <w:tcPr>
            <w:tcW w:w="1889" w:type="dxa"/>
            <w:vAlign w:val="center"/>
          </w:tcPr>
          <w:p w14:paraId="4658A6B9">
            <w:pPr>
              <w:jc w:val="center"/>
              <w:rPr>
                <w:rStyle w:val="95"/>
                <w:szCs w:val="21"/>
              </w:rPr>
            </w:pPr>
            <w:r>
              <w:rPr>
                <w:rStyle w:val="95"/>
                <w:rFonts w:hint="eastAsia"/>
                <w:szCs w:val="21"/>
              </w:rPr>
              <w:t>项目名称</w:t>
            </w:r>
          </w:p>
        </w:tc>
        <w:tc>
          <w:tcPr>
            <w:tcW w:w="5727" w:type="dxa"/>
            <w:vAlign w:val="center"/>
          </w:tcPr>
          <w:p w14:paraId="4AA3182F">
            <w:pPr>
              <w:rPr>
                <w:rStyle w:val="95"/>
                <w:kern w:val="0"/>
                <w:szCs w:val="21"/>
                <w:lang w:val="zh-CN"/>
              </w:rPr>
            </w:pPr>
            <w:r>
              <w:rPr>
                <w:rStyle w:val="95"/>
                <w:rFonts w:hint="eastAsia"/>
                <w:kern w:val="0"/>
                <w:szCs w:val="21"/>
              </w:rPr>
              <w:t xml:space="preserve"> </w:t>
            </w:r>
          </w:p>
        </w:tc>
      </w:tr>
      <w:tr w14:paraId="4DE477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421D1BEB">
            <w:pPr>
              <w:jc w:val="center"/>
              <w:rPr>
                <w:rStyle w:val="95"/>
                <w:szCs w:val="21"/>
              </w:rPr>
            </w:pPr>
            <w:r>
              <w:rPr>
                <w:rStyle w:val="95"/>
                <w:szCs w:val="21"/>
              </w:rPr>
              <w:t>1.1.5</w:t>
            </w:r>
          </w:p>
        </w:tc>
        <w:tc>
          <w:tcPr>
            <w:tcW w:w="1889" w:type="dxa"/>
            <w:vAlign w:val="center"/>
          </w:tcPr>
          <w:p w14:paraId="18CFBC4E">
            <w:pPr>
              <w:jc w:val="center"/>
              <w:rPr>
                <w:rStyle w:val="95"/>
                <w:szCs w:val="21"/>
              </w:rPr>
            </w:pPr>
            <w:r>
              <w:rPr>
                <w:rStyle w:val="95"/>
                <w:rFonts w:hint="eastAsia"/>
                <w:szCs w:val="21"/>
              </w:rPr>
              <w:t>建设地点</w:t>
            </w:r>
          </w:p>
        </w:tc>
        <w:tc>
          <w:tcPr>
            <w:tcW w:w="5727" w:type="dxa"/>
            <w:vAlign w:val="center"/>
          </w:tcPr>
          <w:p w14:paraId="791DB20A">
            <w:pPr>
              <w:rPr>
                <w:rStyle w:val="95"/>
                <w:kern w:val="0"/>
                <w:szCs w:val="21"/>
                <w:lang w:val="zh-CN"/>
              </w:rPr>
            </w:pPr>
            <w:r>
              <w:rPr>
                <w:rStyle w:val="95"/>
                <w:rFonts w:hint="eastAsia"/>
                <w:kern w:val="0"/>
                <w:szCs w:val="21"/>
              </w:rPr>
              <w:t xml:space="preserve"> </w:t>
            </w:r>
          </w:p>
        </w:tc>
      </w:tr>
      <w:tr w14:paraId="12C913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4FDC93B3">
            <w:pPr>
              <w:jc w:val="center"/>
              <w:rPr>
                <w:rStyle w:val="95"/>
                <w:szCs w:val="21"/>
              </w:rPr>
            </w:pPr>
            <w:r>
              <w:rPr>
                <w:rStyle w:val="95"/>
                <w:szCs w:val="21"/>
              </w:rPr>
              <w:t>1.2.1</w:t>
            </w:r>
          </w:p>
        </w:tc>
        <w:tc>
          <w:tcPr>
            <w:tcW w:w="1889" w:type="dxa"/>
            <w:vAlign w:val="center"/>
          </w:tcPr>
          <w:p w14:paraId="23085DAB">
            <w:pPr>
              <w:jc w:val="center"/>
              <w:rPr>
                <w:rStyle w:val="95"/>
                <w:szCs w:val="21"/>
              </w:rPr>
            </w:pPr>
            <w:r>
              <w:rPr>
                <w:rStyle w:val="95"/>
                <w:rFonts w:hint="eastAsia"/>
                <w:szCs w:val="21"/>
              </w:rPr>
              <w:t>资金来源</w:t>
            </w:r>
          </w:p>
        </w:tc>
        <w:tc>
          <w:tcPr>
            <w:tcW w:w="5727" w:type="dxa"/>
            <w:vAlign w:val="center"/>
          </w:tcPr>
          <w:p w14:paraId="6E97D825">
            <w:pPr>
              <w:rPr>
                <w:rStyle w:val="95"/>
                <w:kern w:val="0"/>
                <w:szCs w:val="21"/>
                <w:lang w:val="zh-CN"/>
              </w:rPr>
            </w:pPr>
            <w:r>
              <w:rPr>
                <w:rStyle w:val="95"/>
                <w:rFonts w:hint="eastAsia"/>
                <w:kern w:val="0"/>
                <w:szCs w:val="21"/>
              </w:rPr>
              <w:t xml:space="preserve"> </w:t>
            </w:r>
          </w:p>
        </w:tc>
      </w:tr>
      <w:tr w14:paraId="62E845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2B8DD3E6">
            <w:pPr>
              <w:jc w:val="center"/>
              <w:rPr>
                <w:rStyle w:val="95"/>
                <w:szCs w:val="21"/>
              </w:rPr>
            </w:pPr>
            <w:r>
              <w:rPr>
                <w:rStyle w:val="95"/>
                <w:szCs w:val="21"/>
              </w:rPr>
              <w:t>1.2.2</w:t>
            </w:r>
          </w:p>
        </w:tc>
        <w:tc>
          <w:tcPr>
            <w:tcW w:w="1889" w:type="dxa"/>
            <w:vAlign w:val="center"/>
          </w:tcPr>
          <w:p w14:paraId="5EB1D597">
            <w:pPr>
              <w:jc w:val="center"/>
              <w:rPr>
                <w:rStyle w:val="95"/>
                <w:szCs w:val="21"/>
              </w:rPr>
            </w:pPr>
            <w:r>
              <w:rPr>
                <w:rStyle w:val="95"/>
                <w:rFonts w:hint="eastAsia"/>
                <w:szCs w:val="21"/>
              </w:rPr>
              <w:t>出资比例</w:t>
            </w:r>
          </w:p>
        </w:tc>
        <w:tc>
          <w:tcPr>
            <w:tcW w:w="5727" w:type="dxa"/>
            <w:vAlign w:val="center"/>
          </w:tcPr>
          <w:p w14:paraId="2F0A97A6">
            <w:pPr>
              <w:jc w:val="left"/>
              <w:rPr>
                <w:rStyle w:val="95"/>
                <w:szCs w:val="21"/>
              </w:rPr>
            </w:pPr>
            <w:r>
              <w:rPr>
                <w:rStyle w:val="95"/>
                <w:rFonts w:hint="eastAsia"/>
                <w:szCs w:val="21"/>
              </w:rPr>
              <w:t xml:space="preserve"> </w:t>
            </w:r>
          </w:p>
        </w:tc>
      </w:tr>
      <w:tr w14:paraId="2304C1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6ACA0CD7">
            <w:pPr>
              <w:jc w:val="center"/>
              <w:rPr>
                <w:rStyle w:val="95"/>
                <w:szCs w:val="21"/>
              </w:rPr>
            </w:pPr>
            <w:r>
              <w:rPr>
                <w:rStyle w:val="95"/>
                <w:szCs w:val="21"/>
              </w:rPr>
              <w:t>1.2.3</w:t>
            </w:r>
          </w:p>
        </w:tc>
        <w:tc>
          <w:tcPr>
            <w:tcW w:w="1889" w:type="dxa"/>
            <w:vAlign w:val="center"/>
          </w:tcPr>
          <w:p w14:paraId="513BDC4D">
            <w:pPr>
              <w:jc w:val="center"/>
              <w:rPr>
                <w:rStyle w:val="95"/>
                <w:szCs w:val="21"/>
              </w:rPr>
            </w:pPr>
            <w:r>
              <w:rPr>
                <w:rStyle w:val="95"/>
                <w:rFonts w:hint="eastAsia"/>
                <w:szCs w:val="21"/>
              </w:rPr>
              <w:t>资金落实情况</w:t>
            </w:r>
          </w:p>
        </w:tc>
        <w:tc>
          <w:tcPr>
            <w:tcW w:w="5727" w:type="dxa"/>
            <w:vAlign w:val="center"/>
          </w:tcPr>
          <w:p w14:paraId="7DEC98BE">
            <w:pPr>
              <w:rPr>
                <w:rStyle w:val="95"/>
                <w:kern w:val="44"/>
                <w:position w:val="-6"/>
                <w:szCs w:val="21"/>
              </w:rPr>
            </w:pPr>
            <w:r>
              <w:rPr>
                <w:rStyle w:val="95"/>
                <w:rFonts w:hint="eastAsia"/>
                <w:kern w:val="44"/>
                <w:position w:val="-6"/>
                <w:szCs w:val="21"/>
              </w:rPr>
              <w:t>已落实</w:t>
            </w:r>
          </w:p>
        </w:tc>
      </w:tr>
      <w:tr w14:paraId="2CE2A1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2CECC9A6">
            <w:pPr>
              <w:jc w:val="center"/>
              <w:rPr>
                <w:rStyle w:val="95"/>
                <w:szCs w:val="21"/>
              </w:rPr>
            </w:pPr>
            <w:r>
              <w:rPr>
                <w:rStyle w:val="95"/>
                <w:szCs w:val="21"/>
              </w:rPr>
              <w:t>1.3.1</w:t>
            </w:r>
          </w:p>
        </w:tc>
        <w:tc>
          <w:tcPr>
            <w:tcW w:w="1889" w:type="dxa"/>
            <w:vAlign w:val="center"/>
          </w:tcPr>
          <w:p w14:paraId="428FAA36">
            <w:pPr>
              <w:jc w:val="center"/>
              <w:rPr>
                <w:rStyle w:val="95"/>
                <w:szCs w:val="21"/>
              </w:rPr>
            </w:pPr>
            <w:r>
              <w:rPr>
                <w:rStyle w:val="95"/>
                <w:rFonts w:hint="eastAsia"/>
                <w:szCs w:val="21"/>
              </w:rPr>
              <w:t>招标范围</w:t>
            </w:r>
          </w:p>
        </w:tc>
        <w:tc>
          <w:tcPr>
            <w:tcW w:w="5727" w:type="dxa"/>
            <w:vAlign w:val="center"/>
          </w:tcPr>
          <w:p w14:paraId="365F0B58">
            <w:pPr>
              <w:pStyle w:val="85"/>
              <w:spacing w:line="240" w:lineRule="auto"/>
              <w:rPr>
                <w:rStyle w:val="95"/>
                <w:rFonts w:ascii="Times New Roman" w:hAnsi="Times New Roman"/>
                <w:color w:val="auto"/>
                <w:sz w:val="21"/>
                <w:szCs w:val="21"/>
                <w:lang w:val="zh-CN"/>
              </w:rPr>
            </w:pPr>
            <w:r>
              <w:rPr>
                <w:rStyle w:val="95"/>
                <w:rFonts w:hint="eastAsia" w:ascii="Times New Roman" w:hAnsi="Times New Roman"/>
                <w:color w:val="auto"/>
                <w:sz w:val="21"/>
                <w:szCs w:val="21"/>
              </w:rPr>
              <w:t>工程总承包（</w:t>
            </w:r>
            <w:r>
              <w:rPr>
                <w:rFonts w:hint="eastAsia" w:ascii="MS Gothic" w:hAnsi="MS Gothic" w:eastAsia="MS Gothic" w:cs="MS Gothic"/>
              </w:rPr>
              <w:t>☑</w:t>
            </w:r>
            <w:r>
              <w:rPr>
                <w:rStyle w:val="95"/>
                <w:rFonts w:hint="eastAsia" w:ascii="Times New Roman" w:hAnsi="Times New Roman"/>
                <w:color w:val="auto"/>
                <w:sz w:val="21"/>
                <w:szCs w:val="21"/>
              </w:rPr>
              <w:t>设计采购施工</w:t>
            </w:r>
            <w:r>
              <w:rPr>
                <w:rFonts w:hint="eastAsia"/>
                <w:szCs w:val="21"/>
              </w:rPr>
              <w:t>□</w:t>
            </w:r>
            <w:r>
              <w:rPr>
                <w:rFonts w:hint="eastAsia" w:ascii="Times New Roman" w:hAnsi="Times New Roman"/>
                <w:color w:val="auto"/>
                <w:sz w:val="21"/>
                <w:szCs w:val="21"/>
              </w:rPr>
              <w:t>设计施工</w:t>
            </w:r>
            <w:r>
              <w:rPr>
                <w:rStyle w:val="95"/>
                <w:rFonts w:hint="eastAsia" w:ascii="Times New Roman" w:hAnsi="Times New Roman"/>
                <w:color w:val="auto"/>
                <w:sz w:val="21"/>
                <w:szCs w:val="21"/>
              </w:rPr>
              <w:t>）：设计包含施工图设计和后续服务等；施工包含施工图纸的全部内容。</w:t>
            </w:r>
          </w:p>
        </w:tc>
      </w:tr>
      <w:tr w14:paraId="0C05A9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332202BE">
            <w:pPr>
              <w:jc w:val="center"/>
              <w:rPr>
                <w:rStyle w:val="95"/>
                <w:szCs w:val="21"/>
              </w:rPr>
            </w:pPr>
            <w:r>
              <w:rPr>
                <w:rStyle w:val="95"/>
                <w:szCs w:val="21"/>
              </w:rPr>
              <w:t>1.3.2</w:t>
            </w:r>
          </w:p>
        </w:tc>
        <w:tc>
          <w:tcPr>
            <w:tcW w:w="1889" w:type="dxa"/>
            <w:vAlign w:val="center"/>
          </w:tcPr>
          <w:p w14:paraId="65D4E75F">
            <w:pPr>
              <w:jc w:val="center"/>
              <w:rPr>
                <w:rStyle w:val="95"/>
                <w:szCs w:val="21"/>
              </w:rPr>
            </w:pPr>
            <w:r>
              <w:rPr>
                <w:rStyle w:val="95"/>
                <w:rFonts w:hint="eastAsia"/>
                <w:szCs w:val="21"/>
              </w:rPr>
              <w:t>计划工期</w:t>
            </w:r>
          </w:p>
        </w:tc>
        <w:tc>
          <w:tcPr>
            <w:tcW w:w="5727" w:type="dxa"/>
            <w:vAlign w:val="center"/>
          </w:tcPr>
          <w:p w14:paraId="6D6B2C4D">
            <w:pPr>
              <w:rPr>
                <w:rStyle w:val="95"/>
                <w:szCs w:val="21"/>
              </w:rPr>
            </w:pPr>
            <w:r>
              <w:rPr>
                <w:rStyle w:val="95"/>
                <w:rFonts w:hint="eastAsia"/>
                <w:szCs w:val="21"/>
              </w:rPr>
              <w:t xml:space="preserve">   （其中：设计</w:t>
            </w:r>
            <w:r>
              <w:rPr>
                <w:rStyle w:val="95"/>
                <w:szCs w:val="21"/>
                <w:u w:val="single"/>
              </w:rPr>
              <w:t xml:space="preserve"> </w:t>
            </w:r>
            <w:r>
              <w:rPr>
                <w:rStyle w:val="95"/>
                <w:rFonts w:hint="eastAsia"/>
                <w:szCs w:val="21"/>
                <w:u w:val="single"/>
              </w:rPr>
              <w:t xml:space="preserve">  </w:t>
            </w:r>
            <w:r>
              <w:rPr>
                <w:rStyle w:val="95"/>
                <w:szCs w:val="21"/>
                <w:u w:val="single"/>
              </w:rPr>
              <w:t xml:space="preserve"> </w:t>
            </w:r>
            <w:r>
              <w:rPr>
                <w:rStyle w:val="95"/>
                <w:rFonts w:hint="eastAsia"/>
                <w:szCs w:val="21"/>
              </w:rPr>
              <w:t>日历天）</w:t>
            </w:r>
          </w:p>
        </w:tc>
      </w:tr>
      <w:tr w14:paraId="1EB2EA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04C3D48F">
            <w:pPr>
              <w:jc w:val="center"/>
              <w:rPr>
                <w:rStyle w:val="95"/>
                <w:szCs w:val="21"/>
              </w:rPr>
            </w:pPr>
            <w:r>
              <w:rPr>
                <w:rStyle w:val="95"/>
                <w:szCs w:val="21"/>
              </w:rPr>
              <w:t>1.3.3</w:t>
            </w:r>
          </w:p>
        </w:tc>
        <w:tc>
          <w:tcPr>
            <w:tcW w:w="1889" w:type="dxa"/>
            <w:vAlign w:val="center"/>
          </w:tcPr>
          <w:p w14:paraId="26964239">
            <w:pPr>
              <w:jc w:val="center"/>
              <w:rPr>
                <w:rStyle w:val="95"/>
                <w:szCs w:val="21"/>
              </w:rPr>
            </w:pPr>
            <w:r>
              <w:rPr>
                <w:rStyle w:val="95"/>
                <w:rFonts w:hint="eastAsia"/>
                <w:szCs w:val="21"/>
              </w:rPr>
              <w:t>质量要求</w:t>
            </w:r>
          </w:p>
        </w:tc>
        <w:tc>
          <w:tcPr>
            <w:tcW w:w="5727" w:type="dxa"/>
            <w:vAlign w:val="center"/>
          </w:tcPr>
          <w:p w14:paraId="74B6B435">
            <w:pPr>
              <w:rPr>
                <w:rStyle w:val="95"/>
                <w:kern w:val="0"/>
                <w:szCs w:val="21"/>
                <w:lang w:val="zh-CN"/>
              </w:rPr>
            </w:pPr>
            <w:r>
              <w:rPr>
                <w:rStyle w:val="95"/>
                <w:rFonts w:hint="eastAsia"/>
                <w:kern w:val="0"/>
                <w:szCs w:val="21"/>
                <w:lang w:val="zh-CN"/>
              </w:rPr>
              <w:t>合格</w:t>
            </w:r>
          </w:p>
        </w:tc>
      </w:tr>
      <w:tr w14:paraId="5F7A31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5AB4E034">
            <w:pPr>
              <w:jc w:val="center"/>
              <w:rPr>
                <w:rStyle w:val="95"/>
                <w:szCs w:val="21"/>
              </w:rPr>
            </w:pPr>
            <w:r>
              <w:rPr>
                <w:rStyle w:val="95"/>
                <w:szCs w:val="21"/>
              </w:rPr>
              <w:t>1.4.1</w:t>
            </w:r>
          </w:p>
        </w:tc>
        <w:tc>
          <w:tcPr>
            <w:tcW w:w="1889" w:type="dxa"/>
            <w:vAlign w:val="center"/>
          </w:tcPr>
          <w:p w14:paraId="01D73BF1">
            <w:pPr>
              <w:jc w:val="center"/>
              <w:rPr>
                <w:rStyle w:val="95"/>
                <w:szCs w:val="21"/>
              </w:rPr>
            </w:pPr>
            <w:r>
              <w:rPr>
                <w:rStyle w:val="95"/>
                <w:rFonts w:hint="eastAsia"/>
                <w:szCs w:val="21"/>
              </w:rPr>
              <w:t>投标人资质</w:t>
            </w:r>
          </w:p>
          <w:p w14:paraId="6D280F2F">
            <w:pPr>
              <w:jc w:val="center"/>
              <w:rPr>
                <w:rStyle w:val="95"/>
                <w:szCs w:val="21"/>
              </w:rPr>
            </w:pPr>
            <w:r>
              <w:rPr>
                <w:rStyle w:val="95"/>
                <w:rFonts w:hint="eastAsia"/>
                <w:szCs w:val="21"/>
              </w:rPr>
              <w:t>条件、能力</w:t>
            </w:r>
          </w:p>
          <w:p w14:paraId="2B467A62">
            <w:pPr>
              <w:jc w:val="center"/>
              <w:rPr>
                <w:rStyle w:val="95"/>
                <w:szCs w:val="21"/>
              </w:rPr>
            </w:pPr>
            <w:r>
              <w:rPr>
                <w:rStyle w:val="95"/>
                <w:rFonts w:hint="eastAsia"/>
                <w:szCs w:val="21"/>
              </w:rPr>
              <w:t>和信誉</w:t>
            </w:r>
          </w:p>
        </w:tc>
        <w:tc>
          <w:tcPr>
            <w:tcW w:w="5727" w:type="dxa"/>
            <w:vAlign w:val="center"/>
          </w:tcPr>
          <w:p w14:paraId="3D75A01D">
            <w:pPr>
              <w:rPr>
                <w:rFonts w:hint="eastAsia" w:ascii="宋体" w:hAnsi="宋体"/>
                <w:b/>
                <w:bCs/>
                <w:color w:val="FF0000"/>
                <w:szCs w:val="21"/>
              </w:rPr>
            </w:pPr>
            <w:r>
              <w:rPr>
                <w:rFonts w:hint="eastAsia" w:ascii="宋体" w:hAnsi="宋体"/>
                <w:b/>
                <w:bCs/>
                <w:color w:val="FF0000"/>
                <w:szCs w:val="21"/>
              </w:rPr>
              <w:t>资质条件: 见招标公告。</w:t>
            </w:r>
          </w:p>
          <w:p w14:paraId="33464721">
            <w:pPr>
              <w:rPr>
                <w:rFonts w:hint="eastAsia" w:ascii="宋体" w:hAnsi="宋体"/>
                <w:b/>
                <w:bCs/>
                <w:color w:val="FF0000"/>
                <w:szCs w:val="21"/>
              </w:rPr>
            </w:pPr>
            <w:r>
              <w:rPr>
                <w:rFonts w:hint="eastAsia" w:ascii="宋体" w:hAnsi="宋体"/>
                <w:b/>
                <w:bCs/>
                <w:color w:val="FF0000"/>
                <w:szCs w:val="21"/>
              </w:rPr>
              <w:t>项目经理资格: 见招标公告。</w:t>
            </w:r>
          </w:p>
          <w:p w14:paraId="073795DF">
            <w:pPr>
              <w:rPr>
                <w:rFonts w:hint="eastAsia" w:ascii="宋体" w:hAnsi="宋体"/>
                <w:b/>
                <w:bCs/>
                <w:color w:val="FF0000"/>
                <w:szCs w:val="21"/>
              </w:rPr>
            </w:pPr>
            <w:r>
              <w:rPr>
                <w:rFonts w:hint="eastAsia" w:ascii="宋体" w:hAnsi="宋体"/>
                <w:b/>
                <w:bCs/>
                <w:color w:val="FF0000"/>
                <w:szCs w:val="21"/>
              </w:rPr>
              <w:t>项目班子配备：见项目班子人员配备表（五）和“投标人须知”3.5.2。</w:t>
            </w:r>
          </w:p>
          <w:p w14:paraId="49FE540C">
            <w:pPr>
              <w:pStyle w:val="85"/>
              <w:spacing w:line="240" w:lineRule="auto"/>
              <w:rPr>
                <w:rStyle w:val="95"/>
                <w:rFonts w:ascii="Times New Roman" w:hAnsi="Times New Roman"/>
                <w:color w:val="auto"/>
                <w:sz w:val="21"/>
                <w:szCs w:val="21"/>
              </w:rPr>
            </w:pPr>
            <w:r>
              <w:rPr>
                <w:rFonts w:hint="eastAsia" w:ascii="宋体" w:hAnsi="宋体"/>
                <w:b/>
                <w:bCs/>
                <w:color w:val="FF0000"/>
                <w:sz w:val="21"/>
                <w:szCs w:val="21"/>
                <w:lang w:eastAsia="zh-CN"/>
              </w:rPr>
              <w:t>在建工程：</w:t>
            </w:r>
            <w:r>
              <w:rPr>
                <w:rFonts w:hint="eastAsia" w:ascii="Times New Roman" w:hAnsi="Times New Roman" w:eastAsia="宋体" w:cs="Times New Roman"/>
                <w:b/>
                <w:bCs/>
                <w:color w:val="FF0000"/>
                <w:sz w:val="21"/>
                <w:szCs w:val="21"/>
              </w:rPr>
              <w:t>是指主体工程未竣工的工程，因非承包方原因致使工程项目停工超过120天（含），经建设单位同意的除外</w:t>
            </w:r>
            <w:r>
              <w:rPr>
                <w:rFonts w:hint="eastAsia" w:ascii="Times New Roman" w:hAnsi="Times New Roman" w:eastAsia="宋体" w:cs="Times New Roman"/>
                <w:b/>
                <w:bCs/>
                <w:color w:val="FF0000"/>
                <w:sz w:val="21"/>
                <w:szCs w:val="21"/>
                <w:lang w:eastAsia="zh-CN"/>
              </w:rPr>
              <w:t>。</w:t>
            </w:r>
          </w:p>
        </w:tc>
      </w:tr>
      <w:tr w14:paraId="6E2A55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5621E276">
            <w:pPr>
              <w:jc w:val="center"/>
              <w:rPr>
                <w:rStyle w:val="95"/>
                <w:szCs w:val="21"/>
              </w:rPr>
            </w:pPr>
            <w:r>
              <w:rPr>
                <w:rStyle w:val="95"/>
                <w:szCs w:val="21"/>
              </w:rPr>
              <w:t>1.4.2</w:t>
            </w:r>
          </w:p>
        </w:tc>
        <w:tc>
          <w:tcPr>
            <w:tcW w:w="1889" w:type="dxa"/>
            <w:vAlign w:val="center"/>
          </w:tcPr>
          <w:p w14:paraId="0442D45E">
            <w:pPr>
              <w:jc w:val="center"/>
              <w:rPr>
                <w:rStyle w:val="95"/>
                <w:szCs w:val="21"/>
              </w:rPr>
            </w:pPr>
            <w:r>
              <w:rPr>
                <w:rStyle w:val="95"/>
                <w:rFonts w:hint="eastAsia"/>
                <w:szCs w:val="21"/>
              </w:rPr>
              <w:t>是否接受</w:t>
            </w:r>
          </w:p>
          <w:p w14:paraId="2E1ED22B">
            <w:pPr>
              <w:jc w:val="center"/>
              <w:rPr>
                <w:rStyle w:val="95"/>
                <w:szCs w:val="21"/>
              </w:rPr>
            </w:pPr>
            <w:r>
              <w:rPr>
                <w:rStyle w:val="95"/>
                <w:rFonts w:hint="eastAsia"/>
                <w:szCs w:val="21"/>
              </w:rPr>
              <w:t>联合体投标</w:t>
            </w:r>
          </w:p>
        </w:tc>
        <w:tc>
          <w:tcPr>
            <w:tcW w:w="5727" w:type="dxa"/>
            <w:vAlign w:val="center"/>
          </w:tcPr>
          <w:p w14:paraId="08D3960C">
            <w:pPr>
              <w:rPr>
                <w:kern w:val="0"/>
                <w:szCs w:val="21"/>
                <w:lang w:val="zh-CN"/>
              </w:rPr>
            </w:pPr>
            <w:r>
              <w:rPr>
                <w:rFonts w:hint="eastAsia" w:ascii="宋体" w:hAnsi="宋体"/>
                <w:szCs w:val="21"/>
                <w:lang w:eastAsia="zh-CN"/>
              </w:rPr>
              <w:t>□</w:t>
            </w:r>
            <w:r>
              <w:rPr>
                <w:rFonts w:hint="eastAsia"/>
                <w:kern w:val="0"/>
                <w:szCs w:val="21"/>
                <w:lang w:val="zh-CN"/>
              </w:rPr>
              <w:t>不接受</w:t>
            </w:r>
          </w:p>
          <w:p w14:paraId="49B14B43">
            <w:pPr>
              <w:rPr>
                <w:rStyle w:val="95"/>
                <w:kern w:val="0"/>
                <w:szCs w:val="21"/>
                <w:lang w:val="zh-CN"/>
              </w:rPr>
            </w:pPr>
            <w:r>
              <w:rPr>
                <w:rFonts w:hint="eastAsia" w:ascii="MS Gothic" w:hAnsi="MS Gothic" w:eastAsia="宋体" w:cs="MS Gothic"/>
                <w:lang w:eastAsia="zh-CN"/>
              </w:rPr>
              <w:t>☑</w:t>
            </w:r>
            <w:r>
              <w:rPr>
                <w:rFonts w:hint="eastAsia"/>
                <w:kern w:val="0"/>
                <w:szCs w:val="21"/>
                <w:lang w:val="zh-CN"/>
              </w:rPr>
              <w:t>接受，应满足下列要求：详见招标公告；</w:t>
            </w:r>
          </w:p>
        </w:tc>
      </w:tr>
      <w:tr w14:paraId="2633F5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1D1FD14B">
            <w:pPr>
              <w:jc w:val="center"/>
              <w:rPr>
                <w:rStyle w:val="95"/>
                <w:szCs w:val="21"/>
              </w:rPr>
            </w:pPr>
            <w:r>
              <w:rPr>
                <w:rStyle w:val="95"/>
                <w:szCs w:val="21"/>
              </w:rPr>
              <w:t>1.5.2</w:t>
            </w:r>
          </w:p>
        </w:tc>
        <w:tc>
          <w:tcPr>
            <w:tcW w:w="1889" w:type="dxa"/>
            <w:vAlign w:val="center"/>
          </w:tcPr>
          <w:p w14:paraId="1AFC964A">
            <w:pPr>
              <w:jc w:val="center"/>
              <w:rPr>
                <w:rStyle w:val="95"/>
                <w:szCs w:val="21"/>
              </w:rPr>
            </w:pPr>
            <w:r>
              <w:rPr>
                <w:rStyle w:val="95"/>
                <w:rFonts w:hint="eastAsia"/>
                <w:szCs w:val="21"/>
              </w:rPr>
              <w:t>经济补偿</w:t>
            </w:r>
          </w:p>
        </w:tc>
        <w:tc>
          <w:tcPr>
            <w:tcW w:w="5727" w:type="dxa"/>
            <w:vAlign w:val="center"/>
          </w:tcPr>
          <w:p w14:paraId="71B26077">
            <w:pPr>
              <w:rPr>
                <w:rStyle w:val="95"/>
                <w:szCs w:val="21"/>
              </w:rPr>
            </w:pPr>
            <w:r>
              <w:rPr>
                <w:rStyle w:val="95"/>
                <w:rFonts w:hint="eastAsia"/>
                <w:szCs w:val="21"/>
              </w:rPr>
              <w:t>未中标的投标方案，招标人不承担经济补偿。</w:t>
            </w:r>
          </w:p>
        </w:tc>
      </w:tr>
      <w:tr w14:paraId="73314B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314C623C">
            <w:pPr>
              <w:jc w:val="center"/>
              <w:rPr>
                <w:rStyle w:val="95"/>
                <w:szCs w:val="21"/>
              </w:rPr>
            </w:pPr>
            <w:r>
              <w:rPr>
                <w:rStyle w:val="95"/>
                <w:szCs w:val="21"/>
              </w:rPr>
              <w:t>1.9.1</w:t>
            </w:r>
          </w:p>
        </w:tc>
        <w:tc>
          <w:tcPr>
            <w:tcW w:w="1889" w:type="dxa"/>
            <w:vAlign w:val="center"/>
          </w:tcPr>
          <w:p w14:paraId="206C44F9">
            <w:pPr>
              <w:jc w:val="center"/>
              <w:rPr>
                <w:rStyle w:val="95"/>
                <w:szCs w:val="21"/>
              </w:rPr>
            </w:pPr>
            <w:r>
              <w:rPr>
                <w:rStyle w:val="95"/>
                <w:rFonts w:hint="eastAsia"/>
                <w:szCs w:val="21"/>
              </w:rPr>
              <w:t>踏勘现场</w:t>
            </w:r>
          </w:p>
        </w:tc>
        <w:tc>
          <w:tcPr>
            <w:tcW w:w="5727" w:type="dxa"/>
            <w:vAlign w:val="center"/>
          </w:tcPr>
          <w:p w14:paraId="74B913B9">
            <w:pPr>
              <w:rPr>
                <w:szCs w:val="21"/>
              </w:rPr>
            </w:pPr>
            <w:r>
              <w:rPr>
                <w:rFonts w:hint="eastAsia" w:ascii="MS Gothic" w:hAnsi="MS Gothic" w:eastAsia="MS Gothic" w:cs="MS Gothic"/>
              </w:rPr>
              <w:t>☑</w:t>
            </w:r>
            <w:r>
              <w:rPr>
                <w:rFonts w:hint="eastAsia"/>
                <w:szCs w:val="21"/>
              </w:rPr>
              <w:t>不组织</w:t>
            </w:r>
            <w:r>
              <w:rPr>
                <w:rStyle w:val="95"/>
                <w:rFonts w:hint="eastAsia"/>
                <w:szCs w:val="21"/>
              </w:rPr>
              <w:t>，投标人自行踏勘，风险自负</w:t>
            </w:r>
          </w:p>
          <w:p w14:paraId="491636F5">
            <w:pPr>
              <w:rPr>
                <w:rStyle w:val="95"/>
                <w:szCs w:val="21"/>
              </w:rPr>
            </w:pPr>
            <w:r>
              <w:rPr>
                <w:rFonts w:hint="eastAsia" w:ascii="宋体" w:hAnsi="宋体"/>
                <w:szCs w:val="21"/>
              </w:rPr>
              <w:t>□</w:t>
            </w:r>
            <w:r>
              <w:rPr>
                <w:rFonts w:hint="eastAsia"/>
                <w:szCs w:val="21"/>
              </w:rPr>
              <w:t>组织，踏勘时间和地点：</w:t>
            </w:r>
          </w:p>
        </w:tc>
      </w:tr>
      <w:tr w14:paraId="5D68B0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743EE2C3">
            <w:pPr>
              <w:jc w:val="center"/>
              <w:rPr>
                <w:rStyle w:val="95"/>
                <w:szCs w:val="21"/>
              </w:rPr>
            </w:pPr>
            <w:r>
              <w:rPr>
                <w:rStyle w:val="95"/>
                <w:szCs w:val="21"/>
              </w:rPr>
              <w:t>1.10.1</w:t>
            </w:r>
          </w:p>
        </w:tc>
        <w:tc>
          <w:tcPr>
            <w:tcW w:w="1889" w:type="dxa"/>
            <w:vAlign w:val="center"/>
          </w:tcPr>
          <w:p w14:paraId="45E039B4">
            <w:pPr>
              <w:jc w:val="center"/>
              <w:rPr>
                <w:rStyle w:val="95"/>
                <w:szCs w:val="21"/>
              </w:rPr>
            </w:pPr>
            <w:r>
              <w:rPr>
                <w:rStyle w:val="95"/>
                <w:rFonts w:hint="eastAsia"/>
                <w:szCs w:val="21"/>
              </w:rPr>
              <w:t>投标预备会</w:t>
            </w:r>
          </w:p>
        </w:tc>
        <w:tc>
          <w:tcPr>
            <w:tcW w:w="5727" w:type="dxa"/>
            <w:vAlign w:val="center"/>
          </w:tcPr>
          <w:p w14:paraId="7DD78154">
            <w:pPr>
              <w:rPr>
                <w:szCs w:val="21"/>
              </w:rPr>
            </w:pPr>
            <w:r>
              <w:rPr>
                <w:rFonts w:hint="eastAsia" w:ascii="MS Gothic" w:hAnsi="MS Gothic" w:eastAsia="MS Gothic" w:cs="MS Gothic"/>
              </w:rPr>
              <w:t>☑</w:t>
            </w:r>
            <w:r>
              <w:rPr>
                <w:rFonts w:hint="eastAsia"/>
                <w:szCs w:val="21"/>
              </w:rPr>
              <w:t>不召开</w:t>
            </w:r>
          </w:p>
          <w:p w14:paraId="4DDD10EC">
            <w:pPr>
              <w:rPr>
                <w:rStyle w:val="95"/>
                <w:szCs w:val="21"/>
              </w:rPr>
            </w:pPr>
            <w:r>
              <w:rPr>
                <w:rFonts w:hint="eastAsia" w:ascii="宋体" w:hAnsi="宋体"/>
                <w:szCs w:val="21"/>
              </w:rPr>
              <w:t>□</w:t>
            </w:r>
            <w:r>
              <w:rPr>
                <w:rFonts w:hint="eastAsia"/>
                <w:szCs w:val="21"/>
              </w:rPr>
              <w:t>召开，具体时间和地点：</w:t>
            </w:r>
          </w:p>
        </w:tc>
      </w:tr>
      <w:tr w14:paraId="35462F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535C5507">
            <w:pPr>
              <w:jc w:val="center"/>
              <w:rPr>
                <w:rStyle w:val="95"/>
                <w:szCs w:val="21"/>
              </w:rPr>
            </w:pPr>
            <w:r>
              <w:rPr>
                <w:rStyle w:val="95"/>
                <w:szCs w:val="21"/>
              </w:rPr>
              <w:t>1.10.2</w:t>
            </w:r>
          </w:p>
        </w:tc>
        <w:tc>
          <w:tcPr>
            <w:tcW w:w="1889" w:type="dxa"/>
            <w:vAlign w:val="center"/>
          </w:tcPr>
          <w:p w14:paraId="7F5C615F">
            <w:pPr>
              <w:jc w:val="center"/>
              <w:rPr>
                <w:rStyle w:val="95"/>
                <w:spacing w:val="-8"/>
                <w:szCs w:val="21"/>
              </w:rPr>
            </w:pPr>
            <w:r>
              <w:rPr>
                <w:rFonts w:hint="eastAsia"/>
                <w:szCs w:val="21"/>
              </w:rPr>
              <w:t>投标人提出异议的截止时间</w:t>
            </w:r>
          </w:p>
        </w:tc>
        <w:tc>
          <w:tcPr>
            <w:tcW w:w="5727" w:type="dxa"/>
            <w:vAlign w:val="center"/>
          </w:tcPr>
          <w:p w14:paraId="6986354D">
            <w:pPr>
              <w:rPr>
                <w:rStyle w:val="95"/>
                <w:szCs w:val="21"/>
              </w:rPr>
            </w:pPr>
            <w:r>
              <w:rPr>
                <w:rFonts w:hint="eastAsia"/>
                <w:szCs w:val="21"/>
              </w:rPr>
              <w:t>投标截止时间</w:t>
            </w:r>
            <w:r>
              <w:rPr>
                <w:szCs w:val="21"/>
              </w:rPr>
              <w:t>10</w:t>
            </w:r>
            <w:r>
              <w:rPr>
                <w:rFonts w:hint="eastAsia"/>
                <w:szCs w:val="21"/>
              </w:rPr>
              <w:t>日前，通过电子交易平台向招标人提出</w:t>
            </w:r>
          </w:p>
        </w:tc>
      </w:tr>
      <w:tr w14:paraId="544D9F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3D86A802">
            <w:pPr>
              <w:jc w:val="center"/>
              <w:rPr>
                <w:rStyle w:val="95"/>
                <w:szCs w:val="21"/>
              </w:rPr>
            </w:pPr>
            <w:r>
              <w:rPr>
                <w:rStyle w:val="95"/>
                <w:szCs w:val="21"/>
              </w:rPr>
              <w:t>1.10.3</w:t>
            </w:r>
          </w:p>
        </w:tc>
        <w:tc>
          <w:tcPr>
            <w:tcW w:w="1889" w:type="dxa"/>
            <w:vAlign w:val="center"/>
          </w:tcPr>
          <w:p w14:paraId="07A5D297">
            <w:pPr>
              <w:jc w:val="center"/>
              <w:rPr>
                <w:rStyle w:val="95"/>
                <w:spacing w:val="-8"/>
                <w:szCs w:val="21"/>
              </w:rPr>
            </w:pPr>
            <w:r>
              <w:rPr>
                <w:rStyle w:val="95"/>
                <w:rFonts w:hint="eastAsia"/>
                <w:spacing w:val="-8"/>
                <w:szCs w:val="21"/>
              </w:rPr>
              <w:t>招标人收到异议</w:t>
            </w:r>
          </w:p>
          <w:p w14:paraId="6114FA45">
            <w:pPr>
              <w:jc w:val="center"/>
              <w:rPr>
                <w:rStyle w:val="95"/>
                <w:szCs w:val="21"/>
              </w:rPr>
            </w:pPr>
            <w:r>
              <w:rPr>
                <w:rStyle w:val="95"/>
                <w:rFonts w:hint="eastAsia"/>
                <w:spacing w:val="-8"/>
                <w:szCs w:val="21"/>
              </w:rPr>
              <w:t>答复的时间和方式</w:t>
            </w:r>
          </w:p>
        </w:tc>
        <w:tc>
          <w:tcPr>
            <w:tcW w:w="5727" w:type="dxa"/>
            <w:vAlign w:val="center"/>
          </w:tcPr>
          <w:p w14:paraId="0E94A36D">
            <w:pPr>
              <w:rPr>
                <w:rStyle w:val="95"/>
                <w:szCs w:val="21"/>
              </w:rPr>
            </w:pPr>
            <w:r>
              <w:rPr>
                <w:rStyle w:val="95"/>
                <w:rFonts w:hint="eastAsia"/>
                <w:szCs w:val="21"/>
              </w:rPr>
              <w:t>自收到异议之日起</w:t>
            </w:r>
            <w:r>
              <w:rPr>
                <w:rStyle w:val="95"/>
                <w:szCs w:val="21"/>
              </w:rPr>
              <w:t>3</w:t>
            </w:r>
            <w:r>
              <w:rPr>
                <w:rStyle w:val="95"/>
                <w:rFonts w:hint="eastAsia"/>
                <w:szCs w:val="21"/>
              </w:rPr>
              <w:t>日内答复，通过电子交易平台发布</w:t>
            </w:r>
            <w:r>
              <w:rPr>
                <w:rFonts w:hint="eastAsia"/>
                <w:szCs w:val="21"/>
              </w:rPr>
              <w:t>并短信通知所有下载招标文件的投标人</w:t>
            </w:r>
          </w:p>
        </w:tc>
      </w:tr>
      <w:tr w14:paraId="36F0CC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0DEE742A">
            <w:pPr>
              <w:jc w:val="center"/>
              <w:rPr>
                <w:rStyle w:val="95"/>
                <w:szCs w:val="21"/>
              </w:rPr>
            </w:pPr>
            <w:r>
              <w:rPr>
                <w:rStyle w:val="95"/>
                <w:szCs w:val="21"/>
              </w:rPr>
              <w:t>1.11</w:t>
            </w:r>
          </w:p>
        </w:tc>
        <w:tc>
          <w:tcPr>
            <w:tcW w:w="1889" w:type="dxa"/>
            <w:vAlign w:val="center"/>
          </w:tcPr>
          <w:p w14:paraId="0869E87C">
            <w:pPr>
              <w:jc w:val="center"/>
              <w:rPr>
                <w:rStyle w:val="95"/>
                <w:szCs w:val="21"/>
              </w:rPr>
            </w:pPr>
            <w:r>
              <w:rPr>
                <w:rStyle w:val="95"/>
                <w:rFonts w:hint="eastAsia"/>
                <w:szCs w:val="21"/>
              </w:rPr>
              <w:t>分包</w:t>
            </w:r>
          </w:p>
        </w:tc>
        <w:tc>
          <w:tcPr>
            <w:tcW w:w="5727" w:type="dxa"/>
            <w:vAlign w:val="center"/>
          </w:tcPr>
          <w:p w14:paraId="0053D448">
            <w:pPr>
              <w:rPr>
                <w:szCs w:val="21"/>
              </w:rPr>
            </w:pPr>
            <w:r>
              <w:rPr>
                <w:rFonts w:hint="eastAsia" w:ascii="宋体" w:hAnsi="宋体"/>
                <w:szCs w:val="21"/>
                <w:lang w:eastAsia="zh-CN"/>
              </w:rPr>
              <w:t>□</w:t>
            </w:r>
            <w:r>
              <w:rPr>
                <w:rFonts w:hint="eastAsia"/>
                <w:szCs w:val="21"/>
              </w:rPr>
              <w:t>不允许</w:t>
            </w:r>
          </w:p>
          <w:p w14:paraId="055B141F">
            <w:pPr>
              <w:rPr>
                <w:szCs w:val="21"/>
              </w:rPr>
            </w:pPr>
            <w:r>
              <w:rPr>
                <w:rFonts w:hint="eastAsia" w:ascii="MS Gothic" w:hAnsi="MS Gothic" w:eastAsia="宋体" w:cs="MS Gothic"/>
                <w:lang w:eastAsia="zh-CN"/>
              </w:rPr>
              <w:t>□</w:t>
            </w:r>
            <w:r>
              <w:rPr>
                <w:rFonts w:hint="eastAsia"/>
                <w:szCs w:val="21"/>
              </w:rPr>
              <w:t>允许</w:t>
            </w:r>
          </w:p>
          <w:p w14:paraId="2B1EE2A9">
            <w:pPr>
              <w:rPr>
                <w:szCs w:val="21"/>
              </w:rPr>
            </w:pPr>
            <w:r>
              <w:rPr>
                <w:szCs w:val="21"/>
              </w:rPr>
              <w:t>1.</w:t>
            </w:r>
            <w:r>
              <w:rPr>
                <w:rFonts w:hint="eastAsia"/>
                <w:szCs w:val="21"/>
              </w:rPr>
              <w:t>分包内容：</w:t>
            </w:r>
          </w:p>
          <w:p w14:paraId="4138897D">
            <w:pPr>
              <w:rPr>
                <w:szCs w:val="21"/>
              </w:rPr>
            </w:pPr>
            <w:r>
              <w:rPr>
                <w:szCs w:val="21"/>
              </w:rPr>
              <w:t>2.</w:t>
            </w:r>
            <w:r>
              <w:rPr>
                <w:rFonts w:hint="eastAsia"/>
                <w:szCs w:val="21"/>
              </w:rPr>
              <w:t>分包人资质要求：相应专业承包资质；</w:t>
            </w:r>
          </w:p>
          <w:p w14:paraId="0C0090EF">
            <w:pPr>
              <w:rPr>
                <w:szCs w:val="21"/>
              </w:rPr>
            </w:pPr>
            <w:r>
              <w:rPr>
                <w:szCs w:val="21"/>
              </w:rPr>
              <w:t>3.</w:t>
            </w:r>
            <w:r>
              <w:rPr>
                <w:rFonts w:hint="eastAsia"/>
                <w:szCs w:val="21"/>
              </w:rPr>
              <w:t>分包方式：依法分包，包工包料，超过国家强制性公开招标标准范围的分包项目需公开招标。</w:t>
            </w:r>
          </w:p>
          <w:p w14:paraId="6DE7D547">
            <w:pPr>
              <w:rPr>
                <w:rStyle w:val="95"/>
                <w:szCs w:val="21"/>
              </w:rPr>
            </w:pPr>
            <w:r>
              <w:rPr>
                <w:szCs w:val="21"/>
              </w:rPr>
              <w:t>4.</w:t>
            </w:r>
            <w:r>
              <w:rPr>
                <w:rFonts w:hint="eastAsia"/>
                <w:szCs w:val="21"/>
              </w:rPr>
              <w:t>分包估算价：</w:t>
            </w:r>
          </w:p>
        </w:tc>
      </w:tr>
      <w:tr w14:paraId="024F7D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5D79DFA9">
            <w:pPr>
              <w:jc w:val="center"/>
              <w:rPr>
                <w:rStyle w:val="95"/>
                <w:szCs w:val="21"/>
              </w:rPr>
            </w:pPr>
            <w:r>
              <w:rPr>
                <w:rStyle w:val="95"/>
                <w:szCs w:val="21"/>
              </w:rPr>
              <w:t>1.12</w:t>
            </w:r>
          </w:p>
        </w:tc>
        <w:tc>
          <w:tcPr>
            <w:tcW w:w="1889" w:type="dxa"/>
            <w:vAlign w:val="center"/>
          </w:tcPr>
          <w:p w14:paraId="5D35784A">
            <w:pPr>
              <w:jc w:val="center"/>
              <w:rPr>
                <w:rStyle w:val="95"/>
                <w:szCs w:val="21"/>
              </w:rPr>
            </w:pPr>
            <w:r>
              <w:rPr>
                <w:rStyle w:val="95"/>
                <w:rFonts w:hint="eastAsia"/>
                <w:szCs w:val="21"/>
              </w:rPr>
              <w:t>偏离</w:t>
            </w:r>
          </w:p>
        </w:tc>
        <w:tc>
          <w:tcPr>
            <w:tcW w:w="5727" w:type="dxa"/>
            <w:vAlign w:val="center"/>
          </w:tcPr>
          <w:p w14:paraId="546FD0C8">
            <w:pPr>
              <w:rPr>
                <w:rStyle w:val="95"/>
                <w:szCs w:val="21"/>
              </w:rPr>
            </w:pPr>
            <w:r>
              <w:rPr>
                <w:rStyle w:val="95"/>
                <w:rFonts w:hint="eastAsia"/>
                <w:szCs w:val="21"/>
              </w:rPr>
              <w:t>不允许偏离</w:t>
            </w:r>
          </w:p>
        </w:tc>
      </w:tr>
      <w:tr w14:paraId="010D87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394533BA">
            <w:pPr>
              <w:jc w:val="center"/>
              <w:rPr>
                <w:rStyle w:val="95"/>
                <w:szCs w:val="21"/>
              </w:rPr>
            </w:pPr>
            <w:r>
              <w:rPr>
                <w:rStyle w:val="95"/>
                <w:szCs w:val="21"/>
              </w:rPr>
              <w:t>2.1.1</w:t>
            </w:r>
          </w:p>
        </w:tc>
        <w:tc>
          <w:tcPr>
            <w:tcW w:w="1889" w:type="dxa"/>
            <w:vAlign w:val="center"/>
          </w:tcPr>
          <w:p w14:paraId="4BC2ADA6">
            <w:pPr>
              <w:jc w:val="center"/>
              <w:rPr>
                <w:rStyle w:val="95"/>
                <w:szCs w:val="21"/>
              </w:rPr>
            </w:pPr>
            <w:r>
              <w:rPr>
                <w:rStyle w:val="95"/>
                <w:rFonts w:hint="eastAsia"/>
                <w:szCs w:val="21"/>
              </w:rPr>
              <w:t>招标文件</w:t>
            </w:r>
          </w:p>
        </w:tc>
        <w:tc>
          <w:tcPr>
            <w:tcW w:w="5727" w:type="dxa"/>
            <w:vAlign w:val="center"/>
          </w:tcPr>
          <w:p w14:paraId="43853ADA">
            <w:pPr>
              <w:rPr>
                <w:rStyle w:val="95"/>
                <w:szCs w:val="21"/>
              </w:rPr>
            </w:pPr>
            <w:r>
              <w:rPr>
                <w:rFonts w:hint="eastAsia"/>
                <w:szCs w:val="21"/>
              </w:rPr>
              <w:t>招标人（招标代理机构）将数据电文形式的招标文件加载至电子交易平台，供潜在投标人下载或者查阅，不发售纸质版招标文件。投标人（中标人）从电子交易平台下载打印的纸质版招标文件与数据电文招标文件具有同等效力。有关机构需要中标人提供纸质版招标文件时，中标人仅需在电子交易平台下载打印的纸质版招标文件封面加盖本企业公章并注明</w:t>
            </w:r>
            <w:r>
              <w:rPr>
                <w:szCs w:val="21"/>
              </w:rPr>
              <w:t>“</w:t>
            </w:r>
            <w:r>
              <w:rPr>
                <w:rFonts w:hint="eastAsia"/>
                <w:szCs w:val="21"/>
              </w:rPr>
              <w:t>与数据电文招标文件内容一致</w:t>
            </w:r>
            <w:r>
              <w:rPr>
                <w:szCs w:val="21"/>
              </w:rPr>
              <w:t>”</w:t>
            </w:r>
            <w:r>
              <w:rPr>
                <w:rFonts w:hint="eastAsia"/>
                <w:szCs w:val="21"/>
              </w:rPr>
              <w:t>即可。</w:t>
            </w:r>
          </w:p>
        </w:tc>
      </w:tr>
      <w:tr w14:paraId="5C05AC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6F75B40B">
            <w:pPr>
              <w:jc w:val="center"/>
              <w:rPr>
                <w:rStyle w:val="95"/>
                <w:szCs w:val="21"/>
              </w:rPr>
            </w:pPr>
            <w:r>
              <w:rPr>
                <w:rStyle w:val="95"/>
                <w:szCs w:val="21"/>
              </w:rPr>
              <w:t>2.1.2</w:t>
            </w:r>
          </w:p>
        </w:tc>
        <w:tc>
          <w:tcPr>
            <w:tcW w:w="1889" w:type="dxa"/>
            <w:vAlign w:val="center"/>
          </w:tcPr>
          <w:p w14:paraId="0FF496E2">
            <w:pPr>
              <w:jc w:val="center"/>
              <w:rPr>
                <w:rStyle w:val="95"/>
                <w:szCs w:val="21"/>
              </w:rPr>
            </w:pPr>
            <w:r>
              <w:rPr>
                <w:rStyle w:val="95"/>
                <w:rFonts w:hint="eastAsia"/>
                <w:szCs w:val="21"/>
              </w:rPr>
              <w:t>构成招标文件的其他材料</w:t>
            </w:r>
          </w:p>
        </w:tc>
        <w:tc>
          <w:tcPr>
            <w:tcW w:w="5727" w:type="dxa"/>
            <w:vAlign w:val="center"/>
          </w:tcPr>
          <w:p w14:paraId="1508AE5D">
            <w:pPr>
              <w:rPr>
                <w:szCs w:val="21"/>
              </w:rPr>
            </w:pPr>
            <w:r>
              <w:rPr>
                <w:rFonts w:hint="eastAsia" w:ascii="宋体" w:hAnsi="宋体"/>
                <w:szCs w:val="21"/>
              </w:rPr>
              <w:t>□</w:t>
            </w:r>
            <w:r>
              <w:rPr>
                <w:rFonts w:hint="eastAsia"/>
                <w:szCs w:val="21"/>
              </w:rPr>
              <w:t>无</w:t>
            </w:r>
          </w:p>
          <w:p w14:paraId="436C5EF7">
            <w:pPr>
              <w:rPr>
                <w:rStyle w:val="95"/>
                <w:szCs w:val="21"/>
              </w:rPr>
            </w:pPr>
            <w:r>
              <w:rPr>
                <w:rFonts w:hint="eastAsia" w:ascii="MS Gothic" w:hAnsi="MS Gothic" w:eastAsia="MS Gothic" w:cs="MS Gothic"/>
              </w:rPr>
              <w:t>☑</w:t>
            </w:r>
            <w:r>
              <w:rPr>
                <w:rFonts w:hint="eastAsia"/>
                <w:szCs w:val="21"/>
              </w:rPr>
              <w:t>有，工程量清单（由招标人负责提供模拟工程量清单作为招标文件的组成部分）、答疑或补漏文件（如有）</w:t>
            </w:r>
          </w:p>
        </w:tc>
      </w:tr>
      <w:tr w14:paraId="7993FC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6703EE7E">
            <w:pPr>
              <w:jc w:val="center"/>
              <w:rPr>
                <w:szCs w:val="21"/>
              </w:rPr>
            </w:pPr>
            <w:r>
              <w:rPr>
                <w:szCs w:val="21"/>
              </w:rPr>
              <w:t>2.2.1</w:t>
            </w:r>
          </w:p>
        </w:tc>
        <w:tc>
          <w:tcPr>
            <w:tcW w:w="1889" w:type="dxa"/>
            <w:vAlign w:val="center"/>
          </w:tcPr>
          <w:p w14:paraId="3616BD82">
            <w:pPr>
              <w:rPr>
                <w:szCs w:val="21"/>
              </w:rPr>
            </w:pPr>
            <w:r>
              <w:rPr>
                <w:rFonts w:hint="eastAsia" w:ascii="宋体" w:hAnsi="宋体"/>
                <w:szCs w:val="21"/>
              </w:rPr>
              <w:t>招标人对已发出的招标文件进行澄清或者修改的截止时间和方式</w:t>
            </w:r>
          </w:p>
        </w:tc>
        <w:tc>
          <w:tcPr>
            <w:tcW w:w="5727" w:type="dxa"/>
            <w:vAlign w:val="center"/>
          </w:tcPr>
          <w:p w14:paraId="41948EBB">
            <w:pPr>
              <w:ind w:firstLine="210" w:firstLineChars="100"/>
              <w:rPr>
                <w:szCs w:val="21"/>
              </w:rPr>
            </w:pPr>
            <w:r>
              <w:rPr>
                <w:rFonts w:hint="eastAsia" w:ascii="宋体" w:hAnsi="宋体"/>
                <w:szCs w:val="21"/>
              </w:rPr>
              <w:t>投标截止时间至少</w:t>
            </w:r>
            <w:r>
              <w:rPr>
                <w:rFonts w:ascii="宋体" w:hAnsi="宋体"/>
                <w:szCs w:val="21"/>
              </w:rPr>
              <w:t>15</w:t>
            </w:r>
            <w:r>
              <w:rPr>
                <w:rFonts w:hint="eastAsia" w:ascii="宋体" w:hAnsi="宋体"/>
                <w:szCs w:val="21"/>
              </w:rPr>
              <w:t>日前，通过电子交易平台发布并短信通知所有下载招标文件的投标人</w:t>
            </w:r>
            <w:r>
              <w:rPr>
                <w:rFonts w:ascii="宋体" w:hAnsi="宋体"/>
                <w:szCs w:val="21"/>
              </w:rPr>
              <w:t xml:space="preserve">  </w:t>
            </w:r>
          </w:p>
        </w:tc>
      </w:tr>
      <w:tr w14:paraId="346380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5AF24C2D">
            <w:pPr>
              <w:jc w:val="center"/>
              <w:rPr>
                <w:rStyle w:val="95"/>
                <w:szCs w:val="21"/>
              </w:rPr>
            </w:pPr>
            <w:r>
              <w:rPr>
                <w:rStyle w:val="95"/>
                <w:szCs w:val="21"/>
              </w:rPr>
              <w:t>2.2.2</w:t>
            </w:r>
          </w:p>
        </w:tc>
        <w:tc>
          <w:tcPr>
            <w:tcW w:w="1889" w:type="dxa"/>
            <w:vAlign w:val="center"/>
          </w:tcPr>
          <w:p w14:paraId="6E054118">
            <w:pPr>
              <w:rPr>
                <w:rStyle w:val="95"/>
                <w:szCs w:val="21"/>
              </w:rPr>
            </w:pPr>
            <w:r>
              <w:rPr>
                <w:rFonts w:hint="eastAsia" w:ascii="宋体" w:hAnsi="宋体"/>
                <w:szCs w:val="21"/>
              </w:rPr>
              <w:t>投标截止时间</w:t>
            </w:r>
          </w:p>
        </w:tc>
        <w:tc>
          <w:tcPr>
            <w:tcW w:w="5727" w:type="dxa"/>
            <w:vAlign w:val="center"/>
          </w:tcPr>
          <w:p w14:paraId="1098183F">
            <w:pPr>
              <w:adjustRightInd w:val="0"/>
              <w:snapToGrid w:val="0"/>
              <w:spacing w:line="360" w:lineRule="auto"/>
              <w:ind w:right="-210" w:rightChars="-100"/>
              <w:jc w:val="left"/>
              <w:rPr>
                <w:rStyle w:val="95"/>
                <w:szCs w:val="21"/>
              </w:rPr>
            </w:pPr>
            <w:r>
              <w:rPr>
                <w:rFonts w:hint="eastAsia" w:ascii="宋体" w:hAnsi="宋体" w:cs="宋体"/>
                <w:kern w:val="44"/>
                <w:position w:val="-6"/>
                <w:szCs w:val="21"/>
              </w:rPr>
              <w:t xml:space="preserve">    年  月   日   时  分</w:t>
            </w:r>
          </w:p>
        </w:tc>
      </w:tr>
      <w:tr w14:paraId="59F54B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32597E65">
            <w:pPr>
              <w:jc w:val="center"/>
              <w:rPr>
                <w:szCs w:val="21"/>
              </w:rPr>
            </w:pPr>
            <w:r>
              <w:rPr>
                <w:rStyle w:val="95"/>
                <w:szCs w:val="21"/>
              </w:rPr>
              <w:t>2.2.3</w:t>
            </w:r>
          </w:p>
        </w:tc>
        <w:tc>
          <w:tcPr>
            <w:tcW w:w="1889" w:type="dxa"/>
            <w:vAlign w:val="center"/>
          </w:tcPr>
          <w:p w14:paraId="31DFCF94">
            <w:pPr>
              <w:rPr>
                <w:rStyle w:val="95"/>
                <w:szCs w:val="21"/>
              </w:rPr>
            </w:pPr>
            <w:r>
              <w:rPr>
                <w:rFonts w:hint="eastAsia" w:ascii="宋体" w:hAnsi="宋体"/>
                <w:szCs w:val="21"/>
              </w:rPr>
              <w:t>投标人确认收到招标文件澄清的时间</w:t>
            </w:r>
          </w:p>
        </w:tc>
        <w:tc>
          <w:tcPr>
            <w:tcW w:w="5727" w:type="dxa"/>
            <w:vAlign w:val="center"/>
          </w:tcPr>
          <w:p w14:paraId="4DAE98AC">
            <w:pPr>
              <w:rPr>
                <w:rStyle w:val="95"/>
                <w:szCs w:val="21"/>
              </w:rPr>
            </w:pPr>
            <w:r>
              <w:rPr>
                <w:rFonts w:hint="eastAsia" w:ascii="宋体" w:hAnsi="宋体"/>
                <w:szCs w:val="21"/>
              </w:rPr>
              <w:t>以电子交易平台短信通知时间后</w:t>
            </w:r>
            <w:r>
              <w:rPr>
                <w:rFonts w:ascii="宋体" w:hAnsi="宋体"/>
                <w:szCs w:val="21"/>
                <w:u w:val="single"/>
              </w:rPr>
              <w:t xml:space="preserve"> 24 </w:t>
            </w:r>
            <w:r>
              <w:rPr>
                <w:rFonts w:hint="eastAsia" w:ascii="宋体" w:hAnsi="宋体"/>
                <w:szCs w:val="21"/>
              </w:rPr>
              <w:t>小时为准</w:t>
            </w:r>
          </w:p>
        </w:tc>
      </w:tr>
      <w:tr w14:paraId="7AB5B0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68413257">
            <w:pPr>
              <w:jc w:val="center"/>
              <w:rPr>
                <w:rStyle w:val="95"/>
                <w:szCs w:val="21"/>
              </w:rPr>
            </w:pPr>
            <w:r>
              <w:rPr>
                <w:rFonts w:ascii="宋体" w:hAnsi="宋体"/>
                <w:szCs w:val="21"/>
              </w:rPr>
              <w:t>2.3.2</w:t>
            </w:r>
          </w:p>
        </w:tc>
        <w:tc>
          <w:tcPr>
            <w:tcW w:w="1889" w:type="dxa"/>
            <w:vAlign w:val="center"/>
          </w:tcPr>
          <w:p w14:paraId="65477D01">
            <w:pPr>
              <w:rPr>
                <w:rFonts w:ascii="宋体"/>
                <w:szCs w:val="21"/>
              </w:rPr>
            </w:pPr>
            <w:r>
              <w:rPr>
                <w:rFonts w:hint="eastAsia" w:ascii="宋体" w:hAnsi="宋体"/>
                <w:szCs w:val="21"/>
              </w:rPr>
              <w:t>投标人确认收到招标文件修改的时间</w:t>
            </w:r>
          </w:p>
        </w:tc>
        <w:tc>
          <w:tcPr>
            <w:tcW w:w="5727" w:type="dxa"/>
            <w:vAlign w:val="center"/>
          </w:tcPr>
          <w:p w14:paraId="30156458">
            <w:pPr>
              <w:rPr>
                <w:rFonts w:ascii="宋体"/>
                <w:szCs w:val="21"/>
              </w:rPr>
            </w:pPr>
            <w:r>
              <w:rPr>
                <w:rFonts w:hint="eastAsia" w:ascii="宋体" w:hAnsi="宋体"/>
                <w:szCs w:val="21"/>
              </w:rPr>
              <w:t>以电子交易平台短信通知时间后</w:t>
            </w:r>
            <w:r>
              <w:rPr>
                <w:rFonts w:ascii="宋体" w:hAnsi="宋体"/>
                <w:szCs w:val="21"/>
                <w:u w:val="single"/>
              </w:rPr>
              <w:t xml:space="preserve"> 24 </w:t>
            </w:r>
            <w:r>
              <w:rPr>
                <w:rFonts w:hint="eastAsia" w:ascii="宋体" w:hAnsi="宋体"/>
                <w:szCs w:val="21"/>
              </w:rPr>
              <w:t>小时为准</w:t>
            </w:r>
          </w:p>
        </w:tc>
      </w:tr>
      <w:tr w14:paraId="2820A9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17FE6ADB">
            <w:pPr>
              <w:jc w:val="center"/>
              <w:rPr>
                <w:rStyle w:val="95"/>
                <w:szCs w:val="21"/>
              </w:rPr>
            </w:pPr>
            <w:r>
              <w:rPr>
                <w:rStyle w:val="95"/>
                <w:szCs w:val="21"/>
              </w:rPr>
              <w:t>3.1.1</w:t>
            </w:r>
          </w:p>
        </w:tc>
        <w:tc>
          <w:tcPr>
            <w:tcW w:w="1889" w:type="dxa"/>
            <w:vAlign w:val="center"/>
          </w:tcPr>
          <w:p w14:paraId="2D5A1D2A">
            <w:pPr>
              <w:jc w:val="center"/>
              <w:rPr>
                <w:rStyle w:val="95"/>
                <w:szCs w:val="21"/>
              </w:rPr>
            </w:pPr>
            <w:r>
              <w:rPr>
                <w:rStyle w:val="95"/>
                <w:rFonts w:hint="eastAsia"/>
                <w:szCs w:val="21"/>
              </w:rPr>
              <w:t>构成投标文件的其他材料</w:t>
            </w:r>
          </w:p>
        </w:tc>
        <w:tc>
          <w:tcPr>
            <w:tcW w:w="5727" w:type="dxa"/>
            <w:vAlign w:val="center"/>
          </w:tcPr>
          <w:p w14:paraId="728EF8A0">
            <w:pPr>
              <w:rPr>
                <w:szCs w:val="21"/>
              </w:rPr>
            </w:pPr>
            <w:r>
              <w:rPr>
                <w:rFonts w:hint="eastAsia" w:ascii="MS Gothic" w:hAnsi="MS Gothic" w:eastAsia="MS Gothic" w:cs="MS Gothic"/>
              </w:rPr>
              <w:t>☑</w:t>
            </w:r>
            <w:r>
              <w:rPr>
                <w:rFonts w:hint="eastAsia"/>
                <w:szCs w:val="21"/>
              </w:rPr>
              <w:t>无</w:t>
            </w:r>
          </w:p>
          <w:p w14:paraId="30F3C416">
            <w:pPr>
              <w:rPr>
                <w:szCs w:val="21"/>
              </w:rPr>
            </w:pPr>
            <w:r>
              <w:rPr>
                <w:rFonts w:hint="eastAsia" w:ascii="宋体" w:hAnsi="宋体"/>
                <w:szCs w:val="21"/>
              </w:rPr>
              <w:t>□</w:t>
            </w:r>
            <w:r>
              <w:rPr>
                <w:rFonts w:hint="eastAsia"/>
                <w:szCs w:val="21"/>
              </w:rPr>
              <w:t>有</w:t>
            </w:r>
          </w:p>
        </w:tc>
      </w:tr>
      <w:tr w14:paraId="780200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0C85F04A">
            <w:pPr>
              <w:jc w:val="center"/>
              <w:rPr>
                <w:rStyle w:val="95"/>
                <w:szCs w:val="21"/>
              </w:rPr>
            </w:pPr>
            <w:r>
              <w:rPr>
                <w:rStyle w:val="95"/>
                <w:szCs w:val="21"/>
              </w:rPr>
              <w:t>3.2.2</w:t>
            </w:r>
          </w:p>
        </w:tc>
        <w:tc>
          <w:tcPr>
            <w:tcW w:w="1889" w:type="dxa"/>
            <w:vAlign w:val="center"/>
          </w:tcPr>
          <w:p w14:paraId="1B4A219B">
            <w:pPr>
              <w:jc w:val="center"/>
              <w:rPr>
                <w:rStyle w:val="95"/>
                <w:szCs w:val="21"/>
              </w:rPr>
            </w:pPr>
            <w:r>
              <w:rPr>
                <w:rStyle w:val="95"/>
                <w:rFonts w:hint="eastAsia"/>
                <w:szCs w:val="21"/>
              </w:rPr>
              <w:t>投标报价</w:t>
            </w:r>
          </w:p>
        </w:tc>
        <w:tc>
          <w:tcPr>
            <w:tcW w:w="5727" w:type="dxa"/>
            <w:vAlign w:val="center"/>
          </w:tcPr>
          <w:p w14:paraId="3D1C987C">
            <w:pPr>
              <w:rPr>
                <w:szCs w:val="21"/>
              </w:rPr>
            </w:pPr>
            <w:r>
              <w:rPr>
                <w:rStyle w:val="95"/>
                <w:rFonts w:hint="eastAsia"/>
                <w:kern w:val="0"/>
                <w:szCs w:val="21"/>
              </w:rPr>
              <w:t>投标人投标时响应招标文件要求所报出的施工图设计费、建安工程费、基本预备费的总价</w:t>
            </w:r>
          </w:p>
        </w:tc>
      </w:tr>
      <w:tr w14:paraId="205062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4A0807B1">
            <w:pPr>
              <w:jc w:val="center"/>
              <w:rPr>
                <w:rStyle w:val="95"/>
                <w:szCs w:val="21"/>
              </w:rPr>
            </w:pPr>
            <w:r>
              <w:rPr>
                <w:rStyle w:val="95"/>
                <w:szCs w:val="21"/>
              </w:rPr>
              <w:t>3.3.1</w:t>
            </w:r>
          </w:p>
        </w:tc>
        <w:tc>
          <w:tcPr>
            <w:tcW w:w="1889" w:type="dxa"/>
            <w:vAlign w:val="center"/>
          </w:tcPr>
          <w:p w14:paraId="00158232">
            <w:pPr>
              <w:rPr>
                <w:rStyle w:val="95"/>
                <w:szCs w:val="21"/>
              </w:rPr>
            </w:pPr>
            <w:r>
              <w:rPr>
                <w:rFonts w:hint="eastAsia" w:ascii="宋体" w:hAnsi="宋体"/>
                <w:szCs w:val="21"/>
              </w:rPr>
              <w:t>投标有效期</w:t>
            </w:r>
          </w:p>
        </w:tc>
        <w:tc>
          <w:tcPr>
            <w:tcW w:w="5727" w:type="dxa"/>
            <w:vAlign w:val="center"/>
          </w:tcPr>
          <w:p w14:paraId="5E596BDD">
            <w:pPr>
              <w:rPr>
                <w:rStyle w:val="95"/>
                <w:szCs w:val="21"/>
              </w:rPr>
            </w:pPr>
            <w:r>
              <w:rPr>
                <w:rFonts w:hint="eastAsia" w:ascii="宋体" w:hAnsi="宋体"/>
                <w:szCs w:val="21"/>
              </w:rPr>
              <w:t>是指为保证招标人有足够的时间在开标后完成评标、定标、合同签订等工作而要求投标人提交的投标文件在一定时间内保持有效的期限，从提交投标文件的截止之日起算</w:t>
            </w:r>
            <w:r>
              <w:rPr>
                <w:rFonts w:ascii="宋体" w:hAnsi="宋体"/>
                <w:szCs w:val="21"/>
                <w:u w:val="single"/>
              </w:rPr>
              <w:t>90</w:t>
            </w:r>
            <w:r>
              <w:rPr>
                <w:rFonts w:hint="eastAsia" w:ascii="宋体" w:hAnsi="宋体"/>
                <w:szCs w:val="21"/>
              </w:rPr>
              <w:t>天。</w:t>
            </w:r>
          </w:p>
        </w:tc>
      </w:tr>
      <w:tr w14:paraId="7166A2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5A7CA26F">
            <w:pPr>
              <w:jc w:val="center"/>
              <w:rPr>
                <w:rStyle w:val="95"/>
                <w:szCs w:val="21"/>
              </w:rPr>
            </w:pPr>
            <w:r>
              <w:rPr>
                <w:rStyle w:val="95"/>
                <w:szCs w:val="21"/>
              </w:rPr>
              <w:t>3.4</w:t>
            </w:r>
          </w:p>
        </w:tc>
        <w:tc>
          <w:tcPr>
            <w:tcW w:w="1889" w:type="dxa"/>
            <w:vAlign w:val="center"/>
          </w:tcPr>
          <w:p w14:paraId="36F87BDC">
            <w:pPr>
              <w:jc w:val="center"/>
              <w:rPr>
                <w:rStyle w:val="95"/>
                <w:szCs w:val="21"/>
              </w:rPr>
            </w:pPr>
            <w:r>
              <w:rPr>
                <w:rStyle w:val="95"/>
                <w:rFonts w:hint="eastAsia"/>
                <w:szCs w:val="21"/>
              </w:rPr>
              <w:t>投标保证金</w:t>
            </w:r>
          </w:p>
        </w:tc>
        <w:tc>
          <w:tcPr>
            <w:tcW w:w="5727" w:type="dxa"/>
            <w:vAlign w:val="center"/>
          </w:tcPr>
          <w:p w14:paraId="71054BA7">
            <w:pPr>
              <w:pStyle w:val="937"/>
              <w:adjustRightInd w:val="0"/>
              <w:snapToGrid w:val="0"/>
              <w:rPr>
                <w:rFonts w:hint="eastAsia" w:ascii="宋体" w:hAnsi="宋体"/>
              </w:rPr>
            </w:pPr>
            <w:r>
              <w:rPr>
                <w:rFonts w:hint="eastAsia" w:ascii="宋体" w:hAnsi="宋体"/>
              </w:rPr>
              <w:t>1</w:t>
            </w:r>
            <w:r>
              <w:rPr>
                <w:rFonts w:hint="eastAsia" w:ascii="宋体" w:hAnsi="宋体"/>
                <w:lang w:eastAsia="zh-CN"/>
              </w:rPr>
              <w:t>、</w:t>
            </w:r>
            <w:r>
              <w:rPr>
                <w:rFonts w:hint="eastAsia" w:ascii="宋体" w:hAnsi="宋体"/>
              </w:rPr>
              <w:t>投标保证金不得超过项目估算价的2%，且最高不得超过50万元，投标保证金金额：_____万元。</w:t>
            </w:r>
          </w:p>
          <w:p w14:paraId="241E58F6">
            <w:pPr>
              <w:pStyle w:val="937"/>
              <w:adjustRightInd w:val="0"/>
              <w:snapToGrid w:val="0"/>
              <w:rPr>
                <w:rFonts w:hint="eastAsia" w:ascii="宋体" w:hAnsi="宋体" w:cs="宋体"/>
                <w:szCs w:val="21"/>
              </w:rPr>
            </w:pPr>
            <w:r>
              <w:rPr>
                <w:rFonts w:hint="eastAsia" w:ascii="宋体" w:hAnsi="宋体"/>
              </w:rPr>
              <w:t>2、投标人自主选择以下投标保证金形式：</w:t>
            </w:r>
            <w:r>
              <w:rPr>
                <w:rFonts w:hint="eastAsia" w:ascii="宋体" w:hAnsi="宋体" w:cs="宋体"/>
                <w:szCs w:val="21"/>
              </w:rPr>
              <w:t>①银行保函②担保保函③</w:t>
            </w:r>
            <w:r>
              <w:rPr>
                <w:rFonts w:hint="eastAsia" w:ascii="宋体" w:hAnsi="宋体" w:cs="宋体"/>
                <w:szCs w:val="21"/>
                <w:lang w:eastAsia="zh-CN"/>
              </w:rPr>
              <w:t>保证</w:t>
            </w:r>
            <w:r>
              <w:rPr>
                <w:rFonts w:hint="eastAsia" w:ascii="宋体" w:hAnsi="宋体" w:cs="宋体"/>
                <w:szCs w:val="21"/>
              </w:rPr>
              <w:t>保险保</w:t>
            </w:r>
            <w:r>
              <w:rPr>
                <w:rFonts w:hint="eastAsia" w:ascii="宋体" w:hAnsi="宋体" w:cs="宋体"/>
                <w:szCs w:val="21"/>
                <w:lang w:eastAsia="zh-CN"/>
              </w:rPr>
              <w:t>单</w:t>
            </w:r>
            <w:r>
              <w:rPr>
                <w:rFonts w:hint="eastAsia" w:ascii="宋体" w:hAnsi="宋体" w:cs="宋体"/>
                <w:szCs w:val="21"/>
              </w:rPr>
              <w:t>④转账(从其基本账户转出)。</w:t>
            </w:r>
          </w:p>
          <w:p w14:paraId="5C11D7E2">
            <w:pPr>
              <w:pStyle w:val="937"/>
              <w:adjustRightInd w:val="0"/>
              <w:snapToGrid w:val="0"/>
              <w:rPr>
                <w:rFonts w:hint="eastAsia" w:ascii="宋体" w:hAnsi="宋体" w:cs="宋体"/>
                <w:szCs w:val="21"/>
              </w:rPr>
            </w:pPr>
            <w:r>
              <w:rPr>
                <w:rFonts w:hint="eastAsia" w:ascii="宋体" w:hAnsi="宋体" w:cs="宋体"/>
                <w:szCs w:val="21"/>
              </w:rPr>
              <w:t>3、具备条件的，可以出具电子保函。</w:t>
            </w:r>
          </w:p>
          <w:p w14:paraId="332974FD">
            <w:pPr>
              <w:rPr>
                <w:rFonts w:hint="eastAsia" w:ascii="宋体" w:hAnsi="宋体"/>
              </w:rPr>
            </w:pPr>
            <w:r>
              <w:rPr>
                <w:rFonts w:hint="eastAsia" w:ascii="宋体" w:hAnsi="宋体" w:cs="宋体"/>
                <w:szCs w:val="21"/>
                <w:lang w:val="en-US" w:eastAsia="zh-CN"/>
              </w:rPr>
              <w:t>4</w:t>
            </w:r>
            <w:r>
              <w:rPr>
                <w:rFonts w:hint="eastAsia" w:ascii="宋体" w:hAnsi="宋体" w:cs="宋体"/>
                <w:szCs w:val="21"/>
              </w:rPr>
              <w:t>、</w:t>
            </w:r>
            <w:r>
              <w:rPr>
                <w:rFonts w:hint="eastAsia" w:ascii="宋体" w:hAnsi="宋体"/>
              </w:rPr>
              <w:t>提交时间：于投标截止时间前。</w:t>
            </w:r>
          </w:p>
          <w:p w14:paraId="7A32FC44">
            <w:pPr>
              <w:rPr>
                <w:rFonts w:hint="eastAsia" w:ascii="宋体" w:hAnsi="宋体"/>
                <w:szCs w:val="21"/>
              </w:rPr>
            </w:pPr>
            <w:r>
              <w:rPr>
                <w:rFonts w:hint="eastAsia" w:ascii="宋体" w:hAnsi="宋体"/>
                <w:lang w:val="en-US" w:eastAsia="zh-CN"/>
              </w:rPr>
              <w:t>5</w:t>
            </w:r>
            <w:r>
              <w:rPr>
                <w:rFonts w:hint="eastAsia" w:ascii="宋体" w:hAnsi="宋体"/>
              </w:rPr>
              <w:t>、</w:t>
            </w:r>
            <w:r>
              <w:rPr>
                <w:rFonts w:hint="eastAsia" w:ascii="宋体" w:hAnsi="宋体"/>
                <w:szCs w:val="21"/>
              </w:rPr>
              <w:t>收款人名称：</w:t>
            </w:r>
            <w:r>
              <w:rPr>
                <w:rFonts w:hint="eastAsia" w:ascii="宋体" w:hAnsi="宋体" w:cs="宋体"/>
                <w:szCs w:val="21"/>
              </w:rPr>
              <w:t xml:space="preserve">  </w:t>
            </w:r>
          </w:p>
          <w:p w14:paraId="03671D0D">
            <w:pPr>
              <w:rPr>
                <w:rFonts w:hint="eastAsia" w:ascii="宋体" w:hAnsi="宋体"/>
                <w:szCs w:val="21"/>
              </w:rPr>
            </w:pPr>
            <w:r>
              <w:rPr>
                <w:rFonts w:hint="eastAsia" w:ascii="宋体" w:hAnsi="宋体"/>
                <w:szCs w:val="21"/>
                <w:lang w:val="en-US" w:eastAsia="zh-CN"/>
              </w:rPr>
              <w:t>6</w:t>
            </w:r>
            <w:r>
              <w:rPr>
                <w:rFonts w:hint="eastAsia" w:ascii="宋体" w:hAnsi="宋体"/>
                <w:szCs w:val="21"/>
              </w:rPr>
              <w:t xml:space="preserve">、开户账号： </w:t>
            </w:r>
          </w:p>
          <w:p w14:paraId="3832FE2A">
            <w:pPr>
              <w:pStyle w:val="861"/>
              <w:snapToGrid w:val="0"/>
              <w:rPr>
                <w:rStyle w:val="95"/>
                <w:rFonts w:ascii="Times New Roman" w:hAnsi="Times New Roman"/>
                <w:szCs w:val="21"/>
                <w:lang w:val="en-US"/>
              </w:rPr>
            </w:pPr>
            <w:r>
              <w:rPr>
                <w:rFonts w:hint="eastAsia" w:ascii="宋体" w:hAnsi="宋体"/>
                <w:szCs w:val="21"/>
                <w:lang w:val="en-US" w:eastAsia="zh-CN"/>
              </w:rPr>
              <w:t>7</w:t>
            </w:r>
            <w:r>
              <w:rPr>
                <w:rFonts w:hint="eastAsia" w:ascii="宋体" w:hAnsi="宋体"/>
                <w:szCs w:val="21"/>
              </w:rPr>
              <w:t>、开户银行</w:t>
            </w:r>
            <w:r>
              <w:rPr>
                <w:rStyle w:val="95"/>
                <w:rFonts w:hint="eastAsia" w:ascii="Times New Roman" w:hAnsi="Times New Roman"/>
                <w:szCs w:val="21"/>
                <w:lang w:val="en-US"/>
              </w:rPr>
              <w:t xml:space="preserve">： </w:t>
            </w:r>
          </w:p>
          <w:p w14:paraId="284E976C">
            <w:pPr>
              <w:pStyle w:val="861"/>
              <w:snapToGrid w:val="0"/>
              <w:rPr>
                <w:rFonts w:ascii="Times New Roman" w:hAnsi="Times New Roman"/>
                <w:szCs w:val="21"/>
                <w:lang w:val="en-US"/>
              </w:rPr>
            </w:pPr>
            <w:r>
              <w:rPr>
                <w:rStyle w:val="95"/>
                <w:rFonts w:hint="eastAsia" w:ascii="Times New Roman" w:hAnsi="Times New Roman"/>
                <w:szCs w:val="21"/>
                <w:lang w:val="en-US" w:eastAsia="zh-CN"/>
              </w:rPr>
              <w:t>8</w:t>
            </w:r>
            <w:r>
              <w:rPr>
                <w:rStyle w:val="95"/>
                <w:rFonts w:ascii="Times New Roman" w:hAnsi="Times New Roman"/>
                <w:szCs w:val="21"/>
                <w:lang w:val="en-US"/>
              </w:rPr>
              <w:t>.</w:t>
            </w:r>
            <w:r>
              <w:rPr>
                <w:rFonts w:hint="eastAsia" w:ascii="Times New Roman" w:hAnsi="Times New Roman"/>
                <w:szCs w:val="21"/>
                <w:lang w:val="en-US"/>
              </w:rPr>
              <w:t>退还投标保证金及银行同期存款利息时间：</w:t>
            </w:r>
          </w:p>
          <w:p w14:paraId="1767243B">
            <w:pPr>
              <w:pStyle w:val="861"/>
              <w:snapToGrid w:val="0"/>
              <w:rPr>
                <w:rStyle w:val="95"/>
                <w:rFonts w:ascii="Times New Roman" w:hAnsi="Times New Roman"/>
                <w:szCs w:val="21"/>
                <w:lang w:val="en-US"/>
              </w:rPr>
            </w:pPr>
            <w:r>
              <w:rPr>
                <w:rFonts w:hint="eastAsia" w:ascii="Times New Roman" w:hAnsi="Times New Roman"/>
                <w:szCs w:val="21"/>
                <w:lang w:val="en-US"/>
              </w:rPr>
              <w:t>（</w:t>
            </w:r>
            <w:r>
              <w:rPr>
                <w:rFonts w:ascii="Times New Roman" w:hAnsi="Times New Roman"/>
                <w:szCs w:val="21"/>
                <w:lang w:val="en-US"/>
              </w:rPr>
              <w:t>1</w:t>
            </w:r>
            <w:r>
              <w:rPr>
                <w:rFonts w:hint="eastAsia" w:ascii="Times New Roman" w:hAnsi="Times New Roman"/>
                <w:szCs w:val="21"/>
                <w:lang w:val="en-US"/>
              </w:rPr>
              <w:t>）在中标通知书发出后</w:t>
            </w:r>
            <w:r>
              <w:rPr>
                <w:rFonts w:ascii="Times New Roman" w:hAnsi="Times New Roman"/>
                <w:szCs w:val="21"/>
                <w:lang w:val="en-US"/>
              </w:rPr>
              <w:t>5</w:t>
            </w:r>
            <w:r>
              <w:rPr>
                <w:rFonts w:hint="eastAsia" w:ascii="Times New Roman" w:hAnsi="Times New Roman"/>
                <w:szCs w:val="21"/>
                <w:lang w:val="en-US"/>
              </w:rPr>
              <w:t>日内向未中标人退还；（</w:t>
            </w:r>
            <w:r>
              <w:rPr>
                <w:rFonts w:ascii="Times New Roman" w:hAnsi="Times New Roman"/>
                <w:szCs w:val="21"/>
                <w:lang w:val="en-US"/>
              </w:rPr>
              <w:t>2</w:t>
            </w:r>
            <w:r>
              <w:rPr>
                <w:rFonts w:hint="eastAsia" w:ascii="Times New Roman" w:hAnsi="Times New Roman"/>
                <w:szCs w:val="21"/>
                <w:lang w:val="en-US"/>
              </w:rPr>
              <w:t>）在书面合同签订后</w:t>
            </w:r>
            <w:r>
              <w:rPr>
                <w:rFonts w:ascii="Times New Roman" w:hAnsi="Times New Roman"/>
                <w:szCs w:val="21"/>
                <w:lang w:val="en-US"/>
              </w:rPr>
              <w:t>5</w:t>
            </w:r>
            <w:r>
              <w:rPr>
                <w:rFonts w:hint="eastAsia" w:ascii="Times New Roman" w:hAnsi="Times New Roman"/>
                <w:szCs w:val="21"/>
                <w:lang w:val="en-US"/>
              </w:rPr>
              <w:t>日内向中标人退还。</w:t>
            </w:r>
          </w:p>
          <w:p w14:paraId="5EB28EAD">
            <w:pPr>
              <w:pStyle w:val="861"/>
              <w:snapToGrid w:val="0"/>
              <w:rPr>
                <w:rStyle w:val="95"/>
                <w:rFonts w:ascii="Times New Roman" w:hAnsi="Times New Roman"/>
                <w:szCs w:val="21"/>
                <w:lang w:val="en-US"/>
              </w:rPr>
            </w:pPr>
            <w:r>
              <w:rPr>
                <w:rStyle w:val="95"/>
                <w:rFonts w:hint="eastAsia" w:ascii="Times New Roman" w:hAnsi="Times New Roman"/>
                <w:szCs w:val="21"/>
                <w:lang w:val="en-US" w:eastAsia="zh-CN"/>
              </w:rPr>
              <w:t>9</w:t>
            </w:r>
            <w:r>
              <w:rPr>
                <w:rStyle w:val="95"/>
                <w:rFonts w:ascii="Times New Roman" w:hAnsi="Times New Roman"/>
                <w:szCs w:val="21"/>
                <w:lang w:val="en-US"/>
              </w:rPr>
              <w:t>.</w:t>
            </w:r>
            <w:r>
              <w:rPr>
                <w:rStyle w:val="95"/>
                <w:rFonts w:hint="eastAsia" w:ascii="Times New Roman" w:hAnsi="Times New Roman"/>
                <w:szCs w:val="21"/>
                <w:lang w:val="en-US"/>
              </w:rPr>
              <w:t>退还方式：</w:t>
            </w:r>
            <w:r>
              <w:rPr>
                <w:rFonts w:hint="eastAsia" w:ascii="宋体" w:hAnsi="宋体"/>
                <w:szCs w:val="21"/>
              </w:rPr>
              <w:t>退还到投标人银行基本账户</w:t>
            </w:r>
            <w:r>
              <w:rPr>
                <w:rStyle w:val="95"/>
                <w:rFonts w:hint="eastAsia" w:ascii="Times New Roman" w:hAnsi="Times New Roman"/>
                <w:szCs w:val="21"/>
                <w:lang w:val="en-US"/>
              </w:rPr>
              <w:t>。</w:t>
            </w:r>
          </w:p>
          <w:p w14:paraId="5FC79EC4">
            <w:pPr>
              <w:pStyle w:val="861"/>
              <w:snapToGrid w:val="0"/>
              <w:rPr>
                <w:rStyle w:val="95"/>
                <w:rFonts w:ascii="Times New Roman" w:hAnsi="Times New Roman"/>
                <w:szCs w:val="21"/>
                <w:lang w:val="en-US"/>
              </w:rPr>
            </w:pPr>
            <w:r>
              <w:rPr>
                <w:rStyle w:val="95"/>
                <w:rFonts w:hint="eastAsia" w:ascii="Times New Roman" w:hAnsi="Times New Roman"/>
                <w:szCs w:val="21"/>
                <w:lang w:val="en-US" w:eastAsia="zh-CN"/>
              </w:rPr>
              <w:t>10</w:t>
            </w:r>
            <w:r>
              <w:rPr>
                <w:rStyle w:val="95"/>
                <w:rFonts w:ascii="Times New Roman" w:hAnsi="Times New Roman"/>
                <w:szCs w:val="21"/>
                <w:lang w:val="en-US"/>
              </w:rPr>
              <w:t>.</w:t>
            </w:r>
            <w:r>
              <w:rPr>
                <w:rStyle w:val="95"/>
                <w:rFonts w:hint="eastAsia" w:ascii="Times New Roman" w:hAnsi="Times New Roman"/>
                <w:b/>
                <w:szCs w:val="21"/>
                <w:lang w:val="en-US"/>
              </w:rPr>
              <w:t>投标人为上一年度的省级骨干企业，投标保证金金额减半。</w:t>
            </w:r>
          </w:p>
          <w:p w14:paraId="0B0949D4">
            <w:pPr>
              <w:pStyle w:val="861"/>
              <w:snapToGrid w:val="0"/>
              <w:rPr>
                <w:rStyle w:val="95"/>
                <w:rFonts w:ascii="Times New Roman" w:hAnsi="Times New Roman"/>
                <w:szCs w:val="21"/>
                <w:lang w:val="en-US"/>
              </w:rPr>
            </w:pPr>
            <w:r>
              <w:rPr>
                <w:rStyle w:val="95"/>
                <w:rFonts w:hint="eastAsia" w:ascii="Times New Roman" w:hAnsi="Times New Roman"/>
                <w:szCs w:val="21"/>
                <w:lang w:val="en-US"/>
              </w:rPr>
              <w:t>注：在用途栏注明项目名称、标段（如有）</w:t>
            </w:r>
          </w:p>
        </w:tc>
      </w:tr>
      <w:tr w14:paraId="526174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74274320">
            <w:pPr>
              <w:jc w:val="center"/>
              <w:rPr>
                <w:rStyle w:val="95"/>
                <w:szCs w:val="21"/>
              </w:rPr>
            </w:pPr>
            <w:r>
              <w:rPr>
                <w:rStyle w:val="95"/>
                <w:szCs w:val="21"/>
              </w:rPr>
              <w:t>3.5</w:t>
            </w:r>
          </w:p>
        </w:tc>
        <w:tc>
          <w:tcPr>
            <w:tcW w:w="1889" w:type="dxa"/>
            <w:vAlign w:val="center"/>
          </w:tcPr>
          <w:p w14:paraId="2E318922">
            <w:pPr>
              <w:jc w:val="center"/>
              <w:rPr>
                <w:rStyle w:val="95"/>
                <w:szCs w:val="21"/>
              </w:rPr>
            </w:pPr>
            <w:r>
              <w:rPr>
                <w:rStyle w:val="95"/>
                <w:rFonts w:hint="eastAsia"/>
                <w:szCs w:val="21"/>
              </w:rPr>
              <w:t>资格审查资料</w:t>
            </w:r>
          </w:p>
        </w:tc>
        <w:tc>
          <w:tcPr>
            <w:tcW w:w="5727" w:type="dxa"/>
            <w:vAlign w:val="center"/>
          </w:tcPr>
          <w:p w14:paraId="6C037F87">
            <w:pPr>
              <w:spacing w:line="372" w:lineRule="auto"/>
              <w:rPr>
                <w:rStyle w:val="95"/>
                <w:szCs w:val="21"/>
              </w:rPr>
            </w:pPr>
            <w:r>
              <w:rPr>
                <w:rFonts w:hint="eastAsia"/>
                <w:szCs w:val="21"/>
              </w:rPr>
              <w:t>投标文件中的企业营业执照、资质证书、安全生产许可证、授权委托书及受托人身份证、联合体协议书（如有）、承包人（投标人）项目班子人员配备登记表、人员证件及人员身份证（班子人员</w:t>
            </w:r>
            <w:r>
              <w:rPr>
                <w:rFonts w:hint="eastAsia"/>
                <w:szCs w:val="21"/>
                <w:lang w:eastAsia="zh-CN"/>
              </w:rPr>
              <w:t>中存在住房和城乡建设部办公厅《关于做好工程建设领域专业技术人员职业资格“挂证”等违法违规行为专项整治工作的补充通知》建办市函【</w:t>
            </w:r>
            <w:r>
              <w:rPr>
                <w:rFonts w:hint="eastAsia"/>
                <w:szCs w:val="21"/>
                <w:lang w:val="en-US" w:eastAsia="zh-CN"/>
              </w:rPr>
              <w:t>2019</w:t>
            </w:r>
            <w:r>
              <w:rPr>
                <w:rFonts w:hint="eastAsia"/>
                <w:szCs w:val="21"/>
                <w:lang w:eastAsia="zh-CN"/>
              </w:rPr>
              <w:t>】</w:t>
            </w:r>
            <w:r>
              <w:rPr>
                <w:rFonts w:hint="eastAsia"/>
                <w:szCs w:val="21"/>
                <w:lang w:val="en-US" w:eastAsia="zh-CN"/>
              </w:rPr>
              <w:t>92号文件要求的6类情形的，在提供相应证明材料后，原则上不认定为“挂证”行为；其它情形的班子人员</w:t>
            </w:r>
            <w:r>
              <w:rPr>
                <w:rFonts w:hint="eastAsia"/>
                <w:szCs w:val="21"/>
                <w:lang w:eastAsia="zh-CN"/>
              </w:rPr>
              <w:t>均</w:t>
            </w:r>
            <w:r>
              <w:rPr>
                <w:rFonts w:hint="eastAsia"/>
                <w:szCs w:val="21"/>
              </w:rPr>
              <w:t>须提供</w:t>
            </w:r>
            <w:r>
              <w:rPr>
                <w:rFonts w:hint="eastAsia"/>
                <w:szCs w:val="21"/>
                <w:lang w:eastAsia="zh-CN"/>
              </w:rPr>
              <w:t>近</w:t>
            </w:r>
            <w:r>
              <w:rPr>
                <w:rFonts w:hint="eastAsia"/>
                <w:szCs w:val="21"/>
                <w:lang w:val="en-US" w:eastAsia="zh-CN"/>
              </w:rPr>
              <w:t>6个月内任意一个月</w:t>
            </w:r>
            <w:r>
              <w:rPr>
                <w:rFonts w:hint="eastAsia"/>
                <w:szCs w:val="21"/>
              </w:rPr>
              <w:t>具备二维码扫描功能或通过网址登录可查询的养老保险</w:t>
            </w:r>
            <w:r>
              <w:rPr>
                <w:rFonts w:hint="eastAsia"/>
                <w:szCs w:val="21"/>
                <w:lang w:eastAsia="zh-CN"/>
              </w:rPr>
              <w:t>参保证明</w:t>
            </w:r>
            <w:r>
              <w:rPr>
                <w:rFonts w:hint="eastAsia"/>
                <w:szCs w:val="21"/>
              </w:rPr>
              <w:t>）。</w:t>
            </w:r>
          </w:p>
        </w:tc>
      </w:tr>
      <w:tr w14:paraId="4355A5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49D9DA4A">
            <w:pPr>
              <w:jc w:val="center"/>
              <w:rPr>
                <w:rStyle w:val="95"/>
                <w:szCs w:val="21"/>
              </w:rPr>
            </w:pPr>
            <w:r>
              <w:rPr>
                <w:rStyle w:val="95"/>
                <w:szCs w:val="21"/>
              </w:rPr>
              <w:t>3.5.4</w:t>
            </w:r>
          </w:p>
        </w:tc>
        <w:tc>
          <w:tcPr>
            <w:tcW w:w="1889" w:type="dxa"/>
            <w:vAlign w:val="center"/>
          </w:tcPr>
          <w:p w14:paraId="7D3E86DE">
            <w:pPr>
              <w:rPr>
                <w:rStyle w:val="95"/>
                <w:szCs w:val="21"/>
              </w:rPr>
            </w:pPr>
            <w:r>
              <w:rPr>
                <w:rFonts w:hint="eastAsia" w:ascii="宋体" w:hAnsi="宋体"/>
                <w:szCs w:val="21"/>
              </w:rPr>
              <w:t>近年已完成的同类型工程</w:t>
            </w:r>
          </w:p>
        </w:tc>
        <w:tc>
          <w:tcPr>
            <w:tcW w:w="5727" w:type="dxa"/>
            <w:vAlign w:val="center"/>
          </w:tcPr>
          <w:p w14:paraId="6C6EEDA5">
            <w:pPr>
              <w:rPr>
                <w:rFonts w:ascii="宋体"/>
                <w:szCs w:val="21"/>
              </w:rPr>
            </w:pPr>
            <w:r>
              <w:rPr>
                <w:rFonts w:hint="eastAsia" w:ascii="宋体" w:hAnsi="宋体"/>
                <w:szCs w:val="21"/>
              </w:rPr>
              <w:t xml:space="preserve">同类型工程是指： </w:t>
            </w:r>
            <w:r>
              <w:rPr>
                <w:szCs w:val="21"/>
              </w:rPr>
              <w:t xml:space="preserve"> </w:t>
            </w:r>
            <w:r>
              <w:rPr>
                <w:rFonts w:ascii="宋体" w:hAnsi="宋体"/>
                <w:szCs w:val="21"/>
              </w:rPr>
              <w:t xml:space="preserve">              </w:t>
            </w:r>
          </w:p>
          <w:p w14:paraId="15ADB805">
            <w:pPr>
              <w:spacing w:line="288" w:lineRule="auto"/>
              <w:rPr>
                <w:rStyle w:val="95"/>
                <w:szCs w:val="21"/>
              </w:rPr>
            </w:pPr>
            <w:r>
              <w:rPr>
                <w:rFonts w:hint="eastAsia" w:ascii="宋体" w:hAnsi="宋体"/>
                <w:szCs w:val="21"/>
              </w:rPr>
              <w:t>□</w:t>
            </w:r>
            <w:r>
              <w:rPr>
                <w:rFonts w:ascii="宋体" w:hAnsi="宋体"/>
                <w:szCs w:val="21"/>
                <w:u w:val="single"/>
              </w:rPr>
              <w:t xml:space="preserve">      </w:t>
            </w:r>
            <w:r>
              <w:rPr>
                <w:rFonts w:hint="eastAsia" w:ascii="宋体" w:hAnsi="宋体"/>
                <w:szCs w:val="21"/>
              </w:rPr>
              <w:t>规模，</w:t>
            </w:r>
            <w:r>
              <w:rPr>
                <w:rFonts w:ascii="宋体" w:hAnsi="宋体"/>
                <w:szCs w:val="21"/>
                <w:u w:val="single"/>
              </w:rPr>
              <w:t xml:space="preserve">     </w:t>
            </w:r>
            <w:r>
              <w:rPr>
                <w:rFonts w:hint="eastAsia" w:ascii="宋体" w:hAnsi="宋体"/>
                <w:szCs w:val="21"/>
              </w:rPr>
              <w:t>层及以上结构相同的工程。</w:t>
            </w:r>
          </w:p>
        </w:tc>
      </w:tr>
      <w:tr w14:paraId="1405C5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5AD3593F">
            <w:pPr>
              <w:jc w:val="center"/>
              <w:rPr>
                <w:rStyle w:val="95"/>
                <w:szCs w:val="21"/>
              </w:rPr>
            </w:pPr>
            <w:r>
              <w:rPr>
                <w:rStyle w:val="95"/>
                <w:szCs w:val="21"/>
              </w:rPr>
              <w:t>3.5.6</w:t>
            </w:r>
          </w:p>
        </w:tc>
        <w:tc>
          <w:tcPr>
            <w:tcW w:w="1889" w:type="dxa"/>
            <w:vAlign w:val="center"/>
          </w:tcPr>
          <w:p w14:paraId="77D85D69">
            <w:pPr>
              <w:jc w:val="center"/>
              <w:rPr>
                <w:rStyle w:val="95"/>
                <w:szCs w:val="21"/>
              </w:rPr>
            </w:pPr>
            <w:r>
              <w:rPr>
                <w:rStyle w:val="95"/>
                <w:rFonts w:hint="eastAsia"/>
                <w:szCs w:val="21"/>
              </w:rPr>
              <w:t>近年发生的诉讼及仲裁情况的</w:t>
            </w:r>
          </w:p>
          <w:p w14:paraId="4710207D">
            <w:pPr>
              <w:jc w:val="center"/>
              <w:rPr>
                <w:rStyle w:val="95"/>
                <w:szCs w:val="21"/>
              </w:rPr>
            </w:pPr>
            <w:r>
              <w:rPr>
                <w:rStyle w:val="95"/>
                <w:rFonts w:hint="eastAsia"/>
                <w:szCs w:val="21"/>
              </w:rPr>
              <w:t>年份要求</w:t>
            </w:r>
          </w:p>
        </w:tc>
        <w:tc>
          <w:tcPr>
            <w:tcW w:w="5727" w:type="dxa"/>
            <w:vAlign w:val="center"/>
          </w:tcPr>
          <w:p w14:paraId="0BB33D6B">
            <w:pPr>
              <w:rPr>
                <w:rStyle w:val="95"/>
                <w:szCs w:val="21"/>
              </w:rPr>
            </w:pPr>
            <w:r>
              <w:rPr>
                <w:rStyle w:val="95"/>
                <w:rFonts w:hint="eastAsia"/>
                <w:szCs w:val="21"/>
              </w:rPr>
              <w:t>近三年，</w:t>
            </w:r>
            <w:r>
              <w:rPr>
                <w:rStyle w:val="95"/>
                <w:rFonts w:hint="eastAsia"/>
                <w:szCs w:val="21"/>
                <w:u w:val="single"/>
                <w:lang w:val="en-US" w:eastAsia="zh-CN"/>
              </w:rPr>
              <w:t xml:space="preserve">    </w:t>
            </w:r>
            <w:r>
              <w:rPr>
                <w:rStyle w:val="95"/>
                <w:rFonts w:hint="eastAsia"/>
                <w:szCs w:val="21"/>
              </w:rPr>
              <w:t>年至今</w:t>
            </w:r>
          </w:p>
        </w:tc>
      </w:tr>
      <w:tr w14:paraId="793557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611CAFEE">
            <w:pPr>
              <w:jc w:val="center"/>
              <w:rPr>
                <w:rStyle w:val="95"/>
                <w:szCs w:val="21"/>
              </w:rPr>
            </w:pPr>
            <w:r>
              <w:rPr>
                <w:rStyle w:val="95"/>
                <w:szCs w:val="21"/>
              </w:rPr>
              <w:t>3.6</w:t>
            </w:r>
          </w:p>
        </w:tc>
        <w:tc>
          <w:tcPr>
            <w:tcW w:w="1889" w:type="dxa"/>
            <w:vAlign w:val="center"/>
          </w:tcPr>
          <w:p w14:paraId="102414A7">
            <w:pPr>
              <w:jc w:val="center"/>
              <w:rPr>
                <w:rStyle w:val="95"/>
                <w:szCs w:val="21"/>
              </w:rPr>
            </w:pPr>
            <w:r>
              <w:rPr>
                <w:rStyle w:val="95"/>
                <w:rFonts w:hint="eastAsia"/>
                <w:szCs w:val="21"/>
              </w:rPr>
              <w:t>是否允许递交</w:t>
            </w:r>
          </w:p>
          <w:p w14:paraId="78B164F7">
            <w:pPr>
              <w:jc w:val="center"/>
              <w:rPr>
                <w:rStyle w:val="95"/>
                <w:szCs w:val="21"/>
              </w:rPr>
            </w:pPr>
            <w:r>
              <w:rPr>
                <w:rStyle w:val="95"/>
                <w:rFonts w:hint="eastAsia"/>
                <w:szCs w:val="21"/>
              </w:rPr>
              <w:t>备选投标方案</w:t>
            </w:r>
          </w:p>
        </w:tc>
        <w:tc>
          <w:tcPr>
            <w:tcW w:w="5727" w:type="dxa"/>
            <w:vAlign w:val="center"/>
          </w:tcPr>
          <w:p w14:paraId="70A10FA5">
            <w:pPr>
              <w:rPr>
                <w:szCs w:val="21"/>
              </w:rPr>
            </w:pPr>
            <w:r>
              <w:rPr>
                <w:rFonts w:hint="eastAsia" w:ascii="MS Gothic" w:hAnsi="MS Gothic" w:eastAsia="MS Gothic" w:cs="MS Gothic"/>
              </w:rPr>
              <w:t>☑</w:t>
            </w:r>
            <w:r>
              <w:rPr>
                <w:rFonts w:hint="eastAsia"/>
                <w:szCs w:val="21"/>
              </w:rPr>
              <w:t>不允许</w:t>
            </w:r>
          </w:p>
          <w:p w14:paraId="469B6454">
            <w:pPr>
              <w:rPr>
                <w:rStyle w:val="95"/>
                <w:szCs w:val="21"/>
              </w:rPr>
            </w:pPr>
            <w:r>
              <w:rPr>
                <w:rFonts w:hint="eastAsia" w:ascii="宋体" w:hAnsi="宋体"/>
                <w:szCs w:val="21"/>
              </w:rPr>
              <w:t>□</w:t>
            </w:r>
            <w:r>
              <w:rPr>
                <w:rFonts w:hint="eastAsia"/>
                <w:szCs w:val="21"/>
              </w:rPr>
              <w:t>允许</w:t>
            </w:r>
          </w:p>
        </w:tc>
      </w:tr>
      <w:tr w14:paraId="2DAC25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70ACD442">
            <w:pPr>
              <w:jc w:val="center"/>
              <w:rPr>
                <w:rStyle w:val="95"/>
                <w:szCs w:val="21"/>
              </w:rPr>
            </w:pPr>
            <w:r>
              <w:rPr>
                <w:rStyle w:val="95"/>
                <w:szCs w:val="21"/>
              </w:rPr>
              <w:t>3.7.3</w:t>
            </w:r>
          </w:p>
        </w:tc>
        <w:tc>
          <w:tcPr>
            <w:tcW w:w="1889" w:type="dxa"/>
            <w:vAlign w:val="center"/>
          </w:tcPr>
          <w:p w14:paraId="59126BF9">
            <w:pPr>
              <w:jc w:val="center"/>
              <w:rPr>
                <w:rStyle w:val="95"/>
                <w:szCs w:val="21"/>
              </w:rPr>
            </w:pPr>
            <w:r>
              <w:rPr>
                <w:rStyle w:val="95"/>
                <w:rFonts w:hint="eastAsia"/>
                <w:szCs w:val="21"/>
              </w:rPr>
              <w:t>签字和（或）</w:t>
            </w:r>
          </w:p>
          <w:p w14:paraId="5FBBFE57">
            <w:pPr>
              <w:jc w:val="center"/>
              <w:rPr>
                <w:rStyle w:val="95"/>
                <w:szCs w:val="21"/>
              </w:rPr>
            </w:pPr>
            <w:r>
              <w:rPr>
                <w:rStyle w:val="95"/>
                <w:rFonts w:hint="eastAsia"/>
                <w:szCs w:val="21"/>
              </w:rPr>
              <w:t>盖章要求</w:t>
            </w:r>
          </w:p>
        </w:tc>
        <w:tc>
          <w:tcPr>
            <w:tcW w:w="5727" w:type="dxa"/>
            <w:vAlign w:val="center"/>
          </w:tcPr>
          <w:p w14:paraId="4E6376CC">
            <w:pPr>
              <w:rPr>
                <w:rStyle w:val="95"/>
                <w:szCs w:val="21"/>
              </w:rPr>
            </w:pPr>
            <w:r>
              <w:rPr>
                <w:rFonts w:hint="eastAsia" w:ascii="宋体" w:hAnsi="宋体"/>
                <w:szCs w:val="21"/>
              </w:rPr>
              <w:t>见招标文件正文</w:t>
            </w:r>
            <w:r>
              <w:rPr>
                <w:rFonts w:ascii="宋体" w:hAnsi="宋体"/>
                <w:szCs w:val="21"/>
              </w:rPr>
              <w:t>3.6.3</w:t>
            </w:r>
          </w:p>
        </w:tc>
      </w:tr>
      <w:tr w14:paraId="432BFD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3B1B3D1B">
            <w:pPr>
              <w:jc w:val="center"/>
              <w:rPr>
                <w:rStyle w:val="95"/>
                <w:b/>
                <w:szCs w:val="21"/>
              </w:rPr>
            </w:pPr>
            <w:r>
              <w:rPr>
                <w:rStyle w:val="95"/>
                <w:b/>
                <w:szCs w:val="21"/>
              </w:rPr>
              <w:t>3.7.4</w:t>
            </w:r>
          </w:p>
        </w:tc>
        <w:tc>
          <w:tcPr>
            <w:tcW w:w="1889" w:type="dxa"/>
            <w:vAlign w:val="center"/>
          </w:tcPr>
          <w:p w14:paraId="50377216">
            <w:pPr>
              <w:rPr>
                <w:rStyle w:val="95"/>
                <w:b/>
                <w:szCs w:val="21"/>
              </w:rPr>
            </w:pPr>
            <w:r>
              <w:rPr>
                <w:rFonts w:hint="eastAsia" w:ascii="宋体" w:hAnsi="宋体"/>
                <w:b/>
                <w:szCs w:val="21"/>
              </w:rPr>
              <w:t>投标文件</w:t>
            </w:r>
          </w:p>
        </w:tc>
        <w:tc>
          <w:tcPr>
            <w:tcW w:w="5727" w:type="dxa"/>
            <w:vAlign w:val="center"/>
          </w:tcPr>
          <w:p w14:paraId="2A182113">
            <w:pPr>
              <w:rPr>
                <w:rFonts w:ascii="宋体"/>
                <w:szCs w:val="21"/>
              </w:rPr>
            </w:pPr>
            <w:r>
              <w:rPr>
                <w:rFonts w:hint="eastAsia" w:ascii="宋体" w:hAnsi="宋体"/>
                <w:szCs w:val="21"/>
              </w:rPr>
              <w:t>电子投标文件：经加密后生成“</w:t>
            </w:r>
            <w:r>
              <w:rPr>
                <w:rFonts w:ascii="宋体" w:hAnsi="宋体"/>
                <w:szCs w:val="21"/>
              </w:rPr>
              <w:t>etnd</w:t>
            </w:r>
            <w:r>
              <w:rPr>
                <w:rFonts w:hint="eastAsia" w:ascii="宋体" w:hAnsi="宋体"/>
                <w:szCs w:val="21"/>
              </w:rPr>
              <w:t>”格式的商务标函、技术标函、价格标函三部分上传电子交易平台。</w:t>
            </w:r>
          </w:p>
          <w:p w14:paraId="56C6370D">
            <w:pPr>
              <w:pStyle w:val="19"/>
              <w:rPr>
                <w:rFonts w:ascii="宋体"/>
                <w:szCs w:val="21"/>
              </w:rPr>
            </w:pPr>
            <w:r>
              <w:rPr>
                <w:rFonts w:hint="eastAsia" w:ascii="宋体" w:hAnsi="宋体"/>
                <w:szCs w:val="21"/>
                <w:lang w:eastAsia="zh-CN"/>
              </w:rPr>
              <w:t>☑</w:t>
            </w:r>
            <w:r>
              <w:rPr>
                <w:rFonts w:hint="eastAsia" w:ascii="宋体" w:hAnsi="宋体"/>
                <w:szCs w:val="21"/>
              </w:rPr>
              <w:t>不递交；</w:t>
            </w:r>
          </w:p>
          <w:p w14:paraId="499ACF0D">
            <w:pPr>
              <w:pStyle w:val="19"/>
              <w:rPr>
                <w:rFonts w:ascii="宋体"/>
                <w:szCs w:val="21"/>
              </w:rPr>
            </w:pPr>
            <w:r>
              <w:rPr>
                <w:rFonts w:hint="eastAsia" w:ascii="宋体" w:hAnsi="宋体"/>
                <w:szCs w:val="21"/>
              </w:rPr>
              <w:t>□电子投标文件解密后递交，共</w:t>
            </w:r>
            <w:r>
              <w:rPr>
                <w:rFonts w:ascii="宋体" w:hAnsi="宋体"/>
                <w:szCs w:val="21"/>
              </w:rPr>
              <w:t>__</w:t>
            </w:r>
            <w:r>
              <w:rPr>
                <w:rFonts w:hint="eastAsia" w:ascii="宋体" w:hAnsi="宋体"/>
                <w:szCs w:val="21"/>
              </w:rPr>
              <w:t>份；</w:t>
            </w:r>
          </w:p>
          <w:p w14:paraId="6CB084F7">
            <w:pPr>
              <w:pStyle w:val="19"/>
              <w:rPr>
                <w:rStyle w:val="95"/>
                <w:szCs w:val="21"/>
              </w:rPr>
            </w:pPr>
            <w:r>
              <w:rPr>
                <w:rFonts w:hint="eastAsia" w:ascii="MS Gothic" w:hAnsi="MS Gothic" w:cs="MS Gothic"/>
              </w:rPr>
              <w:t>□</w:t>
            </w:r>
            <w:r>
              <w:rPr>
                <w:rFonts w:hint="eastAsia" w:ascii="宋体" w:hAnsi="宋体"/>
                <w:szCs w:val="21"/>
              </w:rPr>
              <w:t>中标人在签订施工合同前递交，共</w:t>
            </w:r>
            <w:r>
              <w:rPr>
                <w:rFonts w:hint="eastAsia" w:ascii="宋体" w:hAnsi="宋体"/>
                <w:szCs w:val="21"/>
                <w:u w:val="single"/>
              </w:rPr>
              <w:t xml:space="preserve">  </w:t>
            </w:r>
            <w:r>
              <w:rPr>
                <w:rFonts w:hint="eastAsia" w:ascii="宋体" w:hAnsi="宋体"/>
                <w:szCs w:val="21"/>
              </w:rPr>
              <w:t>份。</w:t>
            </w:r>
          </w:p>
        </w:tc>
      </w:tr>
      <w:tr w14:paraId="35DE7A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1E0D0D11">
            <w:pPr>
              <w:jc w:val="center"/>
              <w:rPr>
                <w:rStyle w:val="95"/>
                <w:szCs w:val="21"/>
              </w:rPr>
            </w:pPr>
            <w:r>
              <w:rPr>
                <w:rStyle w:val="95"/>
                <w:szCs w:val="21"/>
              </w:rPr>
              <w:t>5.1</w:t>
            </w:r>
          </w:p>
        </w:tc>
        <w:tc>
          <w:tcPr>
            <w:tcW w:w="1889" w:type="dxa"/>
            <w:vAlign w:val="center"/>
          </w:tcPr>
          <w:p w14:paraId="300CE55B">
            <w:pPr>
              <w:rPr>
                <w:rStyle w:val="95"/>
                <w:szCs w:val="21"/>
              </w:rPr>
            </w:pPr>
            <w:r>
              <w:rPr>
                <w:rFonts w:hint="eastAsia" w:ascii="宋体" w:hAnsi="宋体"/>
                <w:szCs w:val="21"/>
              </w:rPr>
              <w:t>开标时间和地点</w:t>
            </w:r>
          </w:p>
        </w:tc>
        <w:tc>
          <w:tcPr>
            <w:tcW w:w="5727" w:type="dxa"/>
          </w:tcPr>
          <w:p w14:paraId="02E6A630">
            <w:pPr>
              <w:rPr>
                <w:rFonts w:ascii="宋体"/>
                <w:szCs w:val="21"/>
              </w:rPr>
            </w:pPr>
            <w:r>
              <w:rPr>
                <w:rFonts w:hint="eastAsia" w:ascii="宋体" w:hAnsi="宋体"/>
                <w:szCs w:val="21"/>
              </w:rPr>
              <w:t>开标时间：   年   月   日   时   分</w:t>
            </w:r>
          </w:p>
          <w:p w14:paraId="39F9847B">
            <w:pPr>
              <w:rPr>
                <w:rStyle w:val="95"/>
                <w:szCs w:val="21"/>
                <w:u w:val="single"/>
              </w:rPr>
            </w:pPr>
            <w:r>
              <w:rPr>
                <w:rFonts w:hint="eastAsia" w:ascii="宋体" w:hAnsi="宋体"/>
                <w:szCs w:val="21"/>
              </w:rPr>
              <w:t>开标地点：大同市公共资源交易中心（大同市政务大厅六楼）</w:t>
            </w:r>
          </w:p>
        </w:tc>
      </w:tr>
      <w:tr w14:paraId="021B42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0BC7C3AB">
            <w:pPr>
              <w:jc w:val="center"/>
              <w:rPr>
                <w:rStyle w:val="95"/>
                <w:szCs w:val="21"/>
              </w:rPr>
            </w:pPr>
            <w:r>
              <w:rPr>
                <w:rStyle w:val="95"/>
                <w:szCs w:val="21"/>
              </w:rPr>
              <w:t>5.2</w:t>
            </w:r>
          </w:p>
        </w:tc>
        <w:tc>
          <w:tcPr>
            <w:tcW w:w="1889" w:type="dxa"/>
            <w:vAlign w:val="center"/>
          </w:tcPr>
          <w:p w14:paraId="457CBAA7">
            <w:pPr>
              <w:jc w:val="center"/>
              <w:rPr>
                <w:rStyle w:val="95"/>
                <w:szCs w:val="21"/>
              </w:rPr>
            </w:pPr>
            <w:r>
              <w:rPr>
                <w:rStyle w:val="95"/>
                <w:rFonts w:hint="eastAsia"/>
                <w:szCs w:val="21"/>
              </w:rPr>
              <w:t>开标程序</w:t>
            </w:r>
          </w:p>
        </w:tc>
        <w:tc>
          <w:tcPr>
            <w:tcW w:w="5727" w:type="dxa"/>
            <w:vAlign w:val="center"/>
          </w:tcPr>
          <w:p w14:paraId="60A31151">
            <w:pPr>
              <w:rPr>
                <w:rStyle w:val="95"/>
                <w:szCs w:val="21"/>
              </w:rPr>
            </w:pPr>
            <w:r>
              <w:rPr>
                <w:rStyle w:val="95"/>
                <w:rFonts w:hint="eastAsia"/>
                <w:szCs w:val="21"/>
              </w:rPr>
              <w:t>见正文第</w:t>
            </w:r>
            <w:r>
              <w:rPr>
                <w:rStyle w:val="95"/>
                <w:szCs w:val="21"/>
              </w:rPr>
              <w:t>5.2</w:t>
            </w:r>
            <w:r>
              <w:rPr>
                <w:rStyle w:val="95"/>
                <w:rFonts w:hint="eastAsia"/>
                <w:szCs w:val="21"/>
              </w:rPr>
              <w:t>款</w:t>
            </w:r>
          </w:p>
        </w:tc>
      </w:tr>
      <w:tr w14:paraId="6FB074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2E5F8101">
            <w:pPr>
              <w:jc w:val="center"/>
              <w:rPr>
                <w:rStyle w:val="95"/>
                <w:szCs w:val="21"/>
              </w:rPr>
            </w:pPr>
            <w:r>
              <w:rPr>
                <w:rStyle w:val="95"/>
                <w:szCs w:val="21"/>
              </w:rPr>
              <w:t>5.4</w:t>
            </w:r>
          </w:p>
        </w:tc>
        <w:tc>
          <w:tcPr>
            <w:tcW w:w="1889" w:type="dxa"/>
            <w:vAlign w:val="center"/>
          </w:tcPr>
          <w:p w14:paraId="271B8A23">
            <w:pPr>
              <w:rPr>
                <w:rStyle w:val="95"/>
                <w:szCs w:val="21"/>
              </w:rPr>
            </w:pPr>
            <w:r>
              <w:rPr>
                <w:rFonts w:hint="eastAsia" w:ascii="宋体" w:hAnsi="宋体"/>
                <w:szCs w:val="21"/>
              </w:rPr>
              <w:t>投标文件解密</w:t>
            </w:r>
          </w:p>
        </w:tc>
        <w:tc>
          <w:tcPr>
            <w:tcW w:w="5727" w:type="dxa"/>
            <w:vAlign w:val="center"/>
          </w:tcPr>
          <w:p w14:paraId="0B02B413">
            <w:pPr>
              <w:rPr>
                <w:rFonts w:hint="eastAsia" w:ascii="宋体" w:hAnsi="宋体"/>
                <w:color w:val="auto"/>
                <w:highlight w:val="none"/>
              </w:rPr>
            </w:pPr>
            <w:r>
              <w:rPr>
                <w:rFonts w:hint="eastAsia" w:ascii="宋体" w:hAnsi="宋体"/>
                <w:color w:val="auto"/>
                <w:highlight w:val="none"/>
              </w:rPr>
              <w:t>电子投标文件的递交方式不变，标书解密方式由现场解密改为远程解密，投标人需使用编制标书时的CA数字证书，自行登录交易系统进行网上解密。</w:t>
            </w:r>
          </w:p>
          <w:p w14:paraId="3CA54F2E">
            <w:pPr>
              <w:rPr>
                <w:rFonts w:hint="eastAsia" w:ascii="宋体" w:hAnsi="宋体"/>
                <w:color w:val="auto"/>
                <w:highlight w:val="none"/>
              </w:rPr>
            </w:pPr>
            <w:r>
              <w:rPr>
                <w:rFonts w:hint="eastAsia" w:ascii="宋体" w:hAnsi="宋体"/>
                <w:color w:val="auto"/>
                <w:highlight w:val="none"/>
              </w:rPr>
              <w:t>远程不见面开标（电子投标文件）解密方式：投标人须在规定时间内使用自己的网络终端设备凭借CA数字证书在全国公共资源交易平台(山西省·大同市) （http://ggzyjy.dt.gov.cn/）交易系统登录入口——工程建设登录入口登录成功后，进入本项目，点击【参与远程开标】进入开标，自行完成开标解密，代理公司不提供任何解密设备，在解密截止时间之内未完成解密的，视为投标无效。（解密时长：开标后30分钟内）。</w:t>
            </w:r>
          </w:p>
          <w:p w14:paraId="3731E7EE">
            <w:pPr>
              <w:rPr>
                <w:rFonts w:hint="eastAsia" w:ascii="宋体" w:hAnsi="宋体"/>
                <w:color w:val="auto"/>
                <w:highlight w:val="none"/>
              </w:rPr>
            </w:pPr>
            <w:r>
              <w:rPr>
                <w:rFonts w:hint="eastAsia" w:ascii="宋体" w:hAnsi="宋体"/>
                <w:color w:val="auto"/>
                <w:highlight w:val="none"/>
              </w:rPr>
              <w:t>线上解密环境要求：</w:t>
            </w:r>
          </w:p>
          <w:p w14:paraId="2FDCA399">
            <w:pPr>
              <w:rPr>
                <w:rFonts w:hint="eastAsia" w:ascii="宋体" w:hAnsi="宋体"/>
                <w:color w:val="auto"/>
                <w:highlight w:val="none"/>
              </w:rPr>
            </w:pPr>
            <w:r>
              <w:rPr>
                <w:rFonts w:hint="eastAsia" w:ascii="宋体" w:hAnsi="宋体"/>
                <w:color w:val="auto"/>
                <w:highlight w:val="none"/>
              </w:rPr>
              <w:t>1、需使用window7、window8、window10，如若版本不对，请更换电脑或者操作系统并安装CA驱动；</w:t>
            </w:r>
          </w:p>
          <w:p w14:paraId="2D420332">
            <w:pPr>
              <w:rPr>
                <w:rFonts w:hint="eastAsia" w:ascii="宋体" w:hAnsi="宋体"/>
                <w:color w:val="auto"/>
                <w:highlight w:val="none"/>
              </w:rPr>
            </w:pPr>
            <w:r>
              <w:rPr>
                <w:rFonts w:hint="eastAsia" w:ascii="宋体" w:hAnsi="宋体"/>
                <w:color w:val="auto"/>
                <w:highlight w:val="none"/>
              </w:rPr>
              <w:t>2、使用IE浏览器（IE9、IE10、IE11，如若版本不对，请升级 IE 浏览器）进行解密。</w:t>
            </w:r>
          </w:p>
          <w:p w14:paraId="3B4D20AE">
            <w:pPr>
              <w:rPr>
                <w:rFonts w:hint="eastAsia" w:ascii="宋体" w:hAnsi="宋体"/>
                <w:color w:val="auto"/>
                <w:highlight w:val="none"/>
              </w:rPr>
            </w:pPr>
            <w:r>
              <w:rPr>
                <w:rFonts w:hint="eastAsia" w:ascii="宋体" w:hAnsi="宋体"/>
                <w:color w:val="auto"/>
                <w:highlight w:val="none"/>
              </w:rPr>
              <w:t>详细操作步骤请参照系统操作手册执行，操作手册获取地址：全国公共资源交易平台(山西省·大同市) （http://ggzyjy.dt.gov.cn/）【下载专区】-【操作手册】-《远程开标投标人客户端环境部署操作手册》</w:t>
            </w:r>
          </w:p>
          <w:p w14:paraId="5A50FC87">
            <w:pPr>
              <w:rPr>
                <w:rFonts w:hint="eastAsia" w:ascii="宋体" w:hAnsi="宋体"/>
                <w:color w:val="auto"/>
                <w:highlight w:val="none"/>
              </w:rPr>
            </w:pPr>
            <w:r>
              <w:rPr>
                <w:rFonts w:hint="eastAsia" w:ascii="宋体" w:hAnsi="宋体"/>
                <w:color w:val="auto"/>
                <w:highlight w:val="none"/>
              </w:rPr>
              <w:t>3、请先安装远程开标驱动（GBES客户端控件安装包）CA驱动及GBES客户端；</w:t>
            </w:r>
          </w:p>
          <w:p w14:paraId="3676BB7A">
            <w:pPr>
              <w:rPr>
                <w:rFonts w:hint="eastAsia" w:ascii="宋体" w:hAnsi="宋体"/>
                <w:color w:val="auto"/>
                <w:highlight w:val="none"/>
              </w:rPr>
            </w:pPr>
            <w:r>
              <w:rPr>
                <w:rFonts w:hint="eastAsia" w:ascii="宋体" w:hAnsi="宋体"/>
                <w:color w:val="auto"/>
                <w:highlight w:val="none"/>
              </w:rPr>
              <w:t>4、使用IE浏览器并添加信任站点。CA驱动及GBES客户端获取地址详见：全国公共资源交易平台(山西省·大同市) （http://ggzyjy.dt.gov.cn/）【下载专区】-【应用程序】-远程开标驱动【GBES客户端控件安装包】。</w:t>
            </w:r>
          </w:p>
          <w:p w14:paraId="2AFA5268">
            <w:pPr>
              <w:rPr>
                <w:rFonts w:hint="eastAsia" w:ascii="宋体" w:hAnsi="宋体"/>
                <w:color w:val="auto"/>
                <w:highlight w:val="none"/>
              </w:rPr>
            </w:pPr>
            <w:r>
              <w:rPr>
                <w:rFonts w:hint="eastAsia" w:ascii="宋体" w:hAnsi="宋体"/>
                <w:color w:val="auto"/>
                <w:highlight w:val="none"/>
                <w:lang w:val="en-US" w:eastAsia="zh-CN"/>
              </w:rPr>
              <w:t>5</w:t>
            </w:r>
            <w:r>
              <w:rPr>
                <w:rFonts w:hint="eastAsia" w:ascii="宋体" w:hAnsi="宋体"/>
                <w:color w:val="auto"/>
                <w:highlight w:val="none"/>
              </w:rPr>
              <w:t>、咨询电话：</w:t>
            </w:r>
          </w:p>
          <w:p w14:paraId="07BA4E9C">
            <w:pPr>
              <w:rPr>
                <w:rFonts w:hint="eastAsia" w:ascii="宋体" w:hAnsi="宋体"/>
                <w:color w:val="auto"/>
                <w:highlight w:val="none"/>
              </w:rPr>
            </w:pPr>
            <w:r>
              <w:rPr>
                <w:rFonts w:hint="eastAsia" w:ascii="宋体" w:hAnsi="宋体"/>
                <w:color w:val="auto"/>
                <w:highlight w:val="none"/>
              </w:rPr>
              <w:t>　0352-7982094（业务）</w:t>
            </w:r>
          </w:p>
          <w:p w14:paraId="591B4E30">
            <w:pPr>
              <w:rPr>
                <w:rStyle w:val="95"/>
                <w:szCs w:val="21"/>
              </w:rPr>
            </w:pPr>
            <w:r>
              <w:rPr>
                <w:rFonts w:hint="eastAsia" w:ascii="宋体" w:hAnsi="宋体"/>
                <w:color w:val="auto"/>
                <w:highlight w:val="none"/>
              </w:rPr>
              <w:t>　0352-79820</w:t>
            </w:r>
            <w:r>
              <w:rPr>
                <w:rFonts w:hint="eastAsia" w:ascii="宋体" w:hAnsi="宋体"/>
                <w:color w:val="auto"/>
                <w:highlight w:val="none"/>
                <w:lang w:val="en-US" w:eastAsia="zh-CN"/>
              </w:rPr>
              <w:t>91</w:t>
            </w:r>
            <w:r>
              <w:rPr>
                <w:rFonts w:hint="eastAsia" w:ascii="宋体" w:hAnsi="宋体"/>
                <w:color w:val="auto"/>
                <w:highlight w:val="none"/>
              </w:rPr>
              <w:t>（技术）</w:t>
            </w:r>
          </w:p>
        </w:tc>
      </w:tr>
      <w:tr w14:paraId="44EB8D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4377CA83">
            <w:pPr>
              <w:jc w:val="center"/>
              <w:rPr>
                <w:rStyle w:val="95"/>
                <w:szCs w:val="21"/>
              </w:rPr>
            </w:pPr>
            <w:r>
              <w:rPr>
                <w:rStyle w:val="95"/>
                <w:szCs w:val="21"/>
              </w:rPr>
              <w:t>6.1.1</w:t>
            </w:r>
          </w:p>
        </w:tc>
        <w:tc>
          <w:tcPr>
            <w:tcW w:w="1889" w:type="dxa"/>
            <w:vAlign w:val="center"/>
          </w:tcPr>
          <w:p w14:paraId="4C42A05C">
            <w:pPr>
              <w:rPr>
                <w:rStyle w:val="95"/>
                <w:szCs w:val="21"/>
                <w:shd w:val="clear" w:color="auto" w:fill="D9D9D9"/>
              </w:rPr>
            </w:pPr>
            <w:r>
              <w:rPr>
                <w:rFonts w:hint="eastAsia" w:ascii="宋体" w:hAnsi="宋体"/>
                <w:szCs w:val="21"/>
              </w:rPr>
              <w:t>评标委员会的组建</w:t>
            </w:r>
          </w:p>
        </w:tc>
        <w:tc>
          <w:tcPr>
            <w:tcW w:w="5727" w:type="dxa"/>
            <w:vAlign w:val="center"/>
          </w:tcPr>
          <w:p w14:paraId="560E3B3E">
            <w:pPr>
              <w:rPr>
                <w:rFonts w:ascii="宋体"/>
                <w:szCs w:val="21"/>
              </w:rPr>
            </w:pPr>
            <w:r>
              <w:rPr>
                <w:szCs w:val="21"/>
              </w:rPr>
              <w:t>1</w:t>
            </w:r>
            <w:r>
              <w:rPr>
                <w:rFonts w:hint="eastAsia" w:ascii="宋体" w:hAnsi="宋体"/>
                <w:szCs w:val="21"/>
              </w:rPr>
              <w:t>、评标委员会组建由招标人依法组建，开标前由招标人代表从山西省综合评标专家库大同终端随机抽取确定。</w:t>
            </w:r>
          </w:p>
          <w:p w14:paraId="3E86F5CD">
            <w:pPr>
              <w:ind w:left="210" w:hanging="210" w:hangingChars="100"/>
              <w:rPr>
                <w:rStyle w:val="95"/>
                <w:spacing w:val="-8"/>
                <w:szCs w:val="21"/>
                <w:shd w:val="clear" w:color="auto" w:fill="D9D9D9"/>
              </w:rPr>
            </w:pPr>
            <w:r>
              <w:rPr>
                <w:rFonts w:ascii="宋体" w:hAnsi="宋体"/>
                <w:szCs w:val="21"/>
              </w:rPr>
              <w:t>2</w:t>
            </w:r>
            <w:r>
              <w:rPr>
                <w:rFonts w:hint="eastAsia" w:ascii="宋体" w:hAnsi="宋体"/>
                <w:szCs w:val="21"/>
              </w:rPr>
              <w:t>、评标委员会成员：  人，</w:t>
            </w:r>
            <w:r>
              <w:rPr>
                <w:rFonts w:ascii="宋体" w:hAnsi="宋体"/>
                <w:szCs w:val="21"/>
              </w:rPr>
              <w:t xml:space="preserve"> </w:t>
            </w:r>
            <w:r>
              <w:rPr>
                <w:rFonts w:hint="eastAsia" w:ascii="宋体" w:hAnsi="宋体"/>
                <w:szCs w:val="21"/>
              </w:rPr>
              <w:t>招标人成员  人（含经济标成员人），专家成员  人；其中设计标成员：  人，技术标成员： 人，经济标成员：  人。</w:t>
            </w:r>
          </w:p>
        </w:tc>
      </w:tr>
      <w:tr w14:paraId="64D5DE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2E466E7E">
            <w:pPr>
              <w:jc w:val="center"/>
              <w:rPr>
                <w:rStyle w:val="95"/>
                <w:szCs w:val="21"/>
              </w:rPr>
            </w:pPr>
            <w:r>
              <w:rPr>
                <w:rStyle w:val="95"/>
                <w:szCs w:val="21"/>
              </w:rPr>
              <w:t>6.3</w:t>
            </w:r>
          </w:p>
        </w:tc>
        <w:tc>
          <w:tcPr>
            <w:tcW w:w="1889" w:type="dxa"/>
            <w:vAlign w:val="center"/>
          </w:tcPr>
          <w:p w14:paraId="63A667C6">
            <w:pPr>
              <w:jc w:val="center"/>
              <w:rPr>
                <w:rStyle w:val="95"/>
                <w:szCs w:val="21"/>
              </w:rPr>
            </w:pPr>
            <w:r>
              <w:rPr>
                <w:rStyle w:val="95"/>
                <w:rFonts w:hint="eastAsia"/>
                <w:szCs w:val="21"/>
              </w:rPr>
              <w:t>评标办法和标准</w:t>
            </w:r>
          </w:p>
        </w:tc>
        <w:tc>
          <w:tcPr>
            <w:tcW w:w="5727" w:type="dxa"/>
            <w:vAlign w:val="center"/>
          </w:tcPr>
          <w:p w14:paraId="19490FD0">
            <w:pPr>
              <w:rPr>
                <w:rStyle w:val="95"/>
                <w:szCs w:val="21"/>
              </w:rPr>
            </w:pPr>
            <w:r>
              <w:rPr>
                <w:rStyle w:val="95"/>
                <w:rFonts w:hint="eastAsia"/>
                <w:szCs w:val="21"/>
              </w:rPr>
              <w:t>综合评估法</w:t>
            </w:r>
          </w:p>
        </w:tc>
      </w:tr>
      <w:tr w14:paraId="3D80D7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40E81040">
            <w:pPr>
              <w:jc w:val="center"/>
              <w:rPr>
                <w:rStyle w:val="95"/>
                <w:szCs w:val="21"/>
              </w:rPr>
            </w:pPr>
            <w:r>
              <w:rPr>
                <w:rStyle w:val="95"/>
                <w:szCs w:val="21"/>
              </w:rPr>
              <w:t>7.1</w:t>
            </w:r>
          </w:p>
        </w:tc>
        <w:tc>
          <w:tcPr>
            <w:tcW w:w="1889" w:type="dxa"/>
            <w:vAlign w:val="center"/>
          </w:tcPr>
          <w:p w14:paraId="5EBBF37D">
            <w:pPr>
              <w:jc w:val="center"/>
              <w:rPr>
                <w:rStyle w:val="95"/>
                <w:szCs w:val="21"/>
              </w:rPr>
            </w:pPr>
            <w:r>
              <w:rPr>
                <w:rStyle w:val="95"/>
                <w:rFonts w:hint="eastAsia"/>
                <w:szCs w:val="21"/>
              </w:rPr>
              <w:t>中标候选人</w:t>
            </w:r>
          </w:p>
        </w:tc>
        <w:tc>
          <w:tcPr>
            <w:tcW w:w="5727" w:type="dxa"/>
            <w:vAlign w:val="center"/>
          </w:tcPr>
          <w:p w14:paraId="6BC2FF5F">
            <w:pPr>
              <w:widowControl w:val="0"/>
              <w:numPr>
                <w:ilvl w:val="0"/>
                <w:numId w:val="2"/>
              </w:numPr>
              <w:textAlignment w:val="auto"/>
            </w:pPr>
            <w:r>
              <w:rPr>
                <w:rFonts w:hint="eastAsia"/>
              </w:rPr>
              <w:t>评标委员会完成评标后，应当向招标人提出书面报告、并推荐合格的中标候选人</w:t>
            </w:r>
          </w:p>
          <w:p w14:paraId="0E0DBB1A">
            <w:pPr>
              <w:rPr>
                <w:szCs w:val="21"/>
              </w:rPr>
            </w:pPr>
            <w:r>
              <w:rPr>
                <w:szCs w:val="21"/>
              </w:rPr>
              <w:t>2</w:t>
            </w:r>
            <w:r>
              <w:rPr>
                <w:rFonts w:hint="eastAsia"/>
                <w:szCs w:val="21"/>
              </w:rPr>
              <w:t>、中标候选人应当不超过</w:t>
            </w:r>
            <w:r>
              <w:rPr>
                <w:szCs w:val="21"/>
              </w:rPr>
              <w:t>3</w:t>
            </w:r>
            <w:r>
              <w:rPr>
                <w:rFonts w:hint="eastAsia"/>
                <w:szCs w:val="21"/>
              </w:rPr>
              <w:t>个，并标明排序。</w:t>
            </w:r>
          </w:p>
          <w:p w14:paraId="7E0CA4AB">
            <w:pPr>
              <w:rPr>
                <w:rStyle w:val="95"/>
                <w:szCs w:val="21"/>
                <w:u w:val="single"/>
              </w:rPr>
            </w:pPr>
            <w:r>
              <w:rPr>
                <w:szCs w:val="21"/>
              </w:rPr>
              <w:t>3</w:t>
            </w:r>
            <w:r>
              <w:rPr>
                <w:rFonts w:hint="eastAsia"/>
                <w:szCs w:val="21"/>
              </w:rPr>
              <w:t>、推荐的中标候选人数：</w:t>
            </w:r>
            <w:r>
              <w:rPr>
                <w:rFonts w:hint="eastAsia" w:ascii="宋体" w:hAnsi="宋体"/>
                <w:szCs w:val="21"/>
              </w:rPr>
              <w:t>□</w:t>
            </w:r>
            <w:r>
              <w:rPr>
                <w:szCs w:val="21"/>
              </w:rPr>
              <w:t>1</w:t>
            </w:r>
            <w:r>
              <w:rPr>
                <w:rFonts w:hint="eastAsia"/>
                <w:szCs w:val="21"/>
              </w:rPr>
              <w:t>个；</w:t>
            </w:r>
            <w:r>
              <w:rPr>
                <w:rFonts w:hint="eastAsia" w:ascii="宋体" w:hAnsi="宋体"/>
                <w:szCs w:val="21"/>
              </w:rPr>
              <w:t>□</w:t>
            </w:r>
            <w:r>
              <w:rPr>
                <w:szCs w:val="21"/>
              </w:rPr>
              <w:t>2</w:t>
            </w:r>
            <w:r>
              <w:rPr>
                <w:rFonts w:hint="eastAsia"/>
                <w:szCs w:val="21"/>
              </w:rPr>
              <w:t>个；</w:t>
            </w:r>
            <w:r>
              <w:rPr>
                <w:rFonts w:hint="eastAsia" w:ascii="MS Gothic" w:hAnsi="MS Gothic" w:cs="MS Gothic"/>
                <w:lang w:eastAsia="zh-CN"/>
              </w:rPr>
              <w:t>☑</w:t>
            </w:r>
            <w:r>
              <w:rPr>
                <w:szCs w:val="21"/>
              </w:rPr>
              <w:t>3</w:t>
            </w:r>
            <w:r>
              <w:rPr>
                <w:rFonts w:hint="eastAsia"/>
                <w:szCs w:val="21"/>
              </w:rPr>
              <w:t>个</w:t>
            </w:r>
          </w:p>
        </w:tc>
      </w:tr>
      <w:tr w14:paraId="344FD3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64589E90">
            <w:pPr>
              <w:jc w:val="center"/>
              <w:rPr>
                <w:rStyle w:val="95"/>
                <w:szCs w:val="21"/>
              </w:rPr>
            </w:pPr>
            <w:r>
              <w:rPr>
                <w:rStyle w:val="95"/>
                <w:szCs w:val="21"/>
              </w:rPr>
              <w:t>7.2</w:t>
            </w:r>
          </w:p>
        </w:tc>
        <w:tc>
          <w:tcPr>
            <w:tcW w:w="1889" w:type="dxa"/>
            <w:vAlign w:val="center"/>
          </w:tcPr>
          <w:p w14:paraId="07A8F8A2">
            <w:pPr>
              <w:jc w:val="center"/>
              <w:rPr>
                <w:rStyle w:val="95"/>
                <w:szCs w:val="21"/>
              </w:rPr>
            </w:pPr>
            <w:r>
              <w:rPr>
                <w:rStyle w:val="95"/>
                <w:rFonts w:hint="eastAsia"/>
                <w:szCs w:val="21"/>
              </w:rPr>
              <w:t>中标人</w:t>
            </w:r>
          </w:p>
        </w:tc>
        <w:tc>
          <w:tcPr>
            <w:tcW w:w="5727" w:type="dxa"/>
            <w:vAlign w:val="center"/>
          </w:tcPr>
          <w:p w14:paraId="55EE1A0E">
            <w:pPr>
              <w:pStyle w:val="19"/>
              <w:numPr>
                <w:ilvl w:val="0"/>
                <w:numId w:val="12"/>
              </w:numPr>
              <w:rPr>
                <w:rFonts w:hint="eastAsia"/>
                <w:b/>
                <w:bCs/>
                <w:color w:val="FF0000"/>
                <w:sz w:val="21"/>
                <w:szCs w:val="24"/>
              </w:rPr>
            </w:pPr>
            <w:r>
              <w:rPr>
                <w:rFonts w:hint="eastAsia"/>
                <w:b/>
                <w:bCs/>
                <w:color w:val="FF0000"/>
                <w:sz w:val="21"/>
                <w:szCs w:val="24"/>
                <w:lang w:eastAsia="zh-CN"/>
              </w:rPr>
              <w:t>本次招标采用</w:t>
            </w:r>
            <w:r>
              <w:rPr>
                <w:rFonts w:hint="eastAsia"/>
                <w:b/>
                <w:bCs/>
                <w:color w:val="FF0000"/>
                <w:sz w:val="21"/>
                <w:szCs w:val="24"/>
                <w:u w:val="single"/>
                <w:lang w:val="en-US" w:eastAsia="zh-CN"/>
              </w:rPr>
              <w:t xml:space="preserve">        </w:t>
            </w:r>
            <w:r>
              <w:rPr>
                <w:rFonts w:hint="eastAsia"/>
                <w:b/>
                <w:bCs/>
                <w:color w:val="FF0000"/>
                <w:sz w:val="21"/>
                <w:szCs w:val="24"/>
                <w:u w:val="none"/>
                <w:lang w:val="en-US" w:eastAsia="zh-CN"/>
              </w:rPr>
              <w:t>方法确定</w:t>
            </w:r>
            <w:r>
              <w:rPr>
                <w:rFonts w:hint="eastAsia"/>
                <w:b/>
                <w:bCs/>
                <w:color w:val="FF0000"/>
                <w:sz w:val="21"/>
                <w:szCs w:val="24"/>
              </w:rPr>
              <w:t>中标人。</w:t>
            </w:r>
          </w:p>
          <w:p w14:paraId="1770D08B">
            <w:pPr>
              <w:pStyle w:val="19"/>
              <w:numPr>
                <w:ilvl w:val="0"/>
                <w:numId w:val="0"/>
              </w:numPr>
              <w:rPr>
                <w:rFonts w:hint="eastAsia" w:ascii="宋体" w:hAnsi="宋体" w:eastAsia="宋体"/>
                <w:b/>
                <w:bCs/>
                <w:color w:val="FF0000"/>
                <w:sz w:val="21"/>
                <w:szCs w:val="24"/>
                <w:lang w:eastAsia="zh-CN"/>
              </w:rPr>
            </w:pPr>
            <w:r>
              <w:rPr>
                <w:rFonts w:hint="eastAsia" w:ascii="宋体" w:hAnsi="宋体"/>
                <w:b/>
                <w:bCs/>
                <w:color w:val="FF0000"/>
                <w:sz w:val="21"/>
                <w:szCs w:val="24"/>
              </w:rPr>
              <w:t>□</w:t>
            </w:r>
            <w:r>
              <w:rPr>
                <w:rFonts w:hint="eastAsia" w:ascii="宋体" w:hAnsi="宋体"/>
                <w:b/>
                <w:bCs/>
                <w:color w:val="FF0000"/>
                <w:sz w:val="21"/>
                <w:szCs w:val="24"/>
                <w:lang w:eastAsia="zh-CN"/>
              </w:rPr>
              <w:t>授权评委会确定</w:t>
            </w:r>
          </w:p>
          <w:p w14:paraId="24A4990E">
            <w:pPr>
              <w:pStyle w:val="19"/>
              <w:numPr>
                <w:ilvl w:val="0"/>
                <w:numId w:val="0"/>
              </w:numPr>
              <w:rPr>
                <w:rFonts w:hint="eastAsia" w:ascii="宋体" w:hAnsi="宋体" w:eastAsia="宋体"/>
                <w:b/>
                <w:bCs/>
                <w:color w:val="FF0000"/>
                <w:sz w:val="21"/>
                <w:szCs w:val="24"/>
                <w:lang w:eastAsia="zh-CN"/>
              </w:rPr>
            </w:pPr>
            <w:r>
              <w:rPr>
                <w:rFonts w:hint="eastAsia" w:ascii="宋体" w:hAnsi="宋体"/>
                <w:b/>
                <w:bCs/>
                <w:color w:val="FF0000"/>
                <w:sz w:val="21"/>
                <w:szCs w:val="24"/>
              </w:rPr>
              <w:t>□</w:t>
            </w:r>
            <w:r>
              <w:rPr>
                <w:rFonts w:hint="eastAsia" w:ascii="宋体" w:hAnsi="宋体"/>
                <w:b/>
                <w:bCs/>
                <w:color w:val="FF0000"/>
                <w:sz w:val="21"/>
                <w:szCs w:val="24"/>
                <w:lang w:eastAsia="zh-CN"/>
              </w:rPr>
              <w:t>招标人直接确定</w:t>
            </w:r>
          </w:p>
          <w:p w14:paraId="49249476">
            <w:pPr>
              <w:pStyle w:val="19"/>
              <w:numPr>
                <w:ilvl w:val="0"/>
                <w:numId w:val="0"/>
              </w:numPr>
              <w:rPr>
                <w:rFonts w:hint="eastAsia" w:ascii="宋体" w:hAnsi="宋体" w:eastAsia="宋体"/>
                <w:b/>
                <w:bCs/>
                <w:color w:val="FF0000"/>
                <w:sz w:val="21"/>
                <w:szCs w:val="24"/>
                <w:lang w:eastAsia="zh-CN"/>
              </w:rPr>
            </w:pPr>
            <w:r>
              <w:rPr>
                <w:rFonts w:hint="eastAsia" w:ascii="宋体" w:hAnsi="宋体"/>
                <w:b/>
                <w:bCs/>
                <w:color w:val="FF0000"/>
                <w:sz w:val="21"/>
                <w:szCs w:val="24"/>
              </w:rPr>
              <w:t>□</w:t>
            </w:r>
            <w:r>
              <w:rPr>
                <w:rFonts w:hint="eastAsia" w:ascii="宋体" w:hAnsi="宋体"/>
                <w:b/>
                <w:bCs/>
                <w:color w:val="FF0000"/>
                <w:sz w:val="21"/>
                <w:szCs w:val="24"/>
                <w:lang w:eastAsia="zh-CN"/>
              </w:rPr>
              <w:t>评定分离</w:t>
            </w:r>
          </w:p>
          <w:p w14:paraId="57C3AE08">
            <w:pPr>
              <w:pStyle w:val="19"/>
              <w:numPr>
                <w:ilvl w:val="0"/>
                <w:numId w:val="0"/>
              </w:numPr>
              <w:rPr>
                <w:rFonts w:hint="eastAsia" w:ascii="宋体" w:hAnsi="宋体" w:eastAsia="宋体"/>
                <w:b/>
                <w:bCs/>
                <w:color w:val="FF0000"/>
                <w:sz w:val="21"/>
                <w:szCs w:val="24"/>
                <w:lang w:eastAsia="zh-CN"/>
              </w:rPr>
            </w:pPr>
            <w:r>
              <w:rPr>
                <w:rFonts w:hint="eastAsia" w:ascii="宋体" w:hAnsi="宋体"/>
                <w:b/>
                <w:bCs/>
                <w:color w:val="FF0000"/>
                <w:sz w:val="21"/>
                <w:szCs w:val="24"/>
              </w:rPr>
              <w:t>□</w:t>
            </w:r>
            <w:r>
              <w:rPr>
                <w:rFonts w:hint="eastAsia" w:ascii="宋体" w:hAnsi="宋体"/>
                <w:b/>
                <w:bCs/>
                <w:color w:val="FF0000"/>
                <w:sz w:val="21"/>
                <w:szCs w:val="24"/>
                <w:lang w:eastAsia="zh-CN"/>
              </w:rPr>
              <w:t>其他情形</w:t>
            </w:r>
          </w:p>
          <w:p w14:paraId="56FE18E9">
            <w:pPr>
              <w:pStyle w:val="19"/>
              <w:rPr>
                <w:b/>
                <w:bCs/>
                <w:color w:val="FF0000"/>
                <w:sz w:val="21"/>
                <w:szCs w:val="24"/>
              </w:rPr>
            </w:pPr>
            <w:r>
              <w:rPr>
                <w:rFonts w:hint="eastAsia"/>
                <w:b/>
                <w:bCs/>
                <w:color w:val="FF0000"/>
                <w:sz w:val="21"/>
                <w:szCs w:val="24"/>
              </w:rPr>
              <w:t>2、</w:t>
            </w:r>
            <w:r>
              <w:rPr>
                <w:rFonts w:hint="eastAsia"/>
                <w:b/>
                <w:bCs/>
                <w:color w:val="FF0000"/>
                <w:sz w:val="21"/>
                <w:szCs w:val="24"/>
                <w:lang w:eastAsia="zh-CN"/>
              </w:rPr>
              <w:t>确定</w:t>
            </w:r>
            <w:r>
              <w:rPr>
                <w:rFonts w:hint="eastAsia"/>
                <w:b/>
                <w:bCs/>
                <w:color w:val="FF0000"/>
                <w:sz w:val="21"/>
                <w:szCs w:val="24"/>
              </w:rPr>
              <w:t>的中标候选人出现7.1正文的四种情形之一，招标人选择：</w:t>
            </w:r>
          </w:p>
          <w:p w14:paraId="631FADA8">
            <w:pPr>
              <w:pStyle w:val="19"/>
              <w:rPr>
                <w:rFonts w:hint="eastAsia"/>
                <w:b/>
                <w:bCs/>
                <w:color w:val="FF0000"/>
                <w:sz w:val="21"/>
                <w:szCs w:val="24"/>
              </w:rPr>
            </w:pPr>
            <w:r>
              <w:rPr>
                <w:rFonts w:hint="eastAsia"/>
                <w:b/>
                <w:bCs/>
                <w:color w:val="FF0000"/>
                <w:sz w:val="21"/>
                <w:szCs w:val="24"/>
              </w:rPr>
              <w:t>□中标候选人名单排序依次确定其他中标候选人为中标人；</w:t>
            </w:r>
          </w:p>
          <w:p w14:paraId="4F01B27D">
            <w:pPr>
              <w:pStyle w:val="19"/>
              <w:rPr>
                <w:rFonts w:hint="eastAsia"/>
                <w:b/>
                <w:bCs/>
                <w:color w:val="FF0000"/>
                <w:sz w:val="21"/>
                <w:szCs w:val="24"/>
              </w:rPr>
            </w:pPr>
            <w:r>
              <w:rPr>
                <w:rFonts w:hint="eastAsia" w:ascii="宋体" w:hAnsi="宋体"/>
                <w:b/>
                <w:bCs/>
                <w:color w:val="FF0000"/>
                <w:sz w:val="21"/>
                <w:szCs w:val="24"/>
                <w:lang w:eastAsia="zh-CN"/>
              </w:rPr>
              <w:t>☑</w:t>
            </w:r>
            <w:r>
              <w:rPr>
                <w:rFonts w:hint="eastAsia"/>
                <w:b/>
                <w:bCs/>
                <w:color w:val="FF0000"/>
                <w:sz w:val="21"/>
                <w:szCs w:val="24"/>
              </w:rPr>
              <w:t>重新招标；</w:t>
            </w:r>
          </w:p>
          <w:p w14:paraId="504F5F24">
            <w:pPr>
              <w:rPr>
                <w:szCs w:val="21"/>
              </w:rPr>
            </w:pPr>
            <w:r>
              <w:rPr>
                <w:rFonts w:hint="eastAsia"/>
                <w:b/>
                <w:bCs/>
                <w:color w:val="FF0000"/>
                <w:sz w:val="21"/>
                <w:szCs w:val="24"/>
              </w:rPr>
              <w:t>3、公</w:t>
            </w:r>
            <w:r>
              <w:rPr>
                <w:rFonts w:hint="eastAsia"/>
                <w:b/>
                <w:bCs/>
                <w:color w:val="FF0000"/>
                <w:sz w:val="21"/>
                <w:szCs w:val="24"/>
                <w:lang w:eastAsia="zh-CN"/>
              </w:rPr>
              <w:t>布</w:t>
            </w:r>
            <w:r>
              <w:rPr>
                <w:rFonts w:hint="eastAsia"/>
                <w:b/>
                <w:bCs/>
                <w:color w:val="FF0000"/>
                <w:sz w:val="21"/>
                <w:szCs w:val="24"/>
              </w:rPr>
              <w:t>中标结果。</w:t>
            </w:r>
          </w:p>
        </w:tc>
      </w:tr>
      <w:tr w14:paraId="43C87C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294BF04C">
            <w:pPr>
              <w:jc w:val="center"/>
              <w:rPr>
                <w:rStyle w:val="95"/>
                <w:szCs w:val="21"/>
              </w:rPr>
            </w:pPr>
            <w:r>
              <w:rPr>
                <w:rStyle w:val="95"/>
                <w:szCs w:val="21"/>
              </w:rPr>
              <w:t>7.4.1</w:t>
            </w:r>
          </w:p>
        </w:tc>
        <w:tc>
          <w:tcPr>
            <w:tcW w:w="1889" w:type="dxa"/>
            <w:vAlign w:val="center"/>
          </w:tcPr>
          <w:p w14:paraId="2CA982CF">
            <w:pPr>
              <w:jc w:val="center"/>
              <w:rPr>
                <w:rStyle w:val="95"/>
                <w:szCs w:val="21"/>
              </w:rPr>
            </w:pPr>
            <w:r>
              <w:rPr>
                <w:rStyle w:val="95"/>
                <w:rFonts w:hint="eastAsia"/>
                <w:szCs w:val="21"/>
              </w:rPr>
              <w:t>履约担保</w:t>
            </w:r>
          </w:p>
        </w:tc>
        <w:tc>
          <w:tcPr>
            <w:tcW w:w="5727" w:type="dxa"/>
            <w:vAlign w:val="center"/>
          </w:tcPr>
          <w:p w14:paraId="1EACC33F">
            <w:pPr>
              <w:pStyle w:val="17"/>
              <w:topLinePunct/>
              <w:adjustRightInd w:val="0"/>
              <w:snapToGrid w:val="0"/>
              <w:spacing w:after="0"/>
              <w:rPr>
                <w:rFonts w:ascii="Times New Roman" w:hAnsi="Times New Roman"/>
                <w:sz w:val="21"/>
                <w:szCs w:val="21"/>
              </w:rPr>
            </w:pPr>
            <w:r>
              <w:rPr>
                <w:rFonts w:ascii="Times New Roman" w:hAnsi="Times New Roman"/>
                <w:sz w:val="21"/>
                <w:szCs w:val="21"/>
              </w:rPr>
              <w:t>1.</w:t>
            </w:r>
            <w:r>
              <w:rPr>
                <w:rFonts w:hint="eastAsia" w:ascii="Times New Roman" w:hAnsi="Times New Roman"/>
                <w:sz w:val="21"/>
                <w:szCs w:val="21"/>
              </w:rPr>
              <w:t>要求中标人提交的履约保证金或者其他形式履约担保的，不得超过中标合同金额的</w:t>
            </w:r>
            <w:r>
              <w:rPr>
                <w:rFonts w:ascii="Times New Roman" w:hAnsi="Times New Roman"/>
                <w:sz w:val="21"/>
                <w:szCs w:val="21"/>
              </w:rPr>
              <w:t>10%</w:t>
            </w:r>
            <w:r>
              <w:rPr>
                <w:rFonts w:hint="eastAsia" w:ascii="Times New Roman" w:hAnsi="Times New Roman"/>
                <w:sz w:val="21"/>
                <w:szCs w:val="21"/>
              </w:rPr>
              <w:t>，招标人应当同时向中标人提供工程款支付担保。</w:t>
            </w:r>
          </w:p>
          <w:p w14:paraId="16AD77B4">
            <w:pPr>
              <w:pStyle w:val="17"/>
              <w:topLinePunct/>
              <w:adjustRightInd w:val="0"/>
              <w:snapToGrid w:val="0"/>
              <w:spacing w:after="0"/>
              <w:rPr>
                <w:rFonts w:ascii="Times New Roman" w:hAnsi="Times New Roman"/>
                <w:sz w:val="21"/>
                <w:szCs w:val="21"/>
              </w:rPr>
            </w:pPr>
            <w:r>
              <w:rPr>
                <w:rFonts w:ascii="Times New Roman" w:hAnsi="Times New Roman"/>
                <w:sz w:val="21"/>
                <w:szCs w:val="21"/>
              </w:rPr>
              <w:t>2.</w:t>
            </w:r>
            <w:r>
              <w:rPr>
                <w:rFonts w:hint="eastAsia" w:ascii="Times New Roman" w:hAnsi="Times New Roman"/>
                <w:sz w:val="21"/>
                <w:szCs w:val="21"/>
              </w:rPr>
              <w:t>担保要求：</w:t>
            </w:r>
          </w:p>
          <w:p w14:paraId="4F5586FD">
            <w:pPr>
              <w:pStyle w:val="17"/>
              <w:topLinePunct/>
              <w:adjustRightInd w:val="0"/>
              <w:snapToGrid w:val="0"/>
              <w:spacing w:after="0"/>
              <w:rPr>
                <w:rFonts w:ascii="Times New Roman" w:hAnsi="Times New Roman"/>
                <w:sz w:val="21"/>
                <w:szCs w:val="21"/>
              </w:rPr>
            </w:pPr>
            <w:r>
              <w:rPr>
                <w:rFonts w:hint="eastAsia" w:ascii="MS Gothic" w:hAnsi="MS Gothic" w:cs="MS Gothic"/>
                <w:lang w:eastAsia="zh-CN"/>
              </w:rPr>
              <w:t>☑</w:t>
            </w:r>
            <w:r>
              <w:rPr>
                <w:rFonts w:hint="eastAsia" w:ascii="Times New Roman" w:hAnsi="Times New Roman"/>
                <w:sz w:val="21"/>
                <w:szCs w:val="21"/>
              </w:rPr>
              <w:t>不要求中标人提交</w:t>
            </w:r>
          </w:p>
          <w:p w14:paraId="2C8BEFC8">
            <w:pPr>
              <w:pStyle w:val="17"/>
              <w:topLinePunct/>
              <w:adjustRightInd w:val="0"/>
              <w:snapToGrid w:val="0"/>
              <w:spacing w:after="0"/>
              <w:rPr>
                <w:rFonts w:ascii="Times New Roman" w:hAnsi="Times New Roman"/>
                <w:sz w:val="21"/>
                <w:szCs w:val="21"/>
              </w:rPr>
            </w:pPr>
            <w:r>
              <w:rPr>
                <w:rFonts w:hint="eastAsia" w:ascii="宋体" w:hAnsi="宋体"/>
                <w:szCs w:val="21"/>
              </w:rPr>
              <w:t>□</w:t>
            </w:r>
            <w:r>
              <w:rPr>
                <w:rFonts w:hint="eastAsia" w:ascii="Times New Roman" w:hAnsi="Times New Roman"/>
                <w:sz w:val="21"/>
                <w:szCs w:val="21"/>
              </w:rPr>
              <w:t>要求中标人提交</w:t>
            </w:r>
          </w:p>
          <w:p w14:paraId="0F4B0FA6">
            <w:pPr>
              <w:pStyle w:val="17"/>
              <w:topLinePunct/>
              <w:adjustRightInd w:val="0"/>
              <w:snapToGrid w:val="0"/>
              <w:spacing w:after="0"/>
              <w:rPr>
                <w:rFonts w:ascii="Times New Roman" w:hAnsi="Times New Roman"/>
                <w:sz w:val="21"/>
                <w:szCs w:val="21"/>
              </w:rPr>
            </w:pPr>
            <w:r>
              <w:rPr>
                <w:rFonts w:ascii="Times New Roman" w:hAnsi="Times New Roman"/>
                <w:sz w:val="21"/>
                <w:szCs w:val="21"/>
              </w:rPr>
              <w:t>3.</w:t>
            </w:r>
            <w:r>
              <w:rPr>
                <w:rFonts w:hint="eastAsia" w:ascii="Times New Roman" w:hAnsi="Times New Roman"/>
                <w:sz w:val="21"/>
                <w:szCs w:val="21"/>
              </w:rPr>
              <w:t>担保形式：</w:t>
            </w:r>
          </w:p>
          <w:p w14:paraId="3C04A6A3">
            <w:pPr>
              <w:pStyle w:val="17"/>
              <w:topLinePunct/>
              <w:adjustRightInd w:val="0"/>
              <w:snapToGrid w:val="0"/>
              <w:spacing w:after="0"/>
              <w:rPr>
                <w:rFonts w:ascii="Times New Roman" w:hAnsi="Times New Roman"/>
                <w:sz w:val="21"/>
                <w:szCs w:val="21"/>
              </w:rPr>
            </w:pPr>
            <w:r>
              <w:rPr>
                <w:rFonts w:hint="eastAsia" w:ascii="宋体" w:hAnsi="宋体"/>
                <w:szCs w:val="21"/>
              </w:rPr>
              <w:t>□</w:t>
            </w:r>
            <w:r>
              <w:rPr>
                <w:rFonts w:hint="eastAsia" w:ascii="Times New Roman" w:hAnsi="Times New Roman"/>
                <w:sz w:val="21"/>
                <w:szCs w:val="21"/>
              </w:rPr>
              <w:t>银行保函</w:t>
            </w:r>
          </w:p>
          <w:p w14:paraId="61E70853">
            <w:pPr>
              <w:pStyle w:val="17"/>
              <w:topLinePunct/>
              <w:adjustRightInd w:val="0"/>
              <w:snapToGrid w:val="0"/>
              <w:spacing w:after="0"/>
              <w:rPr>
                <w:rFonts w:ascii="Times New Roman" w:hAnsi="Times New Roman"/>
                <w:sz w:val="21"/>
                <w:szCs w:val="21"/>
              </w:rPr>
            </w:pPr>
            <w:r>
              <w:rPr>
                <w:rFonts w:hint="eastAsia" w:ascii="宋体" w:hAnsi="宋体"/>
                <w:szCs w:val="21"/>
              </w:rPr>
              <w:t>□</w:t>
            </w:r>
            <w:r>
              <w:rPr>
                <w:rFonts w:hint="eastAsia" w:ascii="Times New Roman" w:hAnsi="Times New Roman"/>
                <w:sz w:val="21"/>
                <w:szCs w:val="21"/>
              </w:rPr>
              <w:t>担保保函</w:t>
            </w:r>
          </w:p>
          <w:p w14:paraId="148EB3E0">
            <w:pPr>
              <w:pStyle w:val="17"/>
              <w:topLinePunct/>
              <w:adjustRightInd w:val="0"/>
              <w:snapToGrid w:val="0"/>
              <w:spacing w:after="0"/>
              <w:rPr>
                <w:rFonts w:ascii="Times New Roman" w:hAnsi="Times New Roman"/>
                <w:sz w:val="21"/>
                <w:szCs w:val="21"/>
              </w:rPr>
            </w:pPr>
            <w:r>
              <w:rPr>
                <w:rFonts w:hint="eastAsia" w:ascii="宋体" w:hAnsi="宋体"/>
                <w:szCs w:val="21"/>
              </w:rPr>
              <w:t>□</w:t>
            </w:r>
            <w:r>
              <w:rPr>
                <w:rFonts w:hint="eastAsia" w:ascii="Times New Roman" w:hAnsi="Times New Roman"/>
                <w:sz w:val="21"/>
                <w:szCs w:val="21"/>
              </w:rPr>
              <w:t>保险保函</w:t>
            </w:r>
          </w:p>
          <w:p w14:paraId="0C4D226C">
            <w:pPr>
              <w:pStyle w:val="17"/>
              <w:topLinePunct/>
              <w:adjustRightInd w:val="0"/>
              <w:snapToGrid w:val="0"/>
              <w:spacing w:after="0"/>
              <w:rPr>
                <w:rFonts w:ascii="Times New Roman" w:hAnsi="Times New Roman"/>
                <w:sz w:val="21"/>
                <w:szCs w:val="21"/>
              </w:rPr>
            </w:pPr>
            <w:r>
              <w:rPr>
                <w:rFonts w:hint="eastAsia" w:ascii="宋体" w:hAnsi="宋体"/>
                <w:szCs w:val="21"/>
              </w:rPr>
              <w:t>□</w:t>
            </w:r>
            <w:r>
              <w:rPr>
                <w:rFonts w:hint="eastAsia" w:ascii="Times New Roman" w:hAnsi="Times New Roman"/>
                <w:sz w:val="21"/>
                <w:szCs w:val="21"/>
              </w:rPr>
              <w:t>转账</w:t>
            </w:r>
          </w:p>
        </w:tc>
      </w:tr>
      <w:tr w14:paraId="0B7ACA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4A9EE974">
            <w:pPr>
              <w:jc w:val="center"/>
              <w:rPr>
                <w:rStyle w:val="95"/>
                <w:szCs w:val="21"/>
              </w:rPr>
            </w:pPr>
            <w:r>
              <w:rPr>
                <w:rStyle w:val="95"/>
                <w:szCs w:val="21"/>
              </w:rPr>
              <w:t>9.5</w:t>
            </w:r>
          </w:p>
        </w:tc>
        <w:tc>
          <w:tcPr>
            <w:tcW w:w="1889" w:type="dxa"/>
            <w:vAlign w:val="center"/>
          </w:tcPr>
          <w:p w14:paraId="034077D2">
            <w:pPr>
              <w:jc w:val="center"/>
              <w:rPr>
                <w:rStyle w:val="95"/>
                <w:szCs w:val="21"/>
              </w:rPr>
            </w:pPr>
            <w:r>
              <w:rPr>
                <w:rStyle w:val="95"/>
                <w:rFonts w:hint="eastAsia"/>
                <w:szCs w:val="21"/>
              </w:rPr>
              <w:t>监督部门</w:t>
            </w:r>
          </w:p>
        </w:tc>
        <w:tc>
          <w:tcPr>
            <w:tcW w:w="5727" w:type="dxa"/>
            <w:vAlign w:val="center"/>
          </w:tcPr>
          <w:p w14:paraId="1FDE0E8E">
            <w:pPr>
              <w:rPr>
                <w:rStyle w:val="95"/>
                <w:szCs w:val="21"/>
              </w:rPr>
            </w:pPr>
            <w:r>
              <w:rPr>
                <w:rStyle w:val="95"/>
                <w:rFonts w:hint="eastAsia"/>
                <w:szCs w:val="21"/>
              </w:rPr>
              <w:t>房屋建筑和市政基础设施工程接受有管辖权的建设工程招标投标管理机构依法实施的监督管理及监察部门的监察和指导。</w:t>
            </w:r>
          </w:p>
        </w:tc>
      </w:tr>
      <w:tr w14:paraId="0E857D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1D9037DC">
            <w:pPr>
              <w:jc w:val="center"/>
              <w:rPr>
                <w:rStyle w:val="95"/>
                <w:szCs w:val="21"/>
              </w:rPr>
            </w:pPr>
            <w:r>
              <w:rPr>
                <w:rStyle w:val="95"/>
                <w:szCs w:val="21"/>
              </w:rPr>
              <w:t>10.2</w:t>
            </w:r>
          </w:p>
        </w:tc>
        <w:tc>
          <w:tcPr>
            <w:tcW w:w="1889" w:type="dxa"/>
            <w:vAlign w:val="center"/>
          </w:tcPr>
          <w:p w14:paraId="5561E25B">
            <w:pPr>
              <w:jc w:val="center"/>
              <w:rPr>
                <w:rStyle w:val="95"/>
                <w:szCs w:val="21"/>
              </w:rPr>
            </w:pPr>
            <w:r>
              <w:rPr>
                <w:rStyle w:val="95"/>
                <w:rFonts w:hint="eastAsia"/>
                <w:szCs w:val="21"/>
              </w:rPr>
              <w:t>工程总承包</w:t>
            </w:r>
          </w:p>
          <w:p w14:paraId="12DD30E1">
            <w:pPr>
              <w:jc w:val="center"/>
              <w:rPr>
                <w:rStyle w:val="95"/>
                <w:szCs w:val="21"/>
              </w:rPr>
            </w:pPr>
            <w:r>
              <w:rPr>
                <w:rStyle w:val="95"/>
                <w:rFonts w:hint="eastAsia"/>
                <w:szCs w:val="21"/>
              </w:rPr>
              <w:t>管理方案</w:t>
            </w:r>
          </w:p>
        </w:tc>
        <w:tc>
          <w:tcPr>
            <w:tcW w:w="5727" w:type="dxa"/>
          </w:tcPr>
          <w:p w14:paraId="4AA3C326">
            <w:pPr>
              <w:rPr>
                <w:rStyle w:val="95"/>
                <w:szCs w:val="21"/>
              </w:rPr>
            </w:pPr>
            <w:r>
              <w:rPr>
                <w:rStyle w:val="95"/>
                <w:rFonts w:hint="eastAsia"/>
                <w:szCs w:val="21"/>
              </w:rPr>
              <w:t>工程总承包管理方案，包括设计管理方面的措施，包含在技术投标文件中。</w:t>
            </w:r>
          </w:p>
        </w:tc>
      </w:tr>
      <w:tr w14:paraId="699721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4B9E7B23">
            <w:pPr>
              <w:jc w:val="center"/>
              <w:rPr>
                <w:rStyle w:val="95"/>
                <w:szCs w:val="21"/>
              </w:rPr>
            </w:pPr>
            <w:r>
              <w:rPr>
                <w:rStyle w:val="95"/>
                <w:szCs w:val="21"/>
              </w:rPr>
              <w:t>10.3</w:t>
            </w:r>
          </w:p>
        </w:tc>
        <w:tc>
          <w:tcPr>
            <w:tcW w:w="1889" w:type="dxa"/>
            <w:vAlign w:val="center"/>
          </w:tcPr>
          <w:p w14:paraId="76689D4E">
            <w:pPr>
              <w:jc w:val="center"/>
              <w:rPr>
                <w:rStyle w:val="95"/>
                <w:szCs w:val="21"/>
              </w:rPr>
            </w:pPr>
            <w:r>
              <w:rPr>
                <w:rStyle w:val="95"/>
                <w:rFonts w:hint="eastAsia"/>
                <w:szCs w:val="21"/>
              </w:rPr>
              <w:t>招标代理费</w:t>
            </w:r>
          </w:p>
        </w:tc>
        <w:tc>
          <w:tcPr>
            <w:tcW w:w="5727" w:type="dxa"/>
            <w:vAlign w:val="center"/>
          </w:tcPr>
          <w:p w14:paraId="2ACA9DB0">
            <w:pPr>
              <w:rPr>
                <w:rStyle w:val="95"/>
                <w:rFonts w:hint="eastAsia" w:eastAsia="宋体"/>
                <w:szCs w:val="21"/>
                <w:lang w:eastAsia="zh-CN"/>
              </w:rPr>
            </w:pPr>
            <w:r>
              <w:rPr>
                <w:rStyle w:val="95"/>
                <w:rFonts w:hint="eastAsia"/>
                <w:bCs/>
                <w:szCs w:val="21"/>
              </w:rPr>
              <w:t>招标代理服务费</w:t>
            </w:r>
            <w:r>
              <w:rPr>
                <w:rFonts w:hint="eastAsia"/>
                <w:bCs/>
                <w:szCs w:val="21"/>
              </w:rPr>
              <w:t>（不含招标工程量清单、招标控制价编制费用）</w:t>
            </w:r>
            <w:r>
              <w:rPr>
                <w:rStyle w:val="95"/>
                <w:rFonts w:hint="eastAsia"/>
                <w:bCs/>
                <w:szCs w:val="21"/>
              </w:rPr>
              <w:t>实行市场调节价，由招标人与招标代理机构在代理合同中具体约定，</w:t>
            </w:r>
            <w:r>
              <w:rPr>
                <w:rFonts w:hint="eastAsia"/>
                <w:bCs/>
                <w:szCs w:val="21"/>
              </w:rPr>
              <w:t>由</w:t>
            </w:r>
            <w:r>
              <w:rPr>
                <w:rFonts w:hint="eastAsia" w:ascii="宋体" w:hAnsi="宋体"/>
                <w:szCs w:val="21"/>
              </w:rPr>
              <w:t>□</w:t>
            </w:r>
            <w:r>
              <w:rPr>
                <w:rFonts w:hint="eastAsia"/>
                <w:bCs/>
                <w:szCs w:val="21"/>
              </w:rPr>
              <w:t>招标人支付；</w:t>
            </w:r>
            <w:r>
              <w:rPr>
                <w:rFonts w:hint="eastAsia" w:ascii="MS Gothic" w:hAnsi="MS Gothic" w:eastAsia="MS Gothic" w:cs="MS Gothic"/>
              </w:rPr>
              <w:t>☑</w:t>
            </w:r>
            <w:r>
              <w:rPr>
                <w:rFonts w:hint="eastAsia"/>
                <w:bCs/>
                <w:szCs w:val="21"/>
              </w:rPr>
              <w:t>中标人支付</w:t>
            </w:r>
            <w:r>
              <w:rPr>
                <w:rFonts w:hint="eastAsia"/>
                <w:bCs/>
                <w:szCs w:val="21"/>
                <w:lang w:eastAsia="zh-CN"/>
              </w:rPr>
              <w:t>，</w:t>
            </w:r>
            <w:r>
              <w:rPr>
                <w:rFonts w:hint="eastAsia"/>
                <w:lang w:eastAsia="zh-CN"/>
              </w:rPr>
              <w:t>代理费</w:t>
            </w:r>
            <w:r>
              <w:rPr>
                <w:rFonts w:hint="eastAsia"/>
                <w:u w:val="single"/>
                <w:lang w:val="en-US" w:eastAsia="zh-CN"/>
              </w:rPr>
              <w:t xml:space="preserve">  </w:t>
            </w:r>
            <w:r>
              <w:rPr>
                <w:rFonts w:hint="eastAsia"/>
                <w:lang w:eastAsia="zh-CN"/>
              </w:rPr>
              <w:t>万元或比例</w:t>
            </w:r>
            <w:r>
              <w:rPr>
                <w:rFonts w:hint="eastAsia"/>
                <w:u w:val="single"/>
                <w:lang w:val="en-US" w:eastAsia="zh-CN"/>
              </w:rPr>
              <w:t xml:space="preserve">  % </w:t>
            </w:r>
            <w:r>
              <w:rPr>
                <w:rFonts w:hint="eastAsia"/>
                <w:lang w:eastAsia="zh-CN"/>
              </w:rPr>
              <w:t>。（必须明确）</w:t>
            </w:r>
          </w:p>
        </w:tc>
      </w:tr>
      <w:tr w14:paraId="1DF81A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8608" w:type="dxa"/>
            <w:gridSpan w:val="4"/>
            <w:vAlign w:val="center"/>
          </w:tcPr>
          <w:p w14:paraId="4E167531">
            <w:pPr>
              <w:ind w:left="102" w:right="414"/>
              <w:rPr>
                <w:rStyle w:val="95"/>
                <w:kern w:val="0"/>
                <w:szCs w:val="21"/>
              </w:rPr>
            </w:pPr>
            <w:r>
              <w:rPr>
                <w:rStyle w:val="95"/>
                <w:kern w:val="0"/>
                <w:szCs w:val="21"/>
              </w:rPr>
              <w:t>11.</w:t>
            </w:r>
            <w:r>
              <w:rPr>
                <w:rStyle w:val="95"/>
                <w:rFonts w:hint="eastAsia"/>
                <w:szCs w:val="21"/>
              </w:rPr>
              <w:t>需要补充的其他内容</w:t>
            </w:r>
          </w:p>
        </w:tc>
      </w:tr>
      <w:tr w14:paraId="7383EE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4524DCDD">
            <w:pPr>
              <w:jc w:val="center"/>
              <w:rPr>
                <w:rStyle w:val="95"/>
                <w:rFonts w:hint="default" w:eastAsia="宋体"/>
                <w:szCs w:val="21"/>
                <w:lang w:val="en-US" w:eastAsia="zh-CN"/>
              </w:rPr>
            </w:pPr>
            <w:r>
              <w:rPr>
                <w:rStyle w:val="95"/>
                <w:rFonts w:hint="eastAsia"/>
                <w:szCs w:val="21"/>
                <w:lang w:val="en-US" w:eastAsia="zh-CN"/>
              </w:rPr>
              <w:t>11.1</w:t>
            </w:r>
          </w:p>
        </w:tc>
        <w:tc>
          <w:tcPr>
            <w:tcW w:w="1889" w:type="dxa"/>
            <w:vAlign w:val="center"/>
          </w:tcPr>
          <w:p w14:paraId="7E0727D3">
            <w:pPr>
              <w:rPr>
                <w:rFonts w:hint="eastAsia" w:ascii="宋体" w:hAnsi="宋体"/>
                <w:b/>
                <w:bCs/>
                <w:color w:val="FF0000"/>
              </w:rPr>
            </w:pPr>
            <w:r>
              <w:rPr>
                <w:rFonts w:hint="eastAsia" w:ascii="宋体" w:hAnsi="宋体"/>
                <w:b/>
                <w:bCs/>
                <w:color w:val="FF0000"/>
              </w:rPr>
              <w:t>良好</w:t>
            </w:r>
            <w:r>
              <w:rPr>
                <w:rFonts w:hint="eastAsia" w:ascii="宋体" w:hAnsi="宋体"/>
                <w:b/>
                <w:bCs/>
                <w:color w:val="FF0000"/>
                <w:lang w:eastAsia="zh-CN"/>
              </w:rPr>
              <w:t>和不良</w:t>
            </w:r>
            <w:r>
              <w:rPr>
                <w:rFonts w:hint="eastAsia" w:ascii="宋体" w:hAnsi="宋体"/>
                <w:b/>
                <w:bCs/>
                <w:color w:val="FF0000"/>
              </w:rPr>
              <w:t>记录</w:t>
            </w:r>
          </w:p>
          <w:p w14:paraId="6701E0BD">
            <w:pPr>
              <w:rPr>
                <w:rFonts w:hint="eastAsia" w:ascii="宋体" w:hAnsi="宋体" w:eastAsia="宋体" w:cs="Times New Roman"/>
                <w:b/>
                <w:bCs/>
                <w:color w:val="FF0000"/>
                <w:kern w:val="2"/>
                <w:sz w:val="21"/>
                <w:szCs w:val="24"/>
                <w:lang w:val="en-US" w:eastAsia="zh-CN" w:bidi="ar-SA"/>
              </w:rPr>
            </w:pPr>
          </w:p>
        </w:tc>
        <w:tc>
          <w:tcPr>
            <w:tcW w:w="5727" w:type="dxa"/>
            <w:vAlign w:val="center"/>
          </w:tcPr>
          <w:p w14:paraId="084E8D1D">
            <w:pPr>
              <w:rPr>
                <w:rFonts w:hint="eastAsia" w:ascii="宋体" w:hAnsi="宋体" w:eastAsia="宋体" w:cs="Times New Roman"/>
                <w:b/>
                <w:bCs/>
                <w:color w:val="FF0000"/>
                <w:szCs w:val="21"/>
              </w:rPr>
            </w:pPr>
            <w:r>
              <w:rPr>
                <w:rFonts w:hint="eastAsia" w:ascii="宋体" w:hAnsi="宋体" w:eastAsia="宋体" w:cs="Times New Roman"/>
                <w:b/>
                <w:bCs/>
                <w:color w:val="FF0000"/>
                <w:szCs w:val="21"/>
                <w:lang w:val="en-US" w:eastAsia="zh-CN"/>
              </w:rPr>
              <w:t>良好和不良记录是已经国家、省、市级相关信用信息公示平台或者建筑市场监管公共服务平台公布的工程建设领域信用信息。</w:t>
            </w:r>
          </w:p>
          <w:p w14:paraId="1F76C964">
            <w:pPr>
              <w:rPr>
                <w:rFonts w:hint="eastAsia" w:ascii="宋体" w:hAnsi="宋体"/>
                <w:b/>
                <w:bCs/>
                <w:color w:val="FF0000"/>
                <w:szCs w:val="21"/>
              </w:rPr>
            </w:pPr>
            <w:r>
              <w:rPr>
                <w:rFonts w:hint="eastAsia" w:ascii="宋体" w:hAnsi="宋体"/>
                <w:b/>
                <w:bCs/>
                <w:color w:val="FF0000"/>
                <w:szCs w:val="21"/>
                <w:lang w:eastAsia="zh-CN"/>
              </w:rPr>
              <w:t>其中：</w:t>
            </w:r>
            <w:r>
              <w:rPr>
                <w:rFonts w:hint="eastAsia" w:ascii="宋体" w:hAnsi="宋体"/>
                <w:b/>
                <w:bCs/>
                <w:color w:val="FF0000"/>
                <w:szCs w:val="21"/>
              </w:rPr>
              <w:t>良好记录</w:t>
            </w:r>
            <w:r>
              <w:rPr>
                <w:rFonts w:hint="eastAsia" w:ascii="宋体" w:hAnsi="宋体"/>
                <w:b/>
                <w:bCs/>
                <w:color w:val="FF0000"/>
                <w:szCs w:val="21"/>
                <w:lang w:eastAsia="zh-CN"/>
              </w:rPr>
              <w:t>包括</w:t>
            </w:r>
            <w:r>
              <w:rPr>
                <w:rFonts w:hint="eastAsia" w:ascii="宋体" w:hAnsi="宋体"/>
                <w:b/>
                <w:bCs/>
                <w:color w:val="FF0000"/>
                <w:szCs w:val="21"/>
              </w:rPr>
              <w:t>质量</w:t>
            </w:r>
            <w:r>
              <w:rPr>
                <w:rFonts w:hint="eastAsia" w:ascii="宋体" w:hAnsi="宋体"/>
                <w:b/>
                <w:bCs/>
                <w:color w:val="FF0000"/>
                <w:szCs w:val="21"/>
                <w:lang w:eastAsia="zh-CN"/>
              </w:rPr>
              <w:t>类</w:t>
            </w:r>
            <w:r>
              <w:rPr>
                <w:rFonts w:hint="eastAsia" w:ascii="宋体" w:hAnsi="宋体"/>
                <w:b/>
                <w:bCs/>
                <w:color w:val="FF0000"/>
                <w:szCs w:val="21"/>
              </w:rPr>
              <w:t>、安全</w:t>
            </w:r>
            <w:r>
              <w:rPr>
                <w:rFonts w:hint="eastAsia" w:ascii="宋体" w:hAnsi="宋体"/>
                <w:b/>
                <w:bCs/>
                <w:color w:val="FF0000"/>
                <w:szCs w:val="21"/>
                <w:lang w:eastAsia="zh-CN"/>
              </w:rPr>
              <w:t>类</w:t>
            </w:r>
            <w:r>
              <w:rPr>
                <w:rFonts w:hint="eastAsia" w:ascii="宋体" w:hAnsi="宋体"/>
                <w:b/>
                <w:bCs/>
                <w:color w:val="FF0000"/>
                <w:szCs w:val="21"/>
              </w:rPr>
              <w:t>、管理</w:t>
            </w:r>
            <w:r>
              <w:rPr>
                <w:rFonts w:hint="eastAsia" w:ascii="宋体" w:hAnsi="宋体"/>
                <w:b/>
                <w:bCs/>
                <w:color w:val="FF0000"/>
                <w:szCs w:val="21"/>
                <w:lang w:eastAsia="zh-CN"/>
              </w:rPr>
              <w:t>类</w:t>
            </w:r>
            <w:r>
              <w:rPr>
                <w:rFonts w:hint="eastAsia" w:ascii="宋体" w:hAnsi="宋体"/>
                <w:b/>
                <w:bCs/>
                <w:color w:val="FF0000"/>
                <w:szCs w:val="21"/>
              </w:rPr>
              <w:t>、</w:t>
            </w:r>
            <w:r>
              <w:rPr>
                <w:rFonts w:hint="eastAsia" w:ascii="宋体" w:hAnsi="宋体"/>
                <w:b/>
                <w:bCs/>
                <w:color w:val="FF0000"/>
                <w:szCs w:val="21"/>
                <w:lang w:eastAsia="zh-CN"/>
              </w:rPr>
              <w:t>科技类、</w:t>
            </w:r>
            <w:r>
              <w:rPr>
                <w:rFonts w:hint="eastAsia" w:ascii="宋体" w:hAnsi="宋体"/>
                <w:b/>
                <w:bCs/>
                <w:color w:val="FF0000"/>
                <w:szCs w:val="21"/>
              </w:rPr>
              <w:t>个人</w:t>
            </w:r>
            <w:r>
              <w:rPr>
                <w:rFonts w:hint="eastAsia" w:ascii="宋体" w:hAnsi="宋体"/>
                <w:b/>
                <w:bCs/>
                <w:color w:val="FF0000"/>
                <w:szCs w:val="21"/>
                <w:lang w:eastAsia="zh-CN"/>
              </w:rPr>
              <w:t>类</w:t>
            </w:r>
            <w:r>
              <w:rPr>
                <w:rFonts w:hint="eastAsia" w:ascii="宋体" w:hAnsi="宋体"/>
                <w:b/>
                <w:bCs/>
                <w:color w:val="FF0000"/>
                <w:szCs w:val="21"/>
              </w:rPr>
              <w:t>。</w:t>
            </w:r>
          </w:p>
          <w:p w14:paraId="611BAE5D">
            <w:pPr>
              <w:rPr>
                <w:rFonts w:hint="eastAsia" w:ascii="宋体" w:hAnsi="宋体" w:eastAsia="宋体" w:cs="Times New Roman"/>
                <w:b/>
                <w:bCs/>
                <w:color w:val="FF0000"/>
                <w:kern w:val="2"/>
                <w:sz w:val="21"/>
                <w:szCs w:val="32"/>
                <w:lang w:val="en-US" w:eastAsia="zh-CN" w:bidi="ar-SA"/>
              </w:rPr>
            </w:pPr>
            <w:r>
              <w:rPr>
                <w:rFonts w:hint="eastAsia" w:ascii="宋体" w:hAnsi="宋体"/>
                <w:b/>
                <w:bCs/>
                <w:color w:val="FF0000"/>
                <w:szCs w:val="32"/>
              </w:rPr>
              <w:t>不良记录指</w:t>
            </w:r>
            <w:r>
              <w:rPr>
                <w:rFonts w:hint="eastAsia" w:ascii="宋体" w:hAnsi="宋体" w:eastAsia="宋体" w:cs="Times New Roman"/>
                <w:b/>
                <w:bCs/>
                <w:color w:val="FF0000"/>
                <w:szCs w:val="21"/>
                <w:lang w:val="en-US" w:eastAsia="zh-CN"/>
              </w:rPr>
              <w:t>投标人及其在投标文件中载明的主要管理人员，近2年内存在围标串标、弄虚作假骗取中标、出借资质资格、转让工程监理业务、发生质量安全事故等行政处罚不良记录的；近1年存在除上述以外且与工程建设活动相关行政处罚不良记录的。</w:t>
            </w:r>
          </w:p>
        </w:tc>
      </w:tr>
      <w:tr w14:paraId="7F892B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2A8AAF05">
            <w:pPr>
              <w:jc w:val="center"/>
              <w:rPr>
                <w:rStyle w:val="95"/>
                <w:szCs w:val="21"/>
              </w:rPr>
            </w:pPr>
            <w:r>
              <w:rPr>
                <w:rStyle w:val="95"/>
                <w:szCs w:val="21"/>
              </w:rPr>
              <w:t>11.2.1</w:t>
            </w:r>
          </w:p>
        </w:tc>
        <w:tc>
          <w:tcPr>
            <w:tcW w:w="1889" w:type="dxa"/>
            <w:vAlign w:val="center"/>
          </w:tcPr>
          <w:p w14:paraId="4E8572EA">
            <w:pPr>
              <w:jc w:val="center"/>
              <w:rPr>
                <w:szCs w:val="21"/>
              </w:rPr>
            </w:pPr>
            <w:r>
              <w:rPr>
                <w:rStyle w:val="95"/>
                <w:rFonts w:hint="eastAsia"/>
                <w:szCs w:val="21"/>
              </w:rPr>
              <w:t>模拟工程量清单</w:t>
            </w:r>
            <w:r>
              <w:rPr>
                <w:rStyle w:val="95"/>
                <w:szCs w:val="21"/>
              </w:rPr>
              <w:t xml:space="preserve">                       </w:t>
            </w:r>
          </w:p>
        </w:tc>
        <w:tc>
          <w:tcPr>
            <w:tcW w:w="5727" w:type="dxa"/>
            <w:vAlign w:val="center"/>
          </w:tcPr>
          <w:p w14:paraId="5031E6C4">
            <w:pPr>
              <w:jc w:val="left"/>
              <w:rPr>
                <w:szCs w:val="21"/>
              </w:rPr>
            </w:pPr>
            <w:r>
              <w:rPr>
                <w:rStyle w:val="95"/>
                <w:rFonts w:hint="eastAsia"/>
                <w:szCs w:val="21"/>
              </w:rPr>
              <w:t>招标人依据经批复的可行性研究报告、招标文件、初步设计文件、同类型工程图纸以及经济技术资料编制的，随招标文件发布供投标报价的工程量清单，包括其说明和表格。</w:t>
            </w:r>
          </w:p>
        </w:tc>
      </w:tr>
      <w:tr w14:paraId="3AA347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4506C264">
            <w:pPr>
              <w:jc w:val="center"/>
              <w:rPr>
                <w:rStyle w:val="95"/>
                <w:szCs w:val="21"/>
              </w:rPr>
            </w:pPr>
            <w:r>
              <w:rPr>
                <w:rStyle w:val="95"/>
                <w:szCs w:val="21"/>
              </w:rPr>
              <w:t>11.2.2</w:t>
            </w:r>
          </w:p>
        </w:tc>
        <w:tc>
          <w:tcPr>
            <w:tcW w:w="1889" w:type="dxa"/>
            <w:vAlign w:val="center"/>
          </w:tcPr>
          <w:p w14:paraId="1FBB78DE">
            <w:pPr>
              <w:jc w:val="center"/>
              <w:rPr>
                <w:szCs w:val="21"/>
              </w:rPr>
            </w:pPr>
            <w:r>
              <w:rPr>
                <w:rFonts w:hint="eastAsia"/>
                <w:szCs w:val="21"/>
              </w:rPr>
              <w:t>招标控制价</w:t>
            </w:r>
          </w:p>
          <w:p w14:paraId="20B49BD0">
            <w:pPr>
              <w:jc w:val="center"/>
              <w:rPr>
                <w:szCs w:val="21"/>
              </w:rPr>
            </w:pPr>
            <w:r>
              <w:rPr>
                <w:rStyle w:val="95"/>
                <w:rFonts w:hint="eastAsia"/>
                <w:szCs w:val="21"/>
              </w:rPr>
              <w:t>（</w:t>
            </w:r>
            <w:r>
              <w:rPr>
                <w:rFonts w:hint="eastAsia"/>
                <w:szCs w:val="21"/>
              </w:rPr>
              <w:t>最高投标</w:t>
            </w:r>
          </w:p>
          <w:p w14:paraId="04E64FE7">
            <w:pPr>
              <w:jc w:val="center"/>
              <w:rPr>
                <w:szCs w:val="21"/>
              </w:rPr>
            </w:pPr>
            <w:r>
              <w:rPr>
                <w:rFonts w:hint="eastAsia"/>
                <w:szCs w:val="21"/>
              </w:rPr>
              <w:t>限价</w:t>
            </w:r>
            <w:r>
              <w:rPr>
                <w:rStyle w:val="95"/>
                <w:rFonts w:hint="eastAsia"/>
                <w:szCs w:val="21"/>
              </w:rPr>
              <w:t>）</w:t>
            </w:r>
          </w:p>
        </w:tc>
        <w:tc>
          <w:tcPr>
            <w:tcW w:w="5727" w:type="dxa"/>
            <w:vAlign w:val="center"/>
          </w:tcPr>
          <w:p w14:paraId="39B425DF">
            <w:pPr>
              <w:rPr>
                <w:rStyle w:val="95"/>
                <w:kern w:val="0"/>
                <w:szCs w:val="21"/>
              </w:rPr>
            </w:pPr>
            <w:r>
              <w:rPr>
                <w:rStyle w:val="95"/>
                <w:kern w:val="0"/>
                <w:szCs w:val="21"/>
              </w:rPr>
              <w:t>1.</w:t>
            </w:r>
            <w:r>
              <w:rPr>
                <w:rStyle w:val="95"/>
                <w:rFonts w:hint="eastAsia"/>
                <w:kern w:val="0"/>
                <w:szCs w:val="21"/>
              </w:rPr>
              <w:t>招标人根据国家或省级、行业建设主管部门颁发的有关计价依据和办法，以及拟定的招标文件和招标工程量清单，结合工程具体情况编制的招标工程的最高投标限价。</w:t>
            </w:r>
          </w:p>
          <w:p w14:paraId="00114E1E">
            <w:pPr>
              <w:rPr>
                <w:kern w:val="0"/>
                <w:szCs w:val="21"/>
              </w:rPr>
            </w:pPr>
            <w:r>
              <w:rPr>
                <w:rFonts w:hint="eastAsia" w:ascii="宋体" w:hAnsi="宋体"/>
                <w:szCs w:val="21"/>
              </w:rPr>
              <w:t>□</w:t>
            </w:r>
            <w:r>
              <w:rPr>
                <w:rFonts w:hint="eastAsia"/>
                <w:kern w:val="0"/>
                <w:szCs w:val="21"/>
              </w:rPr>
              <w:t>不设招标控制价</w:t>
            </w:r>
          </w:p>
          <w:p w14:paraId="61FA1098">
            <w:pPr>
              <w:rPr>
                <w:kern w:val="0"/>
                <w:szCs w:val="21"/>
              </w:rPr>
            </w:pPr>
            <w:r>
              <w:rPr>
                <w:rFonts w:hint="eastAsia" w:ascii="MS Gothic" w:hAnsi="MS Gothic" w:eastAsia="MS Gothic" w:cs="MS Gothic"/>
              </w:rPr>
              <w:t>☑</w:t>
            </w:r>
            <w:r>
              <w:rPr>
                <w:rFonts w:hint="eastAsia"/>
                <w:kern w:val="0"/>
                <w:szCs w:val="21"/>
              </w:rPr>
              <w:t>设招标控制价</w:t>
            </w:r>
          </w:p>
          <w:p w14:paraId="25852BA7">
            <w:pPr>
              <w:rPr>
                <w:rStyle w:val="95"/>
                <w:kern w:val="0"/>
                <w:szCs w:val="21"/>
              </w:rPr>
            </w:pPr>
            <w:r>
              <w:rPr>
                <w:rStyle w:val="95"/>
                <w:kern w:val="0"/>
                <w:szCs w:val="21"/>
              </w:rPr>
              <w:t>2.</w:t>
            </w:r>
            <w:r>
              <w:rPr>
                <w:rStyle w:val="95"/>
                <w:rFonts w:hint="eastAsia"/>
                <w:kern w:val="0"/>
                <w:szCs w:val="21"/>
              </w:rPr>
              <w:t>备案（同建标字</w:t>
            </w:r>
            <w:r>
              <w:rPr>
                <w:rStyle w:val="95"/>
                <w:kern w:val="0"/>
                <w:szCs w:val="21"/>
              </w:rPr>
              <w:t>[2017]3</w:t>
            </w:r>
            <w:r>
              <w:rPr>
                <w:rStyle w:val="95"/>
                <w:rFonts w:hint="eastAsia"/>
                <w:kern w:val="0"/>
                <w:szCs w:val="21"/>
              </w:rPr>
              <w:t>号）。</w:t>
            </w:r>
          </w:p>
          <w:p w14:paraId="6326DA66">
            <w:pPr>
              <w:rPr>
                <w:rStyle w:val="95"/>
                <w:kern w:val="0"/>
                <w:szCs w:val="21"/>
              </w:rPr>
            </w:pPr>
            <w:r>
              <w:rPr>
                <w:rStyle w:val="95"/>
                <w:kern w:val="0"/>
                <w:szCs w:val="21"/>
              </w:rPr>
              <w:t>3.</w:t>
            </w:r>
            <w:r>
              <w:rPr>
                <w:rStyle w:val="95"/>
                <w:rFonts w:hint="eastAsia"/>
                <w:kern w:val="0"/>
                <w:szCs w:val="21"/>
              </w:rPr>
              <w:t>公布时间：</w:t>
            </w:r>
          </w:p>
          <w:p w14:paraId="46533B95">
            <w:pPr>
              <w:rPr>
                <w:kern w:val="0"/>
                <w:szCs w:val="21"/>
              </w:rPr>
            </w:pPr>
            <w:r>
              <w:rPr>
                <w:rFonts w:hint="eastAsia" w:ascii="宋体" w:hAnsi="宋体"/>
                <w:szCs w:val="21"/>
              </w:rPr>
              <w:t>□</w:t>
            </w:r>
            <w:r>
              <w:rPr>
                <w:rFonts w:hint="eastAsia"/>
                <w:kern w:val="0"/>
                <w:szCs w:val="21"/>
              </w:rPr>
              <w:t>与招标文件同时发布；</w:t>
            </w:r>
          </w:p>
          <w:p w14:paraId="1CD2A142">
            <w:pPr>
              <w:rPr>
                <w:kern w:val="0"/>
                <w:szCs w:val="21"/>
              </w:rPr>
            </w:pPr>
            <w:r>
              <w:rPr>
                <w:rFonts w:hint="eastAsia" w:ascii="宋体" w:hAnsi="宋体"/>
                <w:szCs w:val="21"/>
                <w:lang w:eastAsia="zh-CN"/>
              </w:rPr>
              <w:t>☑</w:t>
            </w:r>
            <w:r>
              <w:rPr>
                <w:rFonts w:hint="eastAsia"/>
                <w:kern w:val="0"/>
                <w:szCs w:val="21"/>
              </w:rPr>
              <w:t>投标截止时间十五天前；</w:t>
            </w:r>
          </w:p>
          <w:p w14:paraId="0810C14A">
            <w:pPr>
              <w:rPr>
                <w:kern w:val="0"/>
                <w:szCs w:val="21"/>
              </w:rPr>
            </w:pPr>
            <w:r>
              <w:rPr>
                <w:rFonts w:hint="eastAsia" w:ascii="MS Gothic" w:hAnsi="MS Gothic" w:cs="MS Gothic"/>
                <w:szCs w:val="21"/>
              </w:rPr>
              <w:t>□</w:t>
            </w:r>
            <w:r>
              <w:rPr>
                <w:rFonts w:hint="eastAsia"/>
                <w:kern w:val="0"/>
                <w:szCs w:val="21"/>
              </w:rPr>
              <w:t>投标截止时间五天前；</w:t>
            </w:r>
          </w:p>
          <w:p w14:paraId="049A4902">
            <w:pPr>
              <w:rPr>
                <w:rStyle w:val="95"/>
                <w:kern w:val="0"/>
                <w:szCs w:val="21"/>
              </w:rPr>
            </w:pPr>
            <w:r>
              <w:rPr>
                <w:rStyle w:val="95"/>
                <w:kern w:val="0"/>
                <w:szCs w:val="21"/>
              </w:rPr>
              <w:t>4.</w:t>
            </w:r>
            <w:r>
              <w:rPr>
                <w:rStyle w:val="95"/>
                <w:rFonts w:hint="eastAsia"/>
                <w:kern w:val="0"/>
                <w:szCs w:val="21"/>
              </w:rPr>
              <w:t>公布内容：</w:t>
            </w:r>
          </w:p>
          <w:p w14:paraId="55373205">
            <w:pPr>
              <w:rPr>
                <w:rStyle w:val="95"/>
                <w:kern w:val="0"/>
                <w:szCs w:val="21"/>
              </w:rPr>
            </w:pPr>
            <w:r>
              <w:rPr>
                <w:rStyle w:val="95"/>
                <w:rFonts w:hint="eastAsia"/>
                <w:kern w:val="0"/>
                <w:szCs w:val="21"/>
              </w:rPr>
              <w:t>（</w:t>
            </w:r>
            <w:r>
              <w:rPr>
                <w:rStyle w:val="95"/>
                <w:kern w:val="0"/>
                <w:szCs w:val="21"/>
              </w:rPr>
              <w:t>1</w:t>
            </w:r>
            <w:r>
              <w:rPr>
                <w:rStyle w:val="95"/>
                <w:rFonts w:hint="eastAsia"/>
                <w:kern w:val="0"/>
                <w:szCs w:val="21"/>
              </w:rPr>
              <w:t>）设计最高投标限价；</w:t>
            </w:r>
          </w:p>
          <w:p w14:paraId="668A9E1B">
            <w:pPr>
              <w:rPr>
                <w:rStyle w:val="95"/>
                <w:kern w:val="0"/>
                <w:szCs w:val="21"/>
              </w:rPr>
            </w:pPr>
            <w:r>
              <w:rPr>
                <w:rStyle w:val="95"/>
                <w:rFonts w:hint="eastAsia"/>
                <w:kern w:val="0"/>
                <w:szCs w:val="21"/>
              </w:rPr>
              <w:t>（</w:t>
            </w:r>
            <w:r>
              <w:rPr>
                <w:rStyle w:val="95"/>
                <w:kern w:val="0"/>
                <w:szCs w:val="21"/>
              </w:rPr>
              <w:t>2</w:t>
            </w:r>
            <w:r>
              <w:rPr>
                <w:rStyle w:val="95"/>
                <w:rFonts w:hint="eastAsia"/>
                <w:kern w:val="0"/>
                <w:szCs w:val="21"/>
              </w:rPr>
              <w:t>）施工最高投标限价总价；</w:t>
            </w:r>
          </w:p>
          <w:p w14:paraId="16AAD03F">
            <w:pPr>
              <w:ind w:firstLine="945" w:firstLineChars="450"/>
              <w:rPr>
                <w:rStyle w:val="95"/>
                <w:kern w:val="0"/>
                <w:szCs w:val="21"/>
              </w:rPr>
            </w:pPr>
            <w:r>
              <w:rPr>
                <w:rStyle w:val="95"/>
                <w:rFonts w:hint="eastAsia" w:ascii="宋体" w:hAnsi="宋体" w:cs="宋体"/>
                <w:kern w:val="0"/>
                <w:szCs w:val="21"/>
              </w:rPr>
              <w:t>①</w:t>
            </w:r>
            <w:r>
              <w:rPr>
                <w:rStyle w:val="95"/>
                <w:rFonts w:hint="eastAsia"/>
                <w:kern w:val="0"/>
                <w:szCs w:val="21"/>
              </w:rPr>
              <w:t>分部分项工程费合价；</w:t>
            </w:r>
          </w:p>
          <w:p w14:paraId="463B718F">
            <w:pPr>
              <w:ind w:firstLine="945" w:firstLineChars="450"/>
              <w:rPr>
                <w:rStyle w:val="95"/>
                <w:kern w:val="0"/>
                <w:szCs w:val="21"/>
              </w:rPr>
            </w:pPr>
            <w:r>
              <w:rPr>
                <w:rStyle w:val="95"/>
                <w:rFonts w:hint="eastAsia" w:ascii="宋体" w:hAnsi="宋体" w:cs="宋体"/>
                <w:kern w:val="0"/>
                <w:szCs w:val="21"/>
              </w:rPr>
              <w:t>②</w:t>
            </w:r>
            <w:r>
              <w:rPr>
                <w:rStyle w:val="95"/>
                <w:rFonts w:hint="eastAsia"/>
                <w:kern w:val="0"/>
                <w:szCs w:val="21"/>
              </w:rPr>
              <w:t>措施项目费合价；</w:t>
            </w:r>
          </w:p>
          <w:p w14:paraId="4A489A59">
            <w:pPr>
              <w:ind w:firstLine="945" w:firstLineChars="450"/>
              <w:rPr>
                <w:rStyle w:val="95"/>
                <w:kern w:val="0"/>
                <w:szCs w:val="21"/>
              </w:rPr>
            </w:pPr>
            <w:r>
              <w:rPr>
                <w:rStyle w:val="95"/>
                <w:rFonts w:hint="eastAsia" w:ascii="宋体" w:hAnsi="宋体" w:cs="宋体"/>
                <w:kern w:val="0"/>
                <w:szCs w:val="21"/>
              </w:rPr>
              <w:t>③</w:t>
            </w:r>
            <w:r>
              <w:rPr>
                <w:rStyle w:val="95"/>
                <w:rFonts w:hint="eastAsia"/>
                <w:kern w:val="0"/>
                <w:szCs w:val="21"/>
              </w:rPr>
              <w:t>其他项目费：其中：暂列金额；</w:t>
            </w:r>
          </w:p>
          <w:p w14:paraId="72985A72">
            <w:pPr>
              <w:ind w:firstLine="2415" w:firstLineChars="1150"/>
              <w:rPr>
                <w:rStyle w:val="95"/>
                <w:kern w:val="0"/>
                <w:szCs w:val="21"/>
              </w:rPr>
            </w:pPr>
            <w:r>
              <w:rPr>
                <w:rStyle w:val="95"/>
                <w:rFonts w:hint="eastAsia"/>
                <w:kern w:val="0"/>
                <w:szCs w:val="21"/>
              </w:rPr>
              <w:t>其中：专业工程暂估价；</w:t>
            </w:r>
          </w:p>
          <w:p w14:paraId="5C18EA42">
            <w:pPr>
              <w:ind w:firstLine="2415" w:firstLineChars="1150"/>
              <w:rPr>
                <w:rStyle w:val="95"/>
                <w:kern w:val="0"/>
                <w:szCs w:val="21"/>
              </w:rPr>
            </w:pPr>
            <w:r>
              <w:rPr>
                <w:rStyle w:val="95"/>
                <w:rFonts w:hint="eastAsia"/>
                <w:kern w:val="0"/>
                <w:szCs w:val="21"/>
              </w:rPr>
              <w:t>其中：计日工；</w:t>
            </w:r>
          </w:p>
          <w:p w14:paraId="2D55905B">
            <w:pPr>
              <w:ind w:firstLine="2415" w:firstLineChars="1150"/>
              <w:rPr>
                <w:rStyle w:val="95"/>
                <w:kern w:val="0"/>
                <w:szCs w:val="21"/>
              </w:rPr>
            </w:pPr>
            <w:r>
              <w:rPr>
                <w:rStyle w:val="95"/>
                <w:rFonts w:hint="eastAsia"/>
                <w:kern w:val="0"/>
                <w:szCs w:val="21"/>
              </w:rPr>
              <w:t>其中：总承包服务费；</w:t>
            </w:r>
          </w:p>
          <w:p w14:paraId="76160B3D">
            <w:pPr>
              <w:ind w:firstLine="945" w:firstLineChars="450"/>
              <w:rPr>
                <w:rStyle w:val="95"/>
                <w:kern w:val="0"/>
                <w:szCs w:val="21"/>
              </w:rPr>
            </w:pPr>
            <w:r>
              <w:rPr>
                <w:rStyle w:val="95"/>
                <w:rFonts w:hint="eastAsia" w:ascii="宋体" w:hAnsi="宋体" w:cs="宋体"/>
                <w:kern w:val="0"/>
                <w:szCs w:val="21"/>
              </w:rPr>
              <w:t>④</w:t>
            </w:r>
            <w:r>
              <w:rPr>
                <w:rStyle w:val="95"/>
                <w:rFonts w:hint="eastAsia"/>
                <w:kern w:val="0"/>
                <w:szCs w:val="21"/>
              </w:rPr>
              <w:t>税金；</w:t>
            </w:r>
          </w:p>
          <w:p w14:paraId="3B126201">
            <w:pPr>
              <w:rPr>
                <w:rStyle w:val="95"/>
                <w:kern w:val="0"/>
                <w:szCs w:val="21"/>
              </w:rPr>
            </w:pPr>
            <w:r>
              <w:rPr>
                <w:rStyle w:val="95"/>
                <w:rFonts w:hint="eastAsia"/>
                <w:kern w:val="0"/>
                <w:szCs w:val="21"/>
              </w:rPr>
              <w:t>招标控制价</w:t>
            </w:r>
            <w:r>
              <w:rPr>
                <w:rStyle w:val="95"/>
                <w:kern w:val="0"/>
                <w:szCs w:val="21"/>
              </w:rPr>
              <w:t>=</w:t>
            </w:r>
            <w:r>
              <w:rPr>
                <w:rStyle w:val="95"/>
                <w:rFonts w:hint="eastAsia"/>
                <w:kern w:val="0"/>
                <w:szCs w:val="21"/>
              </w:rPr>
              <w:t>（</w:t>
            </w:r>
            <w:r>
              <w:rPr>
                <w:rStyle w:val="95"/>
                <w:kern w:val="0"/>
                <w:szCs w:val="21"/>
              </w:rPr>
              <w:t>1</w:t>
            </w:r>
            <w:r>
              <w:rPr>
                <w:rStyle w:val="95"/>
                <w:rFonts w:hint="eastAsia"/>
                <w:kern w:val="0"/>
                <w:szCs w:val="21"/>
              </w:rPr>
              <w:t>）</w:t>
            </w:r>
            <w:r>
              <w:rPr>
                <w:rStyle w:val="95"/>
                <w:kern w:val="0"/>
                <w:szCs w:val="21"/>
              </w:rPr>
              <w:t>+</w:t>
            </w:r>
            <w:r>
              <w:rPr>
                <w:rStyle w:val="95"/>
                <w:rFonts w:hint="eastAsia"/>
                <w:kern w:val="0"/>
                <w:szCs w:val="21"/>
              </w:rPr>
              <w:t>（</w:t>
            </w:r>
            <w:r>
              <w:rPr>
                <w:rStyle w:val="95"/>
                <w:kern w:val="0"/>
                <w:szCs w:val="21"/>
              </w:rPr>
              <w:t>2</w:t>
            </w:r>
            <w:r>
              <w:rPr>
                <w:rStyle w:val="95"/>
                <w:rFonts w:hint="eastAsia"/>
                <w:kern w:val="0"/>
                <w:szCs w:val="21"/>
              </w:rPr>
              <w:t>）。</w:t>
            </w:r>
          </w:p>
          <w:p w14:paraId="1EC6E7D1">
            <w:pPr>
              <w:rPr>
                <w:rStyle w:val="95"/>
                <w:szCs w:val="21"/>
              </w:rPr>
            </w:pPr>
            <w:r>
              <w:rPr>
                <w:rStyle w:val="95"/>
                <w:rFonts w:hint="eastAsia"/>
                <w:kern w:val="0"/>
                <w:szCs w:val="21"/>
              </w:rPr>
              <w:t>施工最高投标限价总价</w:t>
            </w:r>
            <w:r>
              <w:rPr>
                <w:rStyle w:val="95"/>
                <w:kern w:val="0"/>
                <w:szCs w:val="21"/>
              </w:rPr>
              <w:t>=</w:t>
            </w:r>
            <w:r>
              <w:rPr>
                <w:rStyle w:val="95"/>
                <w:rFonts w:hint="eastAsia"/>
                <w:szCs w:val="21"/>
              </w:rPr>
              <w:t>①</w:t>
            </w:r>
            <w:r>
              <w:rPr>
                <w:rStyle w:val="95"/>
                <w:szCs w:val="21"/>
              </w:rPr>
              <w:t>+</w:t>
            </w:r>
            <w:r>
              <w:rPr>
                <w:rStyle w:val="95"/>
                <w:rFonts w:hint="eastAsia"/>
                <w:szCs w:val="21"/>
              </w:rPr>
              <w:t>②</w:t>
            </w:r>
            <w:r>
              <w:rPr>
                <w:rStyle w:val="95"/>
                <w:szCs w:val="21"/>
              </w:rPr>
              <w:t>+</w:t>
            </w:r>
            <w:r>
              <w:rPr>
                <w:rStyle w:val="95"/>
                <w:rFonts w:hint="eastAsia"/>
                <w:szCs w:val="21"/>
              </w:rPr>
              <w:t>③</w:t>
            </w:r>
            <w:r>
              <w:rPr>
                <w:rStyle w:val="95"/>
                <w:szCs w:val="21"/>
              </w:rPr>
              <w:t>+</w:t>
            </w:r>
            <w:r>
              <w:rPr>
                <w:rStyle w:val="95"/>
                <w:rFonts w:hint="eastAsia"/>
                <w:szCs w:val="21"/>
              </w:rPr>
              <w:t>④。</w:t>
            </w:r>
          </w:p>
          <w:p w14:paraId="4555EAF5">
            <w:pPr>
              <w:rPr>
                <w:rStyle w:val="95"/>
                <w:kern w:val="0"/>
                <w:szCs w:val="21"/>
              </w:rPr>
            </w:pPr>
            <w:r>
              <w:rPr>
                <w:rStyle w:val="95"/>
                <w:rFonts w:hint="eastAsia"/>
                <w:kern w:val="0"/>
                <w:szCs w:val="21"/>
              </w:rPr>
              <w:t>表</w:t>
            </w:r>
            <w:r>
              <w:rPr>
                <w:rStyle w:val="95"/>
                <w:kern w:val="0"/>
                <w:szCs w:val="21"/>
              </w:rPr>
              <w:t>-23</w:t>
            </w:r>
            <w:r>
              <w:rPr>
                <w:rStyle w:val="95"/>
                <w:rFonts w:hint="eastAsia"/>
                <w:kern w:val="0"/>
                <w:szCs w:val="21"/>
              </w:rPr>
              <w:t>招标控制价理论成本核算基础数据表（</w:t>
            </w:r>
            <w:r>
              <w:rPr>
                <w:rStyle w:val="95"/>
                <w:kern w:val="0"/>
                <w:szCs w:val="21"/>
              </w:rPr>
              <w:t>2</w:t>
            </w:r>
            <w:r>
              <w:rPr>
                <w:rStyle w:val="95"/>
                <w:rFonts w:hint="eastAsia"/>
                <w:kern w:val="0"/>
                <w:szCs w:val="21"/>
              </w:rPr>
              <w:t>组）</w:t>
            </w:r>
          </w:p>
          <w:p w14:paraId="3CFE3390">
            <w:pPr>
              <w:rPr>
                <w:rStyle w:val="95"/>
                <w:kern w:val="0"/>
                <w:szCs w:val="21"/>
              </w:rPr>
            </w:pPr>
            <w:r>
              <w:rPr>
                <w:rStyle w:val="95"/>
                <w:kern w:val="0"/>
                <w:szCs w:val="21"/>
              </w:rPr>
              <w:t>5.</w:t>
            </w:r>
            <w:r>
              <w:rPr>
                <w:rStyle w:val="95"/>
                <w:rFonts w:hint="eastAsia"/>
                <w:kern w:val="0"/>
                <w:szCs w:val="21"/>
              </w:rPr>
              <w:t>公布方式：上传电子交易平台。</w:t>
            </w:r>
          </w:p>
          <w:p w14:paraId="7C35EC93">
            <w:pPr>
              <w:rPr>
                <w:bCs/>
                <w:kern w:val="0"/>
                <w:szCs w:val="21"/>
              </w:rPr>
            </w:pPr>
            <w:r>
              <w:rPr>
                <w:rStyle w:val="95"/>
                <w:kern w:val="0"/>
                <w:szCs w:val="21"/>
              </w:rPr>
              <w:t>6.</w:t>
            </w:r>
            <w:r>
              <w:rPr>
                <w:rStyle w:val="95"/>
                <w:rFonts w:hint="eastAsia"/>
                <w:kern w:val="0"/>
                <w:szCs w:val="21"/>
              </w:rPr>
              <w:t>其他要求见第二卷第四章</w:t>
            </w:r>
            <w:r>
              <w:rPr>
                <w:rStyle w:val="95"/>
                <w:kern w:val="0"/>
                <w:szCs w:val="21"/>
              </w:rPr>
              <w:t>“</w:t>
            </w:r>
            <w:r>
              <w:rPr>
                <w:rStyle w:val="95"/>
                <w:rFonts w:hint="eastAsia"/>
                <w:kern w:val="0"/>
                <w:szCs w:val="21"/>
              </w:rPr>
              <w:t>招标控制价（最高投标限价）</w:t>
            </w:r>
            <w:r>
              <w:rPr>
                <w:rStyle w:val="95"/>
                <w:kern w:val="0"/>
                <w:szCs w:val="21"/>
              </w:rPr>
              <w:t>”</w:t>
            </w:r>
            <w:r>
              <w:rPr>
                <w:rStyle w:val="95"/>
                <w:rFonts w:hint="eastAsia"/>
                <w:kern w:val="0"/>
                <w:szCs w:val="21"/>
              </w:rPr>
              <w:t>。</w:t>
            </w:r>
          </w:p>
        </w:tc>
      </w:tr>
      <w:tr w14:paraId="6E53AB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3A639D51">
            <w:pPr>
              <w:jc w:val="center"/>
              <w:rPr>
                <w:rStyle w:val="95"/>
                <w:szCs w:val="21"/>
              </w:rPr>
            </w:pPr>
            <w:r>
              <w:rPr>
                <w:rStyle w:val="95"/>
                <w:szCs w:val="21"/>
              </w:rPr>
              <w:t>11.2.3</w:t>
            </w:r>
          </w:p>
        </w:tc>
        <w:tc>
          <w:tcPr>
            <w:tcW w:w="1889" w:type="dxa"/>
            <w:vAlign w:val="center"/>
          </w:tcPr>
          <w:p w14:paraId="659D23CD">
            <w:pPr>
              <w:jc w:val="center"/>
              <w:rPr>
                <w:rStyle w:val="95"/>
                <w:szCs w:val="21"/>
              </w:rPr>
            </w:pPr>
            <w:r>
              <w:rPr>
                <w:rStyle w:val="95"/>
                <w:rFonts w:hint="eastAsia"/>
                <w:szCs w:val="21"/>
              </w:rPr>
              <w:t>已标价</w:t>
            </w:r>
          </w:p>
          <w:p w14:paraId="2A9151BF">
            <w:pPr>
              <w:jc w:val="center"/>
              <w:rPr>
                <w:rStyle w:val="95"/>
                <w:szCs w:val="21"/>
              </w:rPr>
            </w:pPr>
            <w:r>
              <w:rPr>
                <w:rStyle w:val="95"/>
                <w:rFonts w:hint="eastAsia"/>
                <w:szCs w:val="21"/>
              </w:rPr>
              <w:t>工程量清单</w:t>
            </w:r>
          </w:p>
        </w:tc>
        <w:tc>
          <w:tcPr>
            <w:tcW w:w="5727" w:type="dxa"/>
            <w:vAlign w:val="center"/>
          </w:tcPr>
          <w:p w14:paraId="05ABEEAA">
            <w:pPr>
              <w:jc w:val="left"/>
              <w:rPr>
                <w:rStyle w:val="95"/>
                <w:szCs w:val="21"/>
              </w:rPr>
            </w:pPr>
            <w:r>
              <w:rPr>
                <w:rStyle w:val="95"/>
                <w:rFonts w:hint="eastAsia"/>
                <w:szCs w:val="21"/>
              </w:rPr>
              <w:t>构成合同文件组成部分的投标文件中已标明价格，经算术性错误修正（如有）且承包人已确认的工程量清单，包括其说明和表格。</w:t>
            </w:r>
          </w:p>
        </w:tc>
      </w:tr>
      <w:tr w14:paraId="49F374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477FE26D">
            <w:pPr>
              <w:jc w:val="center"/>
              <w:rPr>
                <w:rStyle w:val="95"/>
                <w:szCs w:val="21"/>
              </w:rPr>
            </w:pPr>
            <w:r>
              <w:rPr>
                <w:rStyle w:val="95"/>
                <w:szCs w:val="21"/>
              </w:rPr>
              <w:t>11.2.4</w:t>
            </w:r>
          </w:p>
        </w:tc>
        <w:tc>
          <w:tcPr>
            <w:tcW w:w="1889" w:type="dxa"/>
            <w:vAlign w:val="center"/>
          </w:tcPr>
          <w:p w14:paraId="6D14EB53">
            <w:pPr>
              <w:jc w:val="center"/>
              <w:rPr>
                <w:rStyle w:val="95"/>
                <w:szCs w:val="21"/>
              </w:rPr>
            </w:pPr>
            <w:r>
              <w:rPr>
                <w:rStyle w:val="95"/>
                <w:rFonts w:hint="eastAsia"/>
                <w:szCs w:val="21"/>
              </w:rPr>
              <w:t>综合单价</w:t>
            </w:r>
          </w:p>
        </w:tc>
        <w:tc>
          <w:tcPr>
            <w:tcW w:w="5727" w:type="dxa"/>
            <w:vAlign w:val="center"/>
          </w:tcPr>
          <w:p w14:paraId="3AAE0EA0">
            <w:pPr>
              <w:jc w:val="left"/>
              <w:rPr>
                <w:rStyle w:val="95"/>
                <w:szCs w:val="21"/>
              </w:rPr>
            </w:pPr>
            <w:r>
              <w:rPr>
                <w:rStyle w:val="95"/>
                <w:rFonts w:hint="eastAsia"/>
                <w:szCs w:val="21"/>
              </w:rPr>
              <w:t>全费用综合单价，包含人工费、机械费、材料费、措施费、利润、税金及完成该项内容所发生的直接费及各种间接费。</w:t>
            </w:r>
          </w:p>
        </w:tc>
      </w:tr>
      <w:tr w14:paraId="23602D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2EE89786">
            <w:pPr>
              <w:jc w:val="center"/>
              <w:rPr>
                <w:rStyle w:val="95"/>
                <w:szCs w:val="21"/>
              </w:rPr>
            </w:pPr>
            <w:r>
              <w:rPr>
                <w:rStyle w:val="95"/>
                <w:szCs w:val="21"/>
              </w:rPr>
              <w:t>11.2.5</w:t>
            </w:r>
          </w:p>
        </w:tc>
        <w:tc>
          <w:tcPr>
            <w:tcW w:w="1889" w:type="dxa"/>
            <w:vAlign w:val="center"/>
          </w:tcPr>
          <w:p w14:paraId="6C1ED38E">
            <w:pPr>
              <w:jc w:val="center"/>
              <w:rPr>
                <w:rStyle w:val="95"/>
                <w:szCs w:val="21"/>
              </w:rPr>
            </w:pPr>
            <w:r>
              <w:rPr>
                <w:rStyle w:val="95"/>
                <w:rFonts w:hint="eastAsia"/>
                <w:szCs w:val="21"/>
              </w:rPr>
              <w:t>风险费用</w:t>
            </w:r>
          </w:p>
        </w:tc>
        <w:tc>
          <w:tcPr>
            <w:tcW w:w="5727" w:type="dxa"/>
            <w:vAlign w:val="center"/>
          </w:tcPr>
          <w:p w14:paraId="4CCBA3FC">
            <w:pPr>
              <w:jc w:val="left"/>
              <w:rPr>
                <w:rStyle w:val="95"/>
                <w:spacing w:val="-10"/>
                <w:szCs w:val="21"/>
              </w:rPr>
            </w:pPr>
            <w:r>
              <w:rPr>
                <w:rStyle w:val="95"/>
                <w:rFonts w:hint="eastAsia"/>
                <w:szCs w:val="21"/>
              </w:rPr>
              <w:t>隐含于已标价工程量清单综合单价中，用于化解发承包双方在合同中约定内容和范围内的市场价格波动风险的费用。</w:t>
            </w:r>
          </w:p>
        </w:tc>
      </w:tr>
      <w:tr w14:paraId="079494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5166A4FB">
            <w:pPr>
              <w:jc w:val="center"/>
              <w:rPr>
                <w:rStyle w:val="95"/>
                <w:szCs w:val="21"/>
              </w:rPr>
            </w:pPr>
            <w:r>
              <w:rPr>
                <w:rStyle w:val="95"/>
                <w:szCs w:val="21"/>
              </w:rPr>
              <w:t>11.2.6</w:t>
            </w:r>
          </w:p>
        </w:tc>
        <w:tc>
          <w:tcPr>
            <w:tcW w:w="1889" w:type="dxa"/>
            <w:vAlign w:val="center"/>
          </w:tcPr>
          <w:p w14:paraId="2B29716D">
            <w:pPr>
              <w:jc w:val="center"/>
              <w:rPr>
                <w:rStyle w:val="95"/>
                <w:szCs w:val="21"/>
              </w:rPr>
            </w:pPr>
            <w:r>
              <w:rPr>
                <w:rStyle w:val="95"/>
                <w:rFonts w:hint="eastAsia"/>
                <w:szCs w:val="21"/>
              </w:rPr>
              <w:t>工程成本</w:t>
            </w:r>
          </w:p>
        </w:tc>
        <w:tc>
          <w:tcPr>
            <w:tcW w:w="5727" w:type="dxa"/>
            <w:vAlign w:val="center"/>
          </w:tcPr>
          <w:p w14:paraId="0E3BAE15">
            <w:pPr>
              <w:rPr>
                <w:rStyle w:val="95"/>
                <w:szCs w:val="21"/>
              </w:rPr>
            </w:pPr>
            <w:r>
              <w:rPr>
                <w:rStyle w:val="95"/>
                <w:rFonts w:hint="eastAsia"/>
                <w:szCs w:val="21"/>
              </w:rPr>
              <w:t>承包人为实施合同工程并达到质量标准，在确保安全施工的前提下，必须消耗或使用的人工、材料、工程设备、施工机械台班及其管理等方面发生的费用和按规定缴纳的税金。</w:t>
            </w:r>
          </w:p>
        </w:tc>
      </w:tr>
      <w:tr w14:paraId="567DB4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7A395FC3">
            <w:pPr>
              <w:jc w:val="center"/>
              <w:rPr>
                <w:rStyle w:val="95"/>
                <w:szCs w:val="21"/>
              </w:rPr>
            </w:pPr>
            <w:r>
              <w:rPr>
                <w:rStyle w:val="95"/>
                <w:szCs w:val="21"/>
              </w:rPr>
              <w:t>11.2.7</w:t>
            </w:r>
          </w:p>
        </w:tc>
        <w:tc>
          <w:tcPr>
            <w:tcW w:w="1889" w:type="dxa"/>
            <w:vAlign w:val="center"/>
          </w:tcPr>
          <w:p w14:paraId="2579F06C">
            <w:pPr>
              <w:jc w:val="center"/>
              <w:rPr>
                <w:rStyle w:val="95"/>
                <w:szCs w:val="21"/>
              </w:rPr>
            </w:pPr>
            <w:r>
              <w:rPr>
                <w:rStyle w:val="95"/>
                <w:rFonts w:hint="eastAsia"/>
                <w:szCs w:val="21"/>
              </w:rPr>
              <w:t>材料和设备</w:t>
            </w:r>
          </w:p>
        </w:tc>
        <w:tc>
          <w:tcPr>
            <w:tcW w:w="5727" w:type="dxa"/>
            <w:vAlign w:val="center"/>
          </w:tcPr>
          <w:p w14:paraId="419677C0">
            <w:pPr>
              <w:jc w:val="left"/>
              <w:rPr>
                <w:rStyle w:val="95"/>
                <w:spacing w:val="-12"/>
                <w:szCs w:val="21"/>
              </w:rPr>
            </w:pPr>
            <w:r>
              <w:rPr>
                <w:rStyle w:val="95"/>
                <w:rFonts w:hint="eastAsia"/>
                <w:spacing w:val="-12"/>
                <w:szCs w:val="21"/>
              </w:rPr>
              <w:t>执行《建设工程计价设备材料划分标准》（</w:t>
            </w:r>
            <w:r>
              <w:rPr>
                <w:rStyle w:val="95"/>
                <w:spacing w:val="-12"/>
                <w:szCs w:val="21"/>
              </w:rPr>
              <w:t>GB/T50531-2009</w:t>
            </w:r>
            <w:r>
              <w:rPr>
                <w:rStyle w:val="95"/>
                <w:rFonts w:hint="eastAsia"/>
                <w:spacing w:val="-12"/>
                <w:szCs w:val="21"/>
              </w:rPr>
              <w:t>）</w:t>
            </w:r>
          </w:p>
        </w:tc>
      </w:tr>
      <w:tr w14:paraId="3BB7A6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78270DE8">
            <w:pPr>
              <w:jc w:val="center"/>
              <w:rPr>
                <w:rStyle w:val="95"/>
                <w:szCs w:val="21"/>
              </w:rPr>
            </w:pPr>
            <w:r>
              <w:rPr>
                <w:rStyle w:val="95"/>
                <w:szCs w:val="21"/>
              </w:rPr>
              <w:t>11.2.8</w:t>
            </w:r>
          </w:p>
        </w:tc>
        <w:tc>
          <w:tcPr>
            <w:tcW w:w="1889" w:type="dxa"/>
            <w:vAlign w:val="center"/>
          </w:tcPr>
          <w:p w14:paraId="0589282F">
            <w:pPr>
              <w:jc w:val="center"/>
              <w:rPr>
                <w:rStyle w:val="95"/>
                <w:szCs w:val="21"/>
              </w:rPr>
            </w:pPr>
            <w:r>
              <w:rPr>
                <w:rStyle w:val="95"/>
                <w:rFonts w:hint="eastAsia"/>
                <w:szCs w:val="21"/>
              </w:rPr>
              <w:t>甲供材料</w:t>
            </w:r>
          </w:p>
        </w:tc>
        <w:tc>
          <w:tcPr>
            <w:tcW w:w="5727" w:type="dxa"/>
            <w:vAlign w:val="center"/>
          </w:tcPr>
          <w:p w14:paraId="012BDF57">
            <w:pPr>
              <w:rPr>
                <w:szCs w:val="21"/>
              </w:rPr>
            </w:pPr>
            <w:r>
              <w:rPr>
                <w:rFonts w:hint="eastAsia" w:ascii="宋体" w:hAnsi="宋体"/>
                <w:szCs w:val="21"/>
              </w:rPr>
              <w:t>□</w:t>
            </w:r>
            <w:r>
              <w:rPr>
                <w:rFonts w:hint="eastAsia"/>
                <w:szCs w:val="21"/>
              </w:rPr>
              <w:t>发生甲供材料、工程设备</w:t>
            </w:r>
          </w:p>
          <w:p w14:paraId="319ECC4A">
            <w:pPr>
              <w:rPr>
                <w:szCs w:val="21"/>
              </w:rPr>
            </w:pPr>
            <w:r>
              <w:rPr>
                <w:rFonts w:hint="eastAsia" w:ascii="MS Gothic" w:hAnsi="MS Gothic" w:cs="MS Gothic"/>
              </w:rPr>
              <w:t>□</w:t>
            </w:r>
            <w:r>
              <w:rPr>
                <w:rFonts w:hint="eastAsia"/>
                <w:szCs w:val="21"/>
              </w:rPr>
              <w:t>不发生甲供材料、工程设备</w:t>
            </w:r>
          </w:p>
          <w:p w14:paraId="22796872">
            <w:pPr>
              <w:rPr>
                <w:szCs w:val="21"/>
              </w:rPr>
            </w:pPr>
            <w:r>
              <w:rPr>
                <w:rFonts w:hint="eastAsia" w:ascii="宋体" w:hAnsi="宋体"/>
                <w:szCs w:val="21"/>
              </w:rPr>
              <w:t>□</w:t>
            </w:r>
            <w:r>
              <w:rPr>
                <w:rFonts w:hint="eastAsia"/>
                <w:szCs w:val="21"/>
              </w:rPr>
              <w:t>甲供材料、工程设备依法招标</w:t>
            </w:r>
          </w:p>
          <w:p w14:paraId="3E1E1FE7">
            <w:pPr>
              <w:rPr>
                <w:szCs w:val="21"/>
              </w:rPr>
            </w:pPr>
            <w:r>
              <w:rPr>
                <w:rFonts w:hint="eastAsia" w:ascii="宋体" w:hAnsi="宋体"/>
                <w:szCs w:val="21"/>
              </w:rPr>
              <w:t>□</w:t>
            </w:r>
            <w:r>
              <w:rPr>
                <w:rFonts w:hint="eastAsia"/>
                <w:szCs w:val="21"/>
              </w:rPr>
              <w:t>甲供材料、工程设备不采用招标方式</w:t>
            </w:r>
          </w:p>
          <w:p w14:paraId="74C0D788">
            <w:pPr>
              <w:rPr>
                <w:szCs w:val="21"/>
              </w:rPr>
            </w:pPr>
            <w:r>
              <w:rPr>
                <w:rFonts w:hint="eastAsia" w:ascii="宋体" w:hAnsi="宋体"/>
                <w:szCs w:val="21"/>
              </w:rPr>
              <w:t>□</w:t>
            </w:r>
            <w:r>
              <w:rPr>
                <w:rFonts w:hint="eastAsia"/>
                <w:szCs w:val="21"/>
              </w:rPr>
              <w:t>甲供工程选择简易计税方法计税</w:t>
            </w:r>
          </w:p>
          <w:p w14:paraId="044405AB">
            <w:pPr>
              <w:rPr>
                <w:szCs w:val="21"/>
              </w:rPr>
            </w:pPr>
            <w:r>
              <w:rPr>
                <w:rFonts w:hint="eastAsia" w:ascii="宋体" w:hAnsi="宋体"/>
                <w:szCs w:val="21"/>
              </w:rPr>
              <w:t>□</w:t>
            </w:r>
            <w:r>
              <w:rPr>
                <w:rFonts w:hint="eastAsia"/>
                <w:szCs w:val="21"/>
              </w:rPr>
              <w:t>甲供工程不选择简易计税方法计税</w:t>
            </w:r>
          </w:p>
          <w:p w14:paraId="1DF462B1">
            <w:pPr>
              <w:rPr>
                <w:szCs w:val="21"/>
              </w:rPr>
            </w:pPr>
            <w:r>
              <w:rPr>
                <w:szCs w:val="21"/>
              </w:rPr>
              <w:t>1.</w:t>
            </w:r>
            <w:r>
              <w:rPr>
                <w:rFonts w:hint="eastAsia"/>
                <w:szCs w:val="21"/>
              </w:rPr>
              <w:t>甲供工程：是指全部或部分设备、材料、动力由工程发包方自行采购的建筑工程。</w:t>
            </w:r>
          </w:p>
          <w:p w14:paraId="7B4ECB52">
            <w:pPr>
              <w:rPr>
                <w:szCs w:val="21"/>
              </w:rPr>
            </w:pPr>
            <w:r>
              <w:rPr>
                <w:szCs w:val="21"/>
              </w:rPr>
              <w:t>2.</w:t>
            </w:r>
            <w:r>
              <w:rPr>
                <w:rFonts w:hint="eastAsia"/>
                <w:szCs w:val="21"/>
              </w:rPr>
              <w:t>发生甲供时，发包人填写《发包人提供材料和工程设备一览表》（表</w:t>
            </w:r>
            <w:r>
              <w:rPr>
                <w:szCs w:val="21"/>
              </w:rPr>
              <w:t>-20</w:t>
            </w:r>
            <w:r>
              <w:rPr>
                <w:rFonts w:hint="eastAsia"/>
                <w:szCs w:val="21"/>
              </w:rPr>
              <w:t>）。</w:t>
            </w:r>
          </w:p>
          <w:p w14:paraId="220CA388">
            <w:pPr>
              <w:rPr>
                <w:szCs w:val="21"/>
              </w:rPr>
            </w:pPr>
            <w:r>
              <w:rPr>
                <w:szCs w:val="21"/>
              </w:rPr>
              <w:t>3.</w:t>
            </w:r>
            <w:r>
              <w:rPr>
                <w:rFonts w:hint="eastAsia"/>
                <w:szCs w:val="21"/>
              </w:rPr>
              <w:t>承包人投标时，甲供材料单价应计入相应项目的综合单价中，签约后，发包人应按合同约定扣除甲供材料款，不予支付。</w:t>
            </w:r>
          </w:p>
          <w:p w14:paraId="77E99782">
            <w:pPr>
              <w:rPr>
                <w:szCs w:val="21"/>
              </w:rPr>
            </w:pPr>
            <w:r>
              <w:rPr>
                <w:szCs w:val="21"/>
              </w:rPr>
              <w:t>4.</w:t>
            </w:r>
            <w:r>
              <w:rPr>
                <w:rFonts w:hint="eastAsia"/>
                <w:szCs w:val="21"/>
              </w:rPr>
              <w:t>其他要求见第二卷第三章</w:t>
            </w:r>
            <w:r>
              <w:rPr>
                <w:szCs w:val="21"/>
              </w:rPr>
              <w:t>“</w:t>
            </w:r>
            <w:r>
              <w:rPr>
                <w:rFonts w:hint="eastAsia"/>
                <w:szCs w:val="21"/>
              </w:rPr>
              <w:t>招标工程量清单</w:t>
            </w:r>
            <w:r>
              <w:rPr>
                <w:szCs w:val="21"/>
              </w:rPr>
              <w:t>”</w:t>
            </w:r>
            <w:r>
              <w:rPr>
                <w:rFonts w:hint="eastAsia"/>
                <w:szCs w:val="21"/>
              </w:rPr>
              <w:t>。</w:t>
            </w:r>
          </w:p>
          <w:p w14:paraId="0CF33D44">
            <w:pPr>
              <w:rPr>
                <w:rStyle w:val="95"/>
                <w:kern w:val="0"/>
                <w:szCs w:val="21"/>
              </w:rPr>
            </w:pPr>
            <w:r>
              <w:rPr>
                <w:szCs w:val="21"/>
              </w:rPr>
              <w:t>5.</w:t>
            </w:r>
            <w:r>
              <w:rPr>
                <w:rFonts w:hint="eastAsia"/>
                <w:szCs w:val="21"/>
              </w:rPr>
              <w:t>甲供材料的采购及保管费，由招标人和中标人在合同专用条款中根据相关规定具体约定。</w:t>
            </w:r>
          </w:p>
        </w:tc>
      </w:tr>
      <w:tr w14:paraId="33E669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09321A60">
            <w:pPr>
              <w:jc w:val="center"/>
              <w:rPr>
                <w:rStyle w:val="95"/>
                <w:szCs w:val="21"/>
              </w:rPr>
            </w:pPr>
            <w:r>
              <w:rPr>
                <w:rStyle w:val="95"/>
                <w:szCs w:val="21"/>
              </w:rPr>
              <w:t>11.2.9</w:t>
            </w:r>
          </w:p>
        </w:tc>
        <w:tc>
          <w:tcPr>
            <w:tcW w:w="1889" w:type="dxa"/>
            <w:vAlign w:val="center"/>
          </w:tcPr>
          <w:p w14:paraId="4491B92F">
            <w:pPr>
              <w:jc w:val="center"/>
              <w:rPr>
                <w:rStyle w:val="95"/>
                <w:szCs w:val="21"/>
              </w:rPr>
            </w:pPr>
            <w:r>
              <w:rPr>
                <w:rStyle w:val="95"/>
                <w:rFonts w:hint="eastAsia"/>
                <w:szCs w:val="21"/>
              </w:rPr>
              <w:t>暂列金额</w:t>
            </w:r>
          </w:p>
        </w:tc>
        <w:tc>
          <w:tcPr>
            <w:tcW w:w="5727" w:type="dxa"/>
            <w:vAlign w:val="center"/>
          </w:tcPr>
          <w:p w14:paraId="795600A0">
            <w:pPr>
              <w:rPr>
                <w:rStyle w:val="95"/>
                <w:kern w:val="0"/>
                <w:szCs w:val="21"/>
              </w:rPr>
            </w:pPr>
            <w:r>
              <w:rPr>
                <w:rStyle w:val="95"/>
                <w:rFonts w:hint="eastAsia"/>
                <w:szCs w:val="21"/>
              </w:rPr>
              <w:t>招标人在招标工程量清单中暂定并包括在合同价款中的一笔款项。用于工程合同签订时尚未确定或者不可预见的所需材料、工程设备、服务的采购，施工中可能发生的工程变更、合同约定调整因素出现时的合同价款调整以及发生的索赔、现场签证确认等的费用。</w:t>
            </w:r>
          </w:p>
        </w:tc>
      </w:tr>
      <w:tr w14:paraId="33CF99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1F7E4FCD">
            <w:pPr>
              <w:jc w:val="center"/>
              <w:rPr>
                <w:rStyle w:val="95"/>
                <w:szCs w:val="21"/>
              </w:rPr>
            </w:pPr>
            <w:r>
              <w:rPr>
                <w:rStyle w:val="95"/>
                <w:szCs w:val="21"/>
              </w:rPr>
              <w:t>11.2.10</w:t>
            </w:r>
          </w:p>
        </w:tc>
        <w:tc>
          <w:tcPr>
            <w:tcW w:w="1889" w:type="dxa"/>
            <w:vAlign w:val="center"/>
          </w:tcPr>
          <w:p w14:paraId="143FCC67">
            <w:pPr>
              <w:jc w:val="center"/>
              <w:rPr>
                <w:rStyle w:val="95"/>
                <w:szCs w:val="21"/>
              </w:rPr>
            </w:pPr>
            <w:r>
              <w:rPr>
                <w:rStyle w:val="95"/>
                <w:rFonts w:hint="eastAsia"/>
                <w:szCs w:val="21"/>
              </w:rPr>
              <w:t>暂估价</w:t>
            </w:r>
          </w:p>
        </w:tc>
        <w:tc>
          <w:tcPr>
            <w:tcW w:w="5727" w:type="dxa"/>
            <w:vAlign w:val="center"/>
          </w:tcPr>
          <w:p w14:paraId="485B502D">
            <w:pPr>
              <w:rPr>
                <w:rStyle w:val="95"/>
                <w:szCs w:val="21"/>
              </w:rPr>
            </w:pPr>
            <w:r>
              <w:rPr>
                <w:rStyle w:val="95"/>
                <w:szCs w:val="21"/>
              </w:rPr>
              <w:t>1.</w:t>
            </w:r>
            <w:r>
              <w:rPr>
                <w:rStyle w:val="95"/>
                <w:rFonts w:hint="eastAsia"/>
                <w:szCs w:val="21"/>
              </w:rPr>
              <w:t>招标人在招标工程量清单中提供的用于支付必然发生但暂时不能确定价格的材料、工程设备的单价以及专业工程的金额。</w:t>
            </w:r>
          </w:p>
          <w:p w14:paraId="32F9D507">
            <w:pPr>
              <w:rPr>
                <w:rStyle w:val="95"/>
                <w:szCs w:val="21"/>
              </w:rPr>
            </w:pPr>
            <w:r>
              <w:rPr>
                <w:rStyle w:val="95"/>
                <w:szCs w:val="21"/>
              </w:rPr>
              <w:t>2.</w:t>
            </w:r>
            <w:r>
              <w:rPr>
                <w:rStyle w:val="95"/>
                <w:rFonts w:hint="eastAsia"/>
                <w:szCs w:val="21"/>
              </w:rPr>
              <w:t>暂估价中的材料、工程设备单价应按招标工程量清单列出的单价计入综合单价。</w:t>
            </w:r>
          </w:p>
          <w:p w14:paraId="7B80A067">
            <w:pPr>
              <w:rPr>
                <w:rStyle w:val="95"/>
                <w:szCs w:val="21"/>
              </w:rPr>
            </w:pPr>
            <w:r>
              <w:rPr>
                <w:rStyle w:val="95"/>
                <w:szCs w:val="21"/>
              </w:rPr>
              <w:t>3.</w:t>
            </w:r>
            <w:r>
              <w:rPr>
                <w:rStyle w:val="95"/>
                <w:rFonts w:hint="eastAsia"/>
                <w:szCs w:val="21"/>
              </w:rPr>
              <w:t>暂估价中的专业工程金额应按招标工程量清单中列出的金额填写，专业工程是指</w:t>
            </w:r>
            <w:r>
              <w:rPr>
                <w:rStyle w:val="95"/>
                <w:szCs w:val="21"/>
              </w:rPr>
              <w:t>2018</w:t>
            </w:r>
            <w:r>
              <w:rPr>
                <w:rStyle w:val="95"/>
                <w:rFonts w:hint="eastAsia"/>
                <w:szCs w:val="21"/>
              </w:rPr>
              <w:t>《山西省建设工程费用定额》中包括的十五类专业。</w:t>
            </w:r>
          </w:p>
          <w:p w14:paraId="3DC646D3">
            <w:pPr>
              <w:rPr>
                <w:rStyle w:val="95"/>
                <w:kern w:val="0"/>
                <w:szCs w:val="21"/>
              </w:rPr>
            </w:pPr>
            <w:r>
              <w:rPr>
                <w:rStyle w:val="95"/>
                <w:szCs w:val="21"/>
              </w:rPr>
              <w:t>4.</w:t>
            </w:r>
            <w:r>
              <w:rPr>
                <w:rStyle w:val="95"/>
                <w:rFonts w:hint="eastAsia"/>
                <w:szCs w:val="21"/>
              </w:rPr>
              <w:t>招标人在招标工程量清单中给定暂估价的材料、工程设备和专业工程，按照现行《工程量清单计价规范》</w:t>
            </w:r>
            <w:r>
              <w:rPr>
                <w:rStyle w:val="95"/>
                <w:szCs w:val="21"/>
              </w:rPr>
              <w:t>9.9</w:t>
            </w:r>
            <w:r>
              <w:rPr>
                <w:rStyle w:val="95"/>
                <w:rFonts w:hint="eastAsia"/>
                <w:szCs w:val="21"/>
              </w:rPr>
              <w:t>规定执行。其中属于依法必须招标的专业工程，必须接受有管辖权的建设工程招标投标管理机构监督。</w:t>
            </w:r>
          </w:p>
        </w:tc>
      </w:tr>
      <w:tr w14:paraId="0A0DD4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5B44598F">
            <w:pPr>
              <w:jc w:val="center"/>
              <w:rPr>
                <w:rStyle w:val="95"/>
                <w:szCs w:val="21"/>
              </w:rPr>
            </w:pPr>
            <w:r>
              <w:rPr>
                <w:rStyle w:val="95"/>
                <w:szCs w:val="21"/>
              </w:rPr>
              <w:t>11.2.11</w:t>
            </w:r>
          </w:p>
        </w:tc>
        <w:tc>
          <w:tcPr>
            <w:tcW w:w="1889" w:type="dxa"/>
            <w:vAlign w:val="center"/>
          </w:tcPr>
          <w:p w14:paraId="651D338F">
            <w:pPr>
              <w:jc w:val="center"/>
              <w:rPr>
                <w:rStyle w:val="95"/>
                <w:szCs w:val="21"/>
              </w:rPr>
            </w:pPr>
            <w:r>
              <w:rPr>
                <w:rStyle w:val="95"/>
                <w:rFonts w:hint="eastAsia"/>
                <w:szCs w:val="21"/>
              </w:rPr>
              <w:t>三项费用</w:t>
            </w:r>
          </w:p>
        </w:tc>
        <w:tc>
          <w:tcPr>
            <w:tcW w:w="5727" w:type="dxa"/>
            <w:vAlign w:val="center"/>
          </w:tcPr>
          <w:p w14:paraId="2373CA95">
            <w:pPr>
              <w:rPr>
                <w:szCs w:val="21"/>
              </w:rPr>
            </w:pPr>
            <w:r>
              <w:rPr>
                <w:szCs w:val="21"/>
              </w:rPr>
              <w:t>1.</w:t>
            </w:r>
            <w:r>
              <w:rPr>
                <w:rFonts w:hint="eastAsia"/>
                <w:szCs w:val="21"/>
              </w:rPr>
              <w:t>即安全文明施工费、临时设施费、环境保护费。</w:t>
            </w:r>
          </w:p>
          <w:p w14:paraId="4C9C6B2C">
            <w:pPr>
              <w:rPr>
                <w:szCs w:val="21"/>
              </w:rPr>
            </w:pPr>
            <w:r>
              <w:rPr>
                <w:szCs w:val="21"/>
              </w:rPr>
              <w:t>2.</w:t>
            </w:r>
            <w:r>
              <w:rPr>
                <w:rFonts w:hint="eastAsia"/>
                <w:szCs w:val="21"/>
              </w:rPr>
              <w:t>“三项费用”为不可竞争性费用。编制招标控制价应按照绿色文明工地一级标准费计算。</w:t>
            </w:r>
          </w:p>
          <w:p w14:paraId="449256E9">
            <w:pPr>
              <w:rPr>
                <w:szCs w:val="21"/>
              </w:rPr>
            </w:pPr>
            <w:r>
              <w:rPr>
                <w:szCs w:val="21"/>
              </w:rPr>
              <w:t>3.</w:t>
            </w:r>
            <w:r>
              <w:rPr>
                <w:rFonts w:hint="eastAsia"/>
                <w:szCs w:val="21"/>
              </w:rPr>
              <w:t>投标报价时，建筑工程施工总承包特级、一级资质的企业执行一级标准；其他资质的施工企业按照“企业自愿、业主同意”的原则可选择一级或二级标准。</w:t>
            </w:r>
          </w:p>
          <w:p w14:paraId="2C27A5AC">
            <w:pPr>
              <w:rPr>
                <w:szCs w:val="21"/>
              </w:rPr>
            </w:pPr>
            <w:r>
              <w:rPr>
                <w:szCs w:val="21"/>
              </w:rPr>
              <w:t>4.</w:t>
            </w:r>
            <w:r>
              <w:rPr>
                <w:rFonts w:hint="eastAsia"/>
                <w:szCs w:val="21"/>
              </w:rPr>
              <w:t>签订总承包合同时，发包方和承包方要具体明确“三项费用”的执行标准和金额，并在开工前发包方一次性全额拨付给承包方，确保专款专用。</w:t>
            </w:r>
          </w:p>
          <w:p w14:paraId="3BD164D8">
            <w:pPr>
              <w:rPr>
                <w:szCs w:val="21"/>
              </w:rPr>
            </w:pPr>
            <w:r>
              <w:rPr>
                <w:szCs w:val="21"/>
              </w:rPr>
              <w:t>5.</w:t>
            </w:r>
            <w:r>
              <w:rPr>
                <w:rFonts w:hint="eastAsia"/>
                <w:szCs w:val="21"/>
              </w:rPr>
              <w:t>监理单位要将绿色文明工地标准等级内容纳入监理规划和监理细则。</w:t>
            </w:r>
          </w:p>
          <w:p w14:paraId="5FAD8CDE">
            <w:pPr>
              <w:rPr>
                <w:rStyle w:val="95"/>
                <w:szCs w:val="21"/>
              </w:rPr>
            </w:pPr>
            <w:r>
              <w:rPr>
                <w:rFonts w:hint="eastAsia"/>
                <w:szCs w:val="21"/>
              </w:rPr>
              <w:t>详见省住建厅晋建标字</w:t>
            </w:r>
            <w:r>
              <w:rPr>
                <w:szCs w:val="21"/>
              </w:rPr>
              <w:t>[2018]295</w:t>
            </w:r>
            <w:r>
              <w:rPr>
                <w:rFonts w:hint="eastAsia"/>
                <w:szCs w:val="21"/>
              </w:rPr>
              <w:t>号和晋建标字</w:t>
            </w:r>
            <w:r>
              <w:rPr>
                <w:szCs w:val="21"/>
              </w:rPr>
              <w:t>[2020]2</w:t>
            </w:r>
            <w:r>
              <w:rPr>
                <w:rFonts w:hint="eastAsia"/>
                <w:szCs w:val="21"/>
              </w:rPr>
              <w:t>号</w:t>
            </w:r>
          </w:p>
        </w:tc>
      </w:tr>
      <w:tr w14:paraId="187D01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86" w:hRule="atLeast"/>
        </w:trPr>
        <w:tc>
          <w:tcPr>
            <w:tcW w:w="992" w:type="dxa"/>
            <w:gridSpan w:val="2"/>
            <w:vAlign w:val="center"/>
          </w:tcPr>
          <w:p w14:paraId="3A2184CE">
            <w:pPr>
              <w:jc w:val="center"/>
              <w:rPr>
                <w:rStyle w:val="95"/>
                <w:szCs w:val="21"/>
              </w:rPr>
            </w:pPr>
            <w:r>
              <w:rPr>
                <w:rStyle w:val="95"/>
                <w:szCs w:val="21"/>
              </w:rPr>
              <w:t>11.2.12</w:t>
            </w:r>
          </w:p>
        </w:tc>
        <w:tc>
          <w:tcPr>
            <w:tcW w:w="1889" w:type="dxa"/>
            <w:vAlign w:val="center"/>
          </w:tcPr>
          <w:p w14:paraId="30C03C92">
            <w:pPr>
              <w:jc w:val="center"/>
              <w:rPr>
                <w:rStyle w:val="95"/>
                <w:szCs w:val="21"/>
              </w:rPr>
            </w:pPr>
            <w:r>
              <w:rPr>
                <w:rFonts w:hint="eastAsia"/>
              </w:rPr>
              <w:t>计日工</w:t>
            </w:r>
          </w:p>
        </w:tc>
        <w:tc>
          <w:tcPr>
            <w:tcW w:w="5727" w:type="dxa"/>
            <w:vAlign w:val="center"/>
          </w:tcPr>
          <w:p w14:paraId="61644359">
            <w:pPr>
              <w:pStyle w:val="19"/>
              <w:rPr>
                <w:szCs w:val="21"/>
              </w:rPr>
            </w:pPr>
            <w:r>
              <w:rPr>
                <w:szCs w:val="21"/>
              </w:rPr>
              <w:t>1.</w:t>
            </w:r>
            <w:r>
              <w:rPr>
                <w:rFonts w:hint="eastAsia"/>
                <w:szCs w:val="21"/>
              </w:rPr>
              <w:t>在施工过程中，承包人完成发包人提出的工程合同范围以外的零星项目或工作，按合同中约定的单价计价的一种方式。</w:t>
            </w:r>
          </w:p>
          <w:p w14:paraId="23341F43">
            <w:pPr>
              <w:pStyle w:val="19"/>
            </w:pPr>
            <w:r>
              <w:rPr>
                <w:szCs w:val="21"/>
              </w:rPr>
              <w:t>2.</w:t>
            </w:r>
            <w:r>
              <w:rPr>
                <w:rFonts w:hint="eastAsia"/>
                <w:szCs w:val="21"/>
              </w:rPr>
              <w:t>编制招标控制价时，可根据拟建工程的具体情况，按单位工程费的</w:t>
            </w:r>
            <w:r>
              <w:rPr>
                <w:szCs w:val="21"/>
              </w:rPr>
              <w:t>2%</w:t>
            </w:r>
            <w:r>
              <w:rPr>
                <w:rFonts w:hint="eastAsia"/>
                <w:szCs w:val="21"/>
              </w:rPr>
              <w:t>以内估算，应详细列出人工、材料、机械的名称、计算单位和详细数量。</w:t>
            </w:r>
          </w:p>
        </w:tc>
      </w:tr>
      <w:tr w14:paraId="7B4024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0A566D53">
            <w:pPr>
              <w:jc w:val="center"/>
              <w:rPr>
                <w:rStyle w:val="95"/>
                <w:szCs w:val="21"/>
              </w:rPr>
            </w:pPr>
            <w:r>
              <w:rPr>
                <w:rStyle w:val="95"/>
                <w:szCs w:val="21"/>
              </w:rPr>
              <w:t>11.2.13</w:t>
            </w:r>
          </w:p>
        </w:tc>
        <w:tc>
          <w:tcPr>
            <w:tcW w:w="1889" w:type="dxa"/>
            <w:vAlign w:val="center"/>
          </w:tcPr>
          <w:p w14:paraId="2E378563">
            <w:pPr>
              <w:jc w:val="center"/>
              <w:rPr>
                <w:rStyle w:val="95"/>
                <w:szCs w:val="21"/>
              </w:rPr>
            </w:pPr>
            <w:r>
              <w:rPr>
                <w:rFonts w:hint="eastAsia"/>
              </w:rPr>
              <w:t>总承包服务费</w:t>
            </w:r>
          </w:p>
        </w:tc>
        <w:tc>
          <w:tcPr>
            <w:tcW w:w="5727" w:type="dxa"/>
            <w:vAlign w:val="center"/>
          </w:tcPr>
          <w:p w14:paraId="3A0532E5">
            <w:pPr>
              <w:pStyle w:val="19"/>
            </w:pPr>
            <w:r>
              <w:rPr>
                <w:rFonts w:hint="eastAsia"/>
              </w:rPr>
              <w:t>总承包人为配合协调发包人进行的专业工程发包，对发包人自行采购的材料、工程设备等进行保管以及施工现场管理、竣工资料汇总整理等服务所需的费用。内容包括：</w:t>
            </w:r>
          </w:p>
          <w:p w14:paraId="62419B66">
            <w:pPr>
              <w:pStyle w:val="19"/>
              <w:widowControl w:val="0"/>
              <w:numPr>
                <w:ilvl w:val="0"/>
                <w:numId w:val="10"/>
              </w:numPr>
              <w:spacing w:after="0" w:line="0" w:lineRule="atLeast"/>
              <w:textAlignment w:val="auto"/>
            </w:pPr>
            <w:r>
              <w:rPr>
                <w:rFonts w:hint="eastAsia"/>
              </w:rPr>
              <w:t>对依法分包的专业工程进行协调服务所需费用；</w:t>
            </w:r>
          </w:p>
          <w:p w14:paraId="367EA37B">
            <w:pPr>
              <w:pStyle w:val="19"/>
              <w:widowControl w:val="0"/>
              <w:numPr>
                <w:ilvl w:val="0"/>
                <w:numId w:val="10"/>
              </w:numPr>
              <w:spacing w:after="0" w:line="0" w:lineRule="atLeast"/>
              <w:textAlignment w:val="auto"/>
            </w:pPr>
            <w:r>
              <w:rPr>
                <w:rFonts w:hint="eastAsia"/>
              </w:rPr>
              <w:t>配合发包人自行采购供应部分材料发生的材料保管等相关</w:t>
            </w:r>
          </w:p>
          <w:p w14:paraId="0A77AF7E">
            <w:pPr>
              <w:pStyle w:val="19"/>
              <w:widowControl w:val="0"/>
              <w:spacing w:after="0" w:line="0" w:lineRule="atLeast"/>
              <w:textAlignment w:val="auto"/>
            </w:pPr>
            <w:r>
              <w:rPr>
                <w:rFonts w:hint="eastAsia"/>
              </w:rPr>
              <w:t>服务费用；</w:t>
            </w:r>
          </w:p>
          <w:p w14:paraId="71F00C06">
            <w:pPr>
              <w:pStyle w:val="19"/>
              <w:widowControl w:val="0"/>
              <w:numPr>
                <w:ilvl w:val="0"/>
                <w:numId w:val="10"/>
              </w:numPr>
              <w:spacing w:after="0" w:line="0" w:lineRule="atLeast"/>
              <w:textAlignment w:val="auto"/>
            </w:pPr>
            <w:r>
              <w:rPr>
                <w:rFonts w:hint="eastAsia"/>
              </w:rPr>
              <w:t>对施工现场进行协调和统一管理、对竣工资料进行统一汇</w:t>
            </w:r>
          </w:p>
          <w:p w14:paraId="23BD6A71">
            <w:pPr>
              <w:pStyle w:val="19"/>
              <w:widowControl w:val="0"/>
              <w:spacing w:after="0" w:line="0" w:lineRule="atLeast"/>
              <w:textAlignment w:val="auto"/>
            </w:pPr>
            <w:r>
              <w:rPr>
                <w:rFonts w:hint="eastAsia"/>
              </w:rPr>
              <w:t>总整理等所需费用；</w:t>
            </w:r>
          </w:p>
          <w:p w14:paraId="3BFB8A44">
            <w:pPr>
              <w:pStyle w:val="19"/>
              <w:widowControl w:val="0"/>
              <w:numPr>
                <w:ilvl w:val="0"/>
                <w:numId w:val="10"/>
              </w:numPr>
              <w:spacing w:after="0" w:line="0" w:lineRule="atLeast"/>
              <w:textAlignment w:val="auto"/>
            </w:pPr>
            <w:r>
              <w:rPr>
                <w:rFonts w:hint="eastAsia"/>
              </w:rPr>
              <w:t>招标人仅要求对分包的专业工程进行管理和协调时，总承</w:t>
            </w:r>
          </w:p>
          <w:p w14:paraId="3EBC8C9D">
            <w:pPr>
              <w:pStyle w:val="19"/>
              <w:widowControl w:val="0"/>
              <w:spacing w:after="0" w:line="0" w:lineRule="atLeast"/>
              <w:textAlignment w:val="auto"/>
            </w:pPr>
            <w:r>
              <w:rPr>
                <w:rFonts w:hint="eastAsia"/>
              </w:rPr>
              <w:t>包单位可按分包工程造价的</w:t>
            </w:r>
            <w:r>
              <w:rPr>
                <w:rFonts w:hint="eastAsia" w:ascii="宋体" w:hAnsi="宋体"/>
                <w:szCs w:val="21"/>
                <w:u w:val="single"/>
              </w:rPr>
              <w:t xml:space="preserve">   </w:t>
            </w:r>
            <w:r>
              <w:rPr>
                <w:rFonts w:hint="eastAsia" w:ascii="宋体" w:hAnsi="宋体"/>
                <w:szCs w:val="21"/>
              </w:rPr>
              <w:t>（1%-3%）向建设单位计取总承包服务费。</w:t>
            </w:r>
          </w:p>
          <w:p w14:paraId="2BE35E43">
            <w:pPr>
              <w:pStyle w:val="19"/>
            </w:pPr>
            <w:r>
              <w:rPr>
                <w:rFonts w:hint="eastAsia" w:ascii="宋体" w:hAnsi="宋体"/>
                <w:szCs w:val="21"/>
              </w:rPr>
              <w:t>5、</w:t>
            </w:r>
            <w:r>
              <w:rPr>
                <w:rFonts w:hint="eastAsia"/>
              </w:rPr>
              <w:t>招标人要求对专业工程进行管理和协调，同时提供配合服务时，总承包单位可按分包工程造价的</w:t>
            </w:r>
            <w:r>
              <w:rPr>
                <w:rFonts w:hint="eastAsia" w:ascii="宋体" w:hAnsi="宋体"/>
                <w:szCs w:val="21"/>
                <w:u w:val="single"/>
              </w:rPr>
              <w:t xml:space="preserve">   </w:t>
            </w:r>
            <w:r>
              <w:rPr>
                <w:rFonts w:hint="eastAsia" w:ascii="宋体" w:hAnsi="宋体"/>
                <w:szCs w:val="21"/>
              </w:rPr>
              <w:t>（2%-5%）向建设单位计取总承包服务费。</w:t>
            </w:r>
          </w:p>
        </w:tc>
      </w:tr>
      <w:tr w14:paraId="56DF4C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8608" w:type="dxa"/>
            <w:gridSpan w:val="4"/>
            <w:vAlign w:val="center"/>
          </w:tcPr>
          <w:p w14:paraId="0F79C632">
            <w:pPr>
              <w:rPr>
                <w:szCs w:val="21"/>
              </w:rPr>
            </w:pPr>
            <w:r>
              <w:rPr>
                <w:szCs w:val="21"/>
              </w:rPr>
              <w:t xml:space="preserve"> 11.3</w:t>
            </w:r>
            <w:r>
              <w:rPr>
                <w:rFonts w:hint="eastAsia"/>
                <w:szCs w:val="21"/>
              </w:rPr>
              <w:t>危险性较大的分部分项工程</w:t>
            </w:r>
          </w:p>
        </w:tc>
      </w:tr>
      <w:tr w14:paraId="15E6B2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5B7EA765">
            <w:pPr>
              <w:jc w:val="center"/>
              <w:rPr>
                <w:rStyle w:val="95"/>
                <w:szCs w:val="21"/>
              </w:rPr>
            </w:pPr>
          </w:p>
        </w:tc>
        <w:tc>
          <w:tcPr>
            <w:tcW w:w="7616" w:type="dxa"/>
            <w:gridSpan w:val="2"/>
            <w:vAlign w:val="center"/>
          </w:tcPr>
          <w:p w14:paraId="26FD5399">
            <w:pPr>
              <w:rPr>
                <w:szCs w:val="21"/>
              </w:rPr>
            </w:pPr>
            <w:r>
              <w:rPr>
                <w:rFonts w:hint="eastAsia"/>
                <w:szCs w:val="21"/>
              </w:rPr>
              <w:t>是指房屋建筑和市政基础设施工程在施工程过程中，容易导致人员群死群伤或者造成重大经济损失的分部分项工程。</w:t>
            </w:r>
          </w:p>
          <w:p w14:paraId="18A3B63C">
            <w:pPr>
              <w:rPr>
                <w:szCs w:val="21"/>
              </w:rPr>
            </w:pPr>
            <w:r>
              <w:rPr>
                <w:rFonts w:hint="eastAsia"/>
                <w:szCs w:val="21"/>
              </w:rPr>
              <w:t>在编制项目实施要点时，针对危大工程应当单独编制专项施工方案。</w:t>
            </w:r>
          </w:p>
        </w:tc>
      </w:tr>
      <w:tr w14:paraId="4BEFAF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8608" w:type="dxa"/>
            <w:gridSpan w:val="4"/>
            <w:vAlign w:val="center"/>
          </w:tcPr>
          <w:p w14:paraId="386741F4">
            <w:pPr>
              <w:ind w:left="102"/>
              <w:jc w:val="left"/>
              <w:rPr>
                <w:rStyle w:val="95"/>
                <w:kern w:val="0"/>
                <w:szCs w:val="21"/>
              </w:rPr>
            </w:pPr>
            <w:r>
              <w:rPr>
                <w:rStyle w:val="95"/>
                <w:szCs w:val="21"/>
              </w:rPr>
              <w:t>11.4</w:t>
            </w:r>
            <w:r>
              <w:rPr>
                <w:rStyle w:val="95"/>
                <w:rFonts w:hint="eastAsia"/>
                <w:szCs w:val="21"/>
              </w:rPr>
              <w:t>同义词语</w:t>
            </w:r>
          </w:p>
        </w:tc>
      </w:tr>
      <w:tr w14:paraId="1C27C2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795A16AF">
            <w:pPr>
              <w:jc w:val="center"/>
              <w:rPr>
                <w:rStyle w:val="95"/>
                <w:kern w:val="0"/>
                <w:szCs w:val="21"/>
              </w:rPr>
            </w:pPr>
          </w:p>
        </w:tc>
        <w:tc>
          <w:tcPr>
            <w:tcW w:w="7616" w:type="dxa"/>
            <w:gridSpan w:val="2"/>
            <w:vAlign w:val="center"/>
          </w:tcPr>
          <w:p w14:paraId="05288B03">
            <w:pPr>
              <w:rPr>
                <w:rStyle w:val="95"/>
                <w:kern w:val="0"/>
                <w:szCs w:val="21"/>
              </w:rPr>
            </w:pPr>
            <w:r>
              <w:rPr>
                <w:rStyle w:val="95"/>
                <w:rFonts w:hint="eastAsia"/>
                <w:szCs w:val="21"/>
              </w:rPr>
              <w:t>构成本招标文件各个组成部分的</w:t>
            </w:r>
            <w:r>
              <w:rPr>
                <w:rStyle w:val="95"/>
                <w:szCs w:val="21"/>
              </w:rPr>
              <w:t>“</w:t>
            </w:r>
            <w:r>
              <w:rPr>
                <w:rStyle w:val="95"/>
                <w:rFonts w:hint="eastAsia"/>
                <w:szCs w:val="21"/>
              </w:rPr>
              <w:t>通用条款</w:t>
            </w:r>
            <w:r>
              <w:rPr>
                <w:rStyle w:val="95"/>
                <w:szCs w:val="21"/>
              </w:rPr>
              <w:t>”</w:t>
            </w:r>
            <w:r>
              <w:rPr>
                <w:rStyle w:val="95"/>
                <w:rFonts w:hint="eastAsia"/>
                <w:szCs w:val="21"/>
              </w:rPr>
              <w:t>、</w:t>
            </w:r>
            <w:r>
              <w:rPr>
                <w:rStyle w:val="95"/>
                <w:szCs w:val="21"/>
              </w:rPr>
              <w:t>“</w:t>
            </w:r>
            <w:r>
              <w:rPr>
                <w:rStyle w:val="95"/>
                <w:rFonts w:hint="eastAsia"/>
                <w:szCs w:val="21"/>
              </w:rPr>
              <w:t>专用条款</w:t>
            </w:r>
            <w:r>
              <w:rPr>
                <w:rStyle w:val="95"/>
                <w:szCs w:val="21"/>
              </w:rPr>
              <w:t>”</w:t>
            </w:r>
            <w:r>
              <w:rPr>
                <w:rStyle w:val="95"/>
                <w:rFonts w:hint="eastAsia"/>
                <w:szCs w:val="21"/>
              </w:rPr>
              <w:t>、</w:t>
            </w:r>
            <w:r>
              <w:rPr>
                <w:rStyle w:val="95"/>
                <w:szCs w:val="21"/>
              </w:rPr>
              <w:t>“</w:t>
            </w:r>
            <w:r>
              <w:rPr>
                <w:rStyle w:val="95"/>
                <w:rFonts w:hint="eastAsia"/>
                <w:szCs w:val="21"/>
              </w:rPr>
              <w:t>发包人要求</w:t>
            </w:r>
            <w:r>
              <w:rPr>
                <w:rStyle w:val="95"/>
                <w:szCs w:val="21"/>
              </w:rPr>
              <w:t>”</w:t>
            </w:r>
            <w:r>
              <w:rPr>
                <w:rStyle w:val="95"/>
                <w:rFonts w:hint="eastAsia"/>
                <w:szCs w:val="21"/>
              </w:rPr>
              <w:t>和</w:t>
            </w:r>
            <w:r>
              <w:rPr>
                <w:rStyle w:val="95"/>
                <w:szCs w:val="21"/>
              </w:rPr>
              <w:t>“</w:t>
            </w:r>
            <w:r>
              <w:rPr>
                <w:rStyle w:val="95"/>
                <w:rFonts w:hint="eastAsia"/>
                <w:szCs w:val="21"/>
              </w:rPr>
              <w:t>招标工程量清单</w:t>
            </w:r>
            <w:r>
              <w:rPr>
                <w:rStyle w:val="95"/>
                <w:szCs w:val="21"/>
              </w:rPr>
              <w:t>”</w:t>
            </w:r>
            <w:r>
              <w:rPr>
                <w:rStyle w:val="95"/>
                <w:rFonts w:hint="eastAsia"/>
                <w:szCs w:val="21"/>
              </w:rPr>
              <w:t>等章节中出现的措辞</w:t>
            </w:r>
            <w:r>
              <w:rPr>
                <w:rStyle w:val="95"/>
                <w:szCs w:val="21"/>
              </w:rPr>
              <w:t>“</w:t>
            </w:r>
            <w:r>
              <w:rPr>
                <w:rStyle w:val="95"/>
                <w:rFonts w:hint="eastAsia"/>
                <w:szCs w:val="21"/>
              </w:rPr>
              <w:t>发包人</w:t>
            </w:r>
            <w:r>
              <w:rPr>
                <w:rStyle w:val="95"/>
                <w:szCs w:val="21"/>
              </w:rPr>
              <w:t>”</w:t>
            </w:r>
            <w:r>
              <w:rPr>
                <w:rStyle w:val="95"/>
                <w:rFonts w:hint="eastAsia"/>
                <w:szCs w:val="21"/>
              </w:rPr>
              <w:t>和</w:t>
            </w:r>
            <w:r>
              <w:rPr>
                <w:rStyle w:val="95"/>
                <w:szCs w:val="21"/>
              </w:rPr>
              <w:t>“</w:t>
            </w:r>
            <w:r>
              <w:rPr>
                <w:rStyle w:val="95"/>
                <w:rFonts w:hint="eastAsia"/>
                <w:szCs w:val="21"/>
              </w:rPr>
              <w:t>承包人</w:t>
            </w:r>
            <w:r>
              <w:rPr>
                <w:rStyle w:val="95"/>
                <w:szCs w:val="21"/>
              </w:rPr>
              <w:t>”</w:t>
            </w:r>
            <w:r>
              <w:rPr>
                <w:rStyle w:val="95"/>
                <w:rFonts w:hint="eastAsia"/>
                <w:szCs w:val="21"/>
              </w:rPr>
              <w:t>，在招标投标阶段应当分别按</w:t>
            </w:r>
            <w:r>
              <w:rPr>
                <w:rStyle w:val="95"/>
                <w:szCs w:val="21"/>
              </w:rPr>
              <w:t>“</w:t>
            </w:r>
            <w:r>
              <w:rPr>
                <w:rStyle w:val="95"/>
                <w:rFonts w:hint="eastAsia"/>
                <w:szCs w:val="21"/>
              </w:rPr>
              <w:t>招标人</w:t>
            </w:r>
            <w:r>
              <w:rPr>
                <w:rStyle w:val="95"/>
                <w:szCs w:val="21"/>
              </w:rPr>
              <w:t>”</w:t>
            </w:r>
            <w:r>
              <w:rPr>
                <w:rStyle w:val="95"/>
                <w:rFonts w:hint="eastAsia"/>
                <w:szCs w:val="21"/>
              </w:rPr>
              <w:t>和</w:t>
            </w:r>
            <w:r>
              <w:rPr>
                <w:rStyle w:val="95"/>
                <w:szCs w:val="21"/>
              </w:rPr>
              <w:t>“</w:t>
            </w:r>
            <w:r>
              <w:rPr>
                <w:rStyle w:val="95"/>
                <w:rFonts w:hint="eastAsia"/>
                <w:szCs w:val="21"/>
              </w:rPr>
              <w:t>投标人</w:t>
            </w:r>
            <w:r>
              <w:rPr>
                <w:rStyle w:val="95"/>
                <w:szCs w:val="21"/>
              </w:rPr>
              <w:t>”</w:t>
            </w:r>
            <w:r>
              <w:rPr>
                <w:rStyle w:val="95"/>
                <w:rFonts w:hint="eastAsia"/>
                <w:szCs w:val="21"/>
              </w:rPr>
              <w:t>进行理解。</w:t>
            </w:r>
          </w:p>
        </w:tc>
      </w:tr>
      <w:tr w14:paraId="62F8CA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8608" w:type="dxa"/>
            <w:gridSpan w:val="4"/>
            <w:vAlign w:val="center"/>
          </w:tcPr>
          <w:p w14:paraId="5A60C214">
            <w:pPr>
              <w:ind w:left="102"/>
              <w:rPr>
                <w:rStyle w:val="95"/>
                <w:szCs w:val="21"/>
              </w:rPr>
            </w:pPr>
            <w:r>
              <w:rPr>
                <w:rStyle w:val="95"/>
                <w:szCs w:val="21"/>
              </w:rPr>
              <w:t>11.5</w:t>
            </w:r>
            <w:r>
              <w:rPr>
                <w:rStyle w:val="95"/>
                <w:rFonts w:hint="eastAsia"/>
                <w:szCs w:val="21"/>
              </w:rPr>
              <w:t>投标人代表出席开标会</w:t>
            </w:r>
          </w:p>
        </w:tc>
      </w:tr>
      <w:tr w14:paraId="1D7591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7CF49182">
            <w:pPr>
              <w:jc w:val="center"/>
              <w:rPr>
                <w:rStyle w:val="95"/>
                <w:kern w:val="0"/>
                <w:szCs w:val="21"/>
              </w:rPr>
            </w:pPr>
          </w:p>
        </w:tc>
        <w:tc>
          <w:tcPr>
            <w:tcW w:w="7616" w:type="dxa"/>
            <w:gridSpan w:val="2"/>
            <w:vAlign w:val="center"/>
          </w:tcPr>
          <w:p w14:paraId="75792C8E">
            <w:pPr>
              <w:jc w:val="both"/>
              <w:rPr>
                <w:rFonts w:hint="eastAsia" w:ascii="宋体" w:hAnsi="宋体"/>
                <w:b/>
                <w:bCs/>
                <w:color w:val="FF0000"/>
                <w:sz w:val="21"/>
                <w:szCs w:val="24"/>
                <w:highlight w:val="none"/>
              </w:rPr>
            </w:pPr>
            <w:r>
              <w:rPr>
                <w:rFonts w:hint="eastAsia" w:ascii="宋体" w:hAnsi="宋体"/>
                <w:b/>
                <w:bCs/>
                <w:color w:val="FF0000"/>
                <w:sz w:val="21"/>
                <w:szCs w:val="24"/>
                <w:highlight w:val="none"/>
                <w:lang w:val="en-US" w:eastAsia="zh-CN"/>
              </w:rPr>
              <w:t>1、</w:t>
            </w:r>
            <w:r>
              <w:rPr>
                <w:rFonts w:hint="eastAsia" w:ascii="宋体" w:hAnsi="宋体"/>
                <w:b/>
                <w:bCs/>
                <w:color w:val="FF0000"/>
                <w:sz w:val="21"/>
                <w:szCs w:val="24"/>
                <w:highlight w:val="none"/>
              </w:rPr>
              <w:t>投标人的受托人、项目负责人或法定代表人可不到场。投标人实行远程解密投标文件，具体操作详见大同市公共资源交易中心服务平台“下载专区”中《远程开标投标人客户端环境部署操作手册》和“远程开标驱动（GBES客户端控件安装包）”。</w:t>
            </w:r>
          </w:p>
          <w:p w14:paraId="57212298">
            <w:pPr>
              <w:jc w:val="both"/>
              <w:rPr>
                <w:rFonts w:hint="eastAsia" w:ascii="宋体" w:hAnsi="宋体" w:eastAsia="宋体" w:cs="Times New Roman"/>
                <w:b/>
                <w:bCs/>
                <w:color w:val="FF0000"/>
                <w:kern w:val="2"/>
                <w:sz w:val="21"/>
                <w:szCs w:val="24"/>
                <w:highlight w:val="none"/>
                <w:lang w:val="en-US" w:eastAsia="zh-CN" w:bidi="ar-SA"/>
              </w:rPr>
            </w:pPr>
            <w:r>
              <w:rPr>
                <w:rFonts w:hint="eastAsia" w:ascii="宋体" w:hAnsi="宋体"/>
                <w:b/>
                <w:bCs/>
                <w:color w:val="FF0000"/>
                <w:sz w:val="21"/>
                <w:szCs w:val="24"/>
                <w:highlight w:val="none"/>
                <w:lang w:val="en-US" w:eastAsia="zh-CN"/>
              </w:rPr>
              <w:t>2、</w:t>
            </w:r>
            <w:r>
              <w:rPr>
                <w:rFonts w:hint="eastAsia" w:ascii="宋体" w:hAnsi="宋体"/>
                <w:b/>
                <w:bCs/>
                <w:color w:val="FF0000"/>
                <w:sz w:val="21"/>
                <w:szCs w:val="24"/>
                <w:highlight w:val="none"/>
              </w:rPr>
              <w:t>本次开标</w:t>
            </w:r>
            <w:r>
              <w:rPr>
                <w:rFonts w:hint="eastAsia" w:ascii="宋体" w:hAnsi="宋体"/>
                <w:b/>
                <w:bCs/>
                <w:color w:val="FF0000"/>
                <w:sz w:val="21"/>
                <w:szCs w:val="24"/>
                <w:highlight w:val="none"/>
                <w:lang w:eastAsia="zh-CN"/>
              </w:rPr>
              <w:t>工作</w:t>
            </w:r>
            <w:r>
              <w:rPr>
                <w:rFonts w:hint="eastAsia" w:ascii="宋体" w:hAnsi="宋体"/>
                <w:b/>
                <w:bCs/>
                <w:color w:val="FF0000"/>
                <w:sz w:val="21"/>
                <w:szCs w:val="24"/>
                <w:highlight w:val="none"/>
              </w:rPr>
              <w:t>采用“腾讯会议”软件进行</w:t>
            </w:r>
            <w:r>
              <w:rPr>
                <w:rFonts w:hint="eastAsia" w:ascii="宋体" w:hAnsi="宋体"/>
                <w:b/>
                <w:bCs/>
                <w:color w:val="FF0000"/>
                <w:sz w:val="21"/>
                <w:szCs w:val="24"/>
                <w:highlight w:val="none"/>
                <w:lang w:eastAsia="zh-CN"/>
              </w:rPr>
              <w:t>，</w:t>
            </w:r>
            <w:r>
              <w:rPr>
                <w:rFonts w:hint="eastAsia" w:ascii="宋体" w:hAnsi="宋体" w:eastAsia="宋体" w:cs="Times New Roman"/>
                <w:b/>
                <w:bCs/>
                <w:color w:val="FF0000"/>
                <w:kern w:val="2"/>
                <w:sz w:val="21"/>
                <w:szCs w:val="24"/>
                <w:highlight w:val="none"/>
                <w:lang w:val="en-US" w:eastAsia="zh-CN" w:bidi="ar-SA"/>
              </w:rPr>
              <w:t>视频开标会议室将在开标时间开放，请各投标人的授权代表提前登陆“腾讯会议”软件，事先做好自身参会设施设备的调试，确保开标时必须在线，确保会议过程中收讯畅通、良好互动、网络稳定，将会议窗口名称修改为投标人名称，一个投标人原则上仅允许一个窗口接入会议。</w:t>
            </w:r>
          </w:p>
          <w:p w14:paraId="67779FE8">
            <w:pPr>
              <w:ind w:firstLine="422" w:firstLineChars="200"/>
              <w:rPr>
                <w:rStyle w:val="95"/>
                <w:szCs w:val="21"/>
              </w:rPr>
            </w:pPr>
            <w:r>
              <w:rPr>
                <w:rFonts w:hint="eastAsia" w:ascii="宋体" w:hAnsi="宋体" w:eastAsia="宋体" w:cs="Times New Roman"/>
                <w:b/>
                <w:bCs/>
                <w:color w:val="FF0000"/>
                <w:kern w:val="2"/>
                <w:sz w:val="21"/>
                <w:szCs w:val="24"/>
                <w:highlight w:val="none"/>
                <w:lang w:val="en-US" w:eastAsia="zh-CN" w:bidi="ar-SA"/>
              </w:rPr>
              <w:t>开标会议房间号：      ；会议密码：    。</w:t>
            </w:r>
          </w:p>
        </w:tc>
      </w:tr>
      <w:tr w14:paraId="4EBE80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8608" w:type="dxa"/>
            <w:gridSpan w:val="4"/>
            <w:vAlign w:val="center"/>
          </w:tcPr>
          <w:p w14:paraId="5BC7500B">
            <w:pPr>
              <w:ind w:left="102"/>
              <w:jc w:val="left"/>
              <w:rPr>
                <w:rStyle w:val="95"/>
                <w:szCs w:val="21"/>
              </w:rPr>
            </w:pPr>
            <w:r>
              <w:rPr>
                <w:rStyle w:val="95"/>
                <w:szCs w:val="21"/>
              </w:rPr>
              <w:t>11.6</w:t>
            </w:r>
            <w:r>
              <w:rPr>
                <w:rStyle w:val="95"/>
                <w:rFonts w:hint="eastAsia"/>
                <w:szCs w:val="21"/>
              </w:rPr>
              <w:t>解释权</w:t>
            </w:r>
          </w:p>
        </w:tc>
      </w:tr>
      <w:tr w14:paraId="7CEA1A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6E0637A1">
            <w:pPr>
              <w:jc w:val="center"/>
              <w:rPr>
                <w:rStyle w:val="95"/>
                <w:szCs w:val="21"/>
              </w:rPr>
            </w:pPr>
          </w:p>
        </w:tc>
        <w:tc>
          <w:tcPr>
            <w:tcW w:w="7616" w:type="dxa"/>
            <w:gridSpan w:val="2"/>
          </w:tcPr>
          <w:p w14:paraId="492BF357">
            <w:pPr>
              <w:rPr>
                <w:rStyle w:val="95"/>
                <w:szCs w:val="21"/>
              </w:rPr>
            </w:pPr>
            <w:r>
              <w:rPr>
                <w:rStyle w:val="95"/>
                <w:rFonts w:hint="eastAsia"/>
                <w:szCs w:val="21"/>
              </w:rPr>
              <w:t>构成本招标文件的各个组成文件应互为解释，互为说明；如有不明确或不一致，构成合同文件组成内容的，以合同文件约定内容为准，且以专用条款约定的合同文件优先顺序解释；除招标文件中有特别规定外，仅适用于招标投标阶段的规定，按招标公告、投标人须知、评标办法和标准、投标文件格式的先后顺序解释；同一组成文件中就同一事项的规定或约定不一致的，以编排顺序在后者为准；同一组成文件以电子交易平台发布内容为准。按本款前述规定仍不能形成结论的，由招标人和编制招标文件的代理机构负责解释。</w:t>
            </w:r>
            <w:r>
              <w:rPr>
                <w:rStyle w:val="95"/>
                <w:szCs w:val="21"/>
              </w:rPr>
              <w:t xml:space="preserve"> </w:t>
            </w:r>
          </w:p>
        </w:tc>
      </w:tr>
      <w:tr w14:paraId="320E9F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8608" w:type="dxa"/>
            <w:gridSpan w:val="4"/>
            <w:vAlign w:val="center"/>
          </w:tcPr>
          <w:p w14:paraId="3ED8D8DA">
            <w:pPr>
              <w:ind w:firstLine="105" w:firstLineChars="50"/>
              <w:rPr>
                <w:rStyle w:val="95"/>
                <w:szCs w:val="21"/>
              </w:rPr>
            </w:pPr>
            <w:r>
              <w:rPr>
                <w:rStyle w:val="95"/>
                <w:bCs/>
                <w:szCs w:val="21"/>
              </w:rPr>
              <w:t>11.7</w:t>
            </w:r>
            <w:r>
              <w:rPr>
                <w:rStyle w:val="95"/>
                <w:rFonts w:hint="eastAsia"/>
                <w:bCs/>
                <w:szCs w:val="21"/>
              </w:rPr>
              <w:t>查询（供评标委员会成员在评标过程中查询投标人资信等信息）</w:t>
            </w:r>
          </w:p>
        </w:tc>
      </w:tr>
      <w:tr w14:paraId="3D66D7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tcPr>
          <w:p w14:paraId="68FBF039">
            <w:pPr>
              <w:ind w:left="1050" w:leftChars="500"/>
              <w:rPr>
                <w:rStyle w:val="95"/>
                <w:szCs w:val="21"/>
              </w:rPr>
            </w:pPr>
          </w:p>
        </w:tc>
        <w:tc>
          <w:tcPr>
            <w:tcW w:w="7616" w:type="dxa"/>
            <w:gridSpan w:val="2"/>
            <w:vAlign w:val="center"/>
          </w:tcPr>
          <w:p w14:paraId="15D2E49E">
            <w:pPr>
              <w:pStyle w:val="19"/>
              <w:rPr>
                <w:rFonts w:ascii="宋体"/>
                <w:szCs w:val="21"/>
              </w:rPr>
            </w:pPr>
            <w:r>
              <w:rPr>
                <w:rFonts w:hint="eastAsia" w:ascii="宋体" w:hAnsi="宋体"/>
                <w:szCs w:val="21"/>
              </w:rPr>
              <w:t>中国裁判文书网（</w:t>
            </w:r>
            <w:r>
              <w:rPr>
                <w:rFonts w:ascii="宋体" w:hAnsi="宋体"/>
                <w:szCs w:val="21"/>
              </w:rPr>
              <w:t>http://www.court.gov.cn/wenshu.html</w:t>
            </w:r>
            <w:r>
              <w:rPr>
                <w:rFonts w:hint="eastAsia" w:ascii="宋体" w:hAnsi="宋体"/>
                <w:szCs w:val="21"/>
              </w:rPr>
              <w:t>）</w:t>
            </w:r>
          </w:p>
          <w:p w14:paraId="01938513">
            <w:pPr>
              <w:pStyle w:val="19"/>
              <w:rPr>
                <w:rFonts w:ascii="宋体"/>
                <w:szCs w:val="21"/>
              </w:rPr>
            </w:pPr>
            <w:r>
              <w:rPr>
                <w:rFonts w:hint="eastAsia" w:ascii="宋体" w:hAnsi="宋体"/>
                <w:szCs w:val="21"/>
              </w:rPr>
              <w:t>信用中国（</w:t>
            </w:r>
            <w:r>
              <w:rPr>
                <w:rFonts w:ascii="宋体" w:hAnsi="宋体"/>
                <w:szCs w:val="21"/>
              </w:rPr>
              <w:t>https://www.creditchina.gov.cn/</w:t>
            </w:r>
            <w:r>
              <w:rPr>
                <w:rFonts w:hint="eastAsia" w:ascii="宋体" w:hAnsi="宋体"/>
                <w:szCs w:val="21"/>
              </w:rPr>
              <w:t>）</w:t>
            </w:r>
          </w:p>
          <w:p w14:paraId="515045C0">
            <w:pPr>
              <w:pStyle w:val="19"/>
              <w:rPr>
                <w:rFonts w:ascii="宋体"/>
                <w:szCs w:val="21"/>
              </w:rPr>
            </w:pPr>
            <w:r>
              <w:rPr>
                <w:rFonts w:hint="eastAsia" w:ascii="宋体" w:hAnsi="宋体"/>
                <w:szCs w:val="21"/>
              </w:rPr>
              <w:t>信用大同（</w:t>
            </w:r>
            <w:r>
              <w:rPr>
                <w:rFonts w:ascii="宋体" w:hAnsi="宋体"/>
                <w:szCs w:val="21"/>
              </w:rPr>
              <w:t>https://credit.dt.gov.cn</w:t>
            </w:r>
            <w:r>
              <w:rPr>
                <w:rFonts w:hint="eastAsia" w:ascii="宋体" w:hAnsi="宋体"/>
                <w:szCs w:val="21"/>
              </w:rPr>
              <w:t>）</w:t>
            </w:r>
          </w:p>
          <w:p w14:paraId="7E180AFA">
            <w:pPr>
              <w:rPr>
                <w:szCs w:val="21"/>
              </w:rPr>
            </w:pPr>
            <w:r>
              <w:rPr>
                <w:rFonts w:hint="eastAsia"/>
                <w:szCs w:val="21"/>
              </w:rPr>
              <w:t>全国建筑市场监管公共服务平台（</w:t>
            </w:r>
            <w:r>
              <w:rPr>
                <w:szCs w:val="21"/>
              </w:rPr>
              <w:t>http://jzsc.mohurd.gov.cn</w:t>
            </w:r>
            <w:r>
              <w:rPr>
                <w:rFonts w:hint="eastAsia"/>
                <w:szCs w:val="21"/>
              </w:rPr>
              <w:t>）</w:t>
            </w:r>
          </w:p>
          <w:p w14:paraId="268F7AED">
            <w:pPr>
              <w:pStyle w:val="19"/>
              <w:rPr>
                <w:rFonts w:ascii="宋体"/>
                <w:szCs w:val="21"/>
              </w:rPr>
            </w:pPr>
            <w:r>
              <w:rPr>
                <w:rFonts w:hint="eastAsia"/>
                <w:szCs w:val="21"/>
              </w:rPr>
              <w:t>山西省建筑市场监管公共服务平台（</w:t>
            </w:r>
            <w:r>
              <w:fldChar w:fldCharType="begin"/>
            </w:r>
            <w:r>
              <w:instrText xml:space="preserve"> HYPERLINK "http://prec.sxzwfw.gov.cn" </w:instrText>
            </w:r>
            <w:r>
              <w:fldChar w:fldCharType="separate"/>
            </w:r>
            <w:r>
              <w:rPr>
                <w:szCs w:val="21"/>
              </w:rPr>
              <w:t>http://zjt.shanxi.gov.cn</w:t>
            </w:r>
            <w:r>
              <w:rPr>
                <w:szCs w:val="21"/>
              </w:rPr>
              <w:fldChar w:fldCharType="end"/>
            </w:r>
            <w:r>
              <w:rPr>
                <w:rFonts w:hint="eastAsia"/>
                <w:szCs w:val="21"/>
              </w:rPr>
              <w:t>）</w:t>
            </w:r>
          </w:p>
          <w:p w14:paraId="7F8EAF17">
            <w:pPr>
              <w:rPr>
                <w:rStyle w:val="95"/>
                <w:szCs w:val="21"/>
              </w:rPr>
            </w:pPr>
            <w:r>
              <w:rPr>
                <w:rFonts w:hint="eastAsia" w:ascii="宋体" w:hAnsi="宋体"/>
                <w:szCs w:val="21"/>
              </w:rPr>
              <w:t>中国建造师网（</w:t>
            </w:r>
            <w:r>
              <w:rPr>
                <w:rFonts w:ascii="宋体" w:hAnsi="宋体"/>
                <w:szCs w:val="21"/>
              </w:rPr>
              <w:t>http://www.coc.gov.cn/coc/webview/fRegConstructor.jspx</w:t>
            </w:r>
            <w:r>
              <w:rPr>
                <w:rFonts w:hint="eastAsia" w:ascii="宋体" w:hAnsi="宋体"/>
                <w:szCs w:val="21"/>
              </w:rPr>
              <w:t>）</w:t>
            </w:r>
          </w:p>
        </w:tc>
      </w:tr>
      <w:tr w14:paraId="35EB1C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8608" w:type="dxa"/>
            <w:gridSpan w:val="4"/>
            <w:vAlign w:val="center"/>
          </w:tcPr>
          <w:p w14:paraId="43564946">
            <w:pPr>
              <w:ind w:firstLine="105" w:firstLineChars="50"/>
              <w:rPr>
                <w:rStyle w:val="95"/>
                <w:szCs w:val="21"/>
              </w:rPr>
            </w:pPr>
            <w:r>
              <w:rPr>
                <w:rStyle w:val="95"/>
                <w:szCs w:val="21"/>
              </w:rPr>
              <w:t>11.8</w:t>
            </w:r>
            <w:r>
              <w:rPr>
                <w:rStyle w:val="95"/>
                <w:rFonts w:hint="eastAsia"/>
                <w:szCs w:val="21"/>
              </w:rPr>
              <w:t>投标无效</w:t>
            </w:r>
          </w:p>
        </w:tc>
      </w:tr>
      <w:tr w14:paraId="7C3434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tcPr>
          <w:p w14:paraId="24F57E3D">
            <w:pPr>
              <w:rPr>
                <w:rStyle w:val="95"/>
                <w:szCs w:val="21"/>
              </w:rPr>
            </w:pPr>
          </w:p>
        </w:tc>
        <w:tc>
          <w:tcPr>
            <w:tcW w:w="7616" w:type="dxa"/>
            <w:gridSpan w:val="2"/>
            <w:vAlign w:val="center"/>
          </w:tcPr>
          <w:p w14:paraId="0F9D34AD">
            <w:pPr>
              <w:rPr>
                <w:rStyle w:val="95"/>
                <w:szCs w:val="21"/>
              </w:rPr>
            </w:pPr>
            <w:r>
              <w:rPr>
                <w:szCs w:val="21"/>
              </w:rPr>
              <w:t>1</w:t>
            </w:r>
            <w:r>
              <w:rPr>
                <w:rStyle w:val="95"/>
                <w:szCs w:val="21"/>
              </w:rPr>
              <w:t>.</w:t>
            </w:r>
            <w:r>
              <w:rPr>
                <w:rStyle w:val="95"/>
                <w:rFonts w:hint="eastAsia"/>
                <w:szCs w:val="21"/>
              </w:rPr>
              <w:t>与招标人存在利害关系可能影响招标公正性的法人、其他组织或者个人，不得参加投标；</w:t>
            </w:r>
          </w:p>
          <w:p w14:paraId="237A2D84">
            <w:pPr>
              <w:rPr>
                <w:rStyle w:val="95"/>
                <w:szCs w:val="21"/>
              </w:rPr>
            </w:pPr>
            <w:r>
              <w:rPr>
                <w:rStyle w:val="95"/>
                <w:szCs w:val="21"/>
              </w:rPr>
              <w:t>2.</w:t>
            </w:r>
            <w:r>
              <w:rPr>
                <w:rStyle w:val="95"/>
                <w:rFonts w:hint="eastAsia"/>
                <w:szCs w:val="21"/>
              </w:rPr>
              <w:t>单位负责人为同一人或者存在控股、管理关系的不同单位，不得参加同一标段投标或者未划分标段的同一招标项目投标。</w:t>
            </w:r>
          </w:p>
          <w:p w14:paraId="211071A2">
            <w:pPr>
              <w:rPr>
                <w:rStyle w:val="95"/>
                <w:szCs w:val="21"/>
              </w:rPr>
            </w:pPr>
            <w:r>
              <w:rPr>
                <w:rStyle w:val="95"/>
                <w:szCs w:val="21"/>
              </w:rPr>
              <w:t>3.</w:t>
            </w:r>
            <w:r>
              <w:rPr>
                <w:rStyle w:val="95"/>
                <w:rFonts w:hint="eastAsia"/>
                <w:szCs w:val="21"/>
              </w:rPr>
              <w:t>潜在投标人负有主动披露可能存在第</w:t>
            </w:r>
            <w:r>
              <w:rPr>
                <w:rStyle w:val="95"/>
                <w:szCs w:val="21"/>
              </w:rPr>
              <w:t>2</w:t>
            </w:r>
            <w:r>
              <w:rPr>
                <w:rStyle w:val="95"/>
                <w:rFonts w:hint="eastAsia"/>
                <w:szCs w:val="21"/>
              </w:rPr>
              <w:t>条规定情形的义务，不主动披露构成弄虚作假。</w:t>
            </w:r>
          </w:p>
          <w:p w14:paraId="77F3E9D6">
            <w:pPr>
              <w:rPr>
                <w:rStyle w:val="95"/>
                <w:szCs w:val="21"/>
              </w:rPr>
            </w:pPr>
            <w:r>
              <w:rPr>
                <w:rStyle w:val="95"/>
                <w:szCs w:val="21"/>
              </w:rPr>
              <w:t>4.</w:t>
            </w:r>
            <w:r>
              <w:rPr>
                <w:rStyle w:val="95"/>
                <w:rFonts w:hint="eastAsia"/>
                <w:szCs w:val="21"/>
              </w:rPr>
              <w:t>只要存在前两款规定的情形，投标自始无效。</w:t>
            </w:r>
          </w:p>
        </w:tc>
      </w:tr>
      <w:tr w14:paraId="3E2F24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8608" w:type="dxa"/>
            <w:gridSpan w:val="4"/>
            <w:vAlign w:val="center"/>
          </w:tcPr>
          <w:p w14:paraId="3C43191B">
            <w:pPr>
              <w:ind w:firstLine="105" w:firstLineChars="50"/>
              <w:rPr>
                <w:rStyle w:val="95"/>
                <w:szCs w:val="21"/>
              </w:rPr>
            </w:pPr>
            <w:r>
              <w:rPr>
                <w:rStyle w:val="95"/>
                <w:szCs w:val="21"/>
              </w:rPr>
              <w:t>11.9</w:t>
            </w:r>
            <w:r>
              <w:rPr>
                <w:rStyle w:val="95"/>
                <w:rFonts w:hint="eastAsia"/>
                <w:szCs w:val="21"/>
              </w:rPr>
              <w:t>中标公示</w:t>
            </w:r>
          </w:p>
        </w:tc>
      </w:tr>
      <w:tr w14:paraId="61A3EC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tcPr>
          <w:p w14:paraId="3ECD8BBE">
            <w:pPr>
              <w:rPr>
                <w:rStyle w:val="95"/>
                <w:szCs w:val="21"/>
              </w:rPr>
            </w:pPr>
          </w:p>
        </w:tc>
        <w:tc>
          <w:tcPr>
            <w:tcW w:w="7616" w:type="dxa"/>
            <w:gridSpan w:val="2"/>
            <w:vAlign w:val="center"/>
          </w:tcPr>
          <w:p w14:paraId="2A1017F5">
            <w:pPr>
              <w:rPr>
                <w:rStyle w:val="95"/>
                <w:szCs w:val="21"/>
              </w:rPr>
            </w:pPr>
            <w:r>
              <w:rPr>
                <w:rFonts w:hint="eastAsia" w:ascii="宋体" w:hAnsi="宋体"/>
                <w:b/>
                <w:bCs/>
                <w:color w:val="FF0000"/>
              </w:rPr>
              <w:t>招标人</w:t>
            </w:r>
            <w:r>
              <w:rPr>
                <w:rFonts w:hint="eastAsia" w:ascii="宋体" w:hAnsi="宋体"/>
                <w:b/>
                <w:bCs/>
                <w:color w:val="FF0000"/>
                <w:lang w:eastAsia="zh-CN"/>
              </w:rPr>
              <w:t>应当自收到评标报告之日起</w:t>
            </w:r>
            <w:r>
              <w:rPr>
                <w:rFonts w:hint="eastAsia" w:ascii="宋体" w:hAnsi="宋体"/>
                <w:b/>
                <w:bCs/>
                <w:color w:val="FF0000"/>
              </w:rPr>
              <w:t>3日内公示</w:t>
            </w:r>
            <w:r>
              <w:rPr>
                <w:rFonts w:hint="eastAsia" w:ascii="宋体" w:hAnsi="宋体"/>
                <w:b/>
                <w:bCs/>
                <w:color w:val="FF0000"/>
                <w:lang w:eastAsia="zh-CN"/>
              </w:rPr>
              <w:t>中标候选人</w:t>
            </w:r>
            <w:r>
              <w:rPr>
                <w:rFonts w:hint="eastAsia" w:ascii="宋体" w:hAnsi="宋体"/>
                <w:b/>
                <w:bCs/>
                <w:color w:val="FF0000"/>
              </w:rPr>
              <w:t>，公示期不</w:t>
            </w:r>
            <w:r>
              <w:rPr>
                <w:rFonts w:hint="eastAsia" w:ascii="宋体" w:hAnsi="宋体"/>
                <w:b/>
                <w:bCs/>
                <w:color w:val="FF0000"/>
                <w:lang w:eastAsia="zh-CN"/>
              </w:rPr>
              <w:t>得</w:t>
            </w:r>
            <w:r>
              <w:rPr>
                <w:rFonts w:hint="eastAsia" w:ascii="宋体" w:hAnsi="宋体"/>
                <w:b/>
                <w:bCs/>
                <w:color w:val="FF0000"/>
              </w:rPr>
              <w:t>少于3日；公示期内无异议，确定中标人，并</w:t>
            </w:r>
            <w:r>
              <w:rPr>
                <w:rFonts w:hint="eastAsia" w:ascii="宋体" w:hAnsi="宋体"/>
                <w:b/>
                <w:bCs/>
                <w:color w:val="FF0000"/>
                <w:lang w:eastAsia="zh-CN"/>
              </w:rPr>
              <w:t>公布</w:t>
            </w:r>
            <w:r>
              <w:rPr>
                <w:rFonts w:hint="eastAsia" w:ascii="宋体" w:hAnsi="宋体"/>
                <w:b/>
                <w:bCs/>
                <w:color w:val="FF0000"/>
              </w:rPr>
              <w:t>中标结果。</w:t>
            </w:r>
          </w:p>
        </w:tc>
      </w:tr>
      <w:tr w14:paraId="02395D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8608" w:type="dxa"/>
            <w:gridSpan w:val="4"/>
            <w:vAlign w:val="center"/>
          </w:tcPr>
          <w:p w14:paraId="6EDCAF85">
            <w:pPr>
              <w:ind w:left="105" w:leftChars="50"/>
              <w:rPr>
                <w:rStyle w:val="95"/>
                <w:szCs w:val="21"/>
              </w:rPr>
            </w:pPr>
            <w:r>
              <w:rPr>
                <w:rStyle w:val="95"/>
                <w:szCs w:val="21"/>
              </w:rPr>
              <w:t>11.10</w:t>
            </w:r>
            <w:r>
              <w:rPr>
                <w:rStyle w:val="95"/>
                <w:rFonts w:hint="eastAsia"/>
                <w:szCs w:val="21"/>
              </w:rPr>
              <w:t>重新招标的其它情形</w:t>
            </w:r>
          </w:p>
        </w:tc>
      </w:tr>
      <w:tr w14:paraId="6C64D3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tcPr>
          <w:p w14:paraId="56EA1955">
            <w:pPr>
              <w:rPr>
                <w:rStyle w:val="95"/>
                <w:szCs w:val="21"/>
              </w:rPr>
            </w:pPr>
          </w:p>
        </w:tc>
        <w:tc>
          <w:tcPr>
            <w:tcW w:w="7616" w:type="dxa"/>
            <w:gridSpan w:val="2"/>
            <w:vAlign w:val="center"/>
          </w:tcPr>
          <w:p w14:paraId="38544FE3">
            <w:pPr>
              <w:rPr>
                <w:rStyle w:val="95"/>
                <w:szCs w:val="21"/>
              </w:rPr>
            </w:pPr>
            <w:r>
              <w:rPr>
                <w:rStyle w:val="95"/>
                <w:rFonts w:hint="eastAsia"/>
                <w:szCs w:val="21"/>
              </w:rPr>
              <w:t>见正文第</w:t>
            </w:r>
            <w:r>
              <w:rPr>
                <w:rStyle w:val="95"/>
                <w:szCs w:val="21"/>
              </w:rPr>
              <w:t>8.1</w:t>
            </w:r>
            <w:r>
              <w:rPr>
                <w:rStyle w:val="95"/>
                <w:rFonts w:hint="eastAsia"/>
                <w:szCs w:val="21"/>
              </w:rPr>
              <w:t>款规定</w:t>
            </w:r>
          </w:p>
        </w:tc>
      </w:tr>
      <w:tr w14:paraId="3F076D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8608" w:type="dxa"/>
            <w:gridSpan w:val="4"/>
            <w:vAlign w:val="center"/>
          </w:tcPr>
          <w:p w14:paraId="4D241258">
            <w:pPr>
              <w:ind w:left="102"/>
              <w:jc w:val="left"/>
              <w:rPr>
                <w:rStyle w:val="95"/>
                <w:szCs w:val="21"/>
              </w:rPr>
            </w:pPr>
            <w:r>
              <w:rPr>
                <w:rStyle w:val="95"/>
                <w:szCs w:val="21"/>
              </w:rPr>
              <w:t>11.11</w:t>
            </w:r>
            <w:r>
              <w:rPr>
                <w:rStyle w:val="95"/>
                <w:rFonts w:hint="eastAsia"/>
                <w:szCs w:val="21"/>
              </w:rPr>
              <w:t>知识产权</w:t>
            </w:r>
          </w:p>
        </w:tc>
      </w:tr>
      <w:tr w14:paraId="74E605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92" w:type="dxa"/>
            <w:gridSpan w:val="2"/>
            <w:vAlign w:val="center"/>
          </w:tcPr>
          <w:p w14:paraId="57A46BDE">
            <w:pPr>
              <w:jc w:val="center"/>
              <w:rPr>
                <w:rStyle w:val="95"/>
                <w:szCs w:val="21"/>
              </w:rPr>
            </w:pPr>
          </w:p>
        </w:tc>
        <w:tc>
          <w:tcPr>
            <w:tcW w:w="7616" w:type="dxa"/>
            <w:gridSpan w:val="2"/>
          </w:tcPr>
          <w:p w14:paraId="5BBE99EF">
            <w:pPr>
              <w:rPr>
                <w:rStyle w:val="95"/>
                <w:szCs w:val="21"/>
              </w:rPr>
            </w:pPr>
            <w:r>
              <w:rPr>
                <w:rStyle w:val="95"/>
                <w:rFonts w:hint="eastAsia"/>
                <w:szCs w:val="21"/>
              </w:rPr>
              <w:t>构成本招标文件各个组成部分的文件，未经招标人书面同意，投标人不得擅自用于非本招标项目所需的其他目的。招标人拟全部或者部分使用未中标人投标文件中的技术成果或技术方案时，需征得其书面同意，并与其签订协议。</w:t>
            </w:r>
            <w:r>
              <w:rPr>
                <w:rStyle w:val="95"/>
                <w:szCs w:val="21"/>
              </w:rPr>
              <w:t xml:space="preserve">                                                                                                                                                                                                                                                                                                                                                                                                                                                                                                                                                                                                                                                                                                                                                                                                                     </w:t>
            </w:r>
          </w:p>
        </w:tc>
      </w:tr>
      <w:tr w14:paraId="44A89D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8608" w:type="dxa"/>
            <w:gridSpan w:val="4"/>
            <w:vAlign w:val="center"/>
          </w:tcPr>
          <w:p w14:paraId="774EDED6">
            <w:pPr>
              <w:spacing w:line="20" w:lineRule="exact"/>
              <w:rPr>
                <w:b/>
                <w:bCs/>
                <w:szCs w:val="21"/>
              </w:rPr>
            </w:pPr>
          </w:p>
          <w:p w14:paraId="19767410">
            <w:pPr>
              <w:spacing w:line="20" w:lineRule="exact"/>
              <w:rPr>
                <w:b/>
                <w:bCs/>
                <w:szCs w:val="21"/>
              </w:rPr>
            </w:pPr>
          </w:p>
          <w:p w14:paraId="177AA608">
            <w:pPr>
              <w:spacing w:line="20" w:lineRule="exact"/>
              <w:rPr>
                <w:b/>
                <w:bCs/>
                <w:szCs w:val="21"/>
              </w:rPr>
            </w:pPr>
          </w:p>
          <w:p w14:paraId="0C2B82A7">
            <w:pPr>
              <w:spacing w:line="20" w:lineRule="exact"/>
              <w:rPr>
                <w:b/>
                <w:bCs/>
                <w:szCs w:val="21"/>
              </w:rPr>
            </w:pPr>
          </w:p>
          <w:p w14:paraId="1BD9C75F">
            <w:pPr>
              <w:ind w:left="102"/>
              <w:rPr>
                <w:rStyle w:val="95"/>
                <w:szCs w:val="21"/>
              </w:rPr>
            </w:pPr>
            <w:r>
              <w:rPr>
                <w:rStyle w:val="95"/>
                <w:szCs w:val="21"/>
              </w:rPr>
              <w:t>11.12</w:t>
            </w:r>
            <w:r>
              <w:rPr>
                <w:rStyle w:val="95"/>
                <w:rFonts w:hint="eastAsia"/>
                <w:szCs w:val="21"/>
              </w:rPr>
              <w:t>电子招投标</w:t>
            </w:r>
          </w:p>
        </w:tc>
      </w:tr>
      <w:tr w14:paraId="3C202D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61" w:type="dxa"/>
          </w:tcPr>
          <w:p w14:paraId="4A33668C">
            <w:pPr>
              <w:rPr>
                <w:rStyle w:val="95"/>
                <w:szCs w:val="21"/>
              </w:rPr>
            </w:pPr>
          </w:p>
          <w:p w14:paraId="6DE408D1">
            <w:pPr>
              <w:rPr>
                <w:rStyle w:val="95"/>
                <w:szCs w:val="21"/>
              </w:rPr>
            </w:pPr>
          </w:p>
        </w:tc>
        <w:tc>
          <w:tcPr>
            <w:tcW w:w="7647" w:type="dxa"/>
            <w:gridSpan w:val="3"/>
            <w:vAlign w:val="center"/>
          </w:tcPr>
          <w:p w14:paraId="71C5CD24">
            <w:pPr>
              <w:rPr>
                <w:rStyle w:val="95"/>
                <w:szCs w:val="21"/>
              </w:rPr>
            </w:pPr>
            <w:r>
              <w:rPr>
                <w:rStyle w:val="95"/>
                <w:rFonts w:hint="eastAsia"/>
                <w:szCs w:val="21"/>
              </w:rPr>
              <w:t>按照《电子招标投标办法》（发改委等八部委令第</w:t>
            </w:r>
            <w:r>
              <w:rPr>
                <w:rStyle w:val="95"/>
                <w:szCs w:val="21"/>
              </w:rPr>
              <w:t>20</w:t>
            </w:r>
            <w:r>
              <w:rPr>
                <w:rStyle w:val="95"/>
                <w:rFonts w:hint="eastAsia"/>
                <w:szCs w:val="21"/>
              </w:rPr>
              <w:t>号）和本招标文件的具体要求编制投标文件。</w:t>
            </w:r>
          </w:p>
        </w:tc>
      </w:tr>
      <w:tr w14:paraId="14A461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8608" w:type="dxa"/>
            <w:gridSpan w:val="4"/>
          </w:tcPr>
          <w:p w14:paraId="3EE1AFBD">
            <w:pPr>
              <w:rPr>
                <w:rStyle w:val="95"/>
                <w:rFonts w:hint="default" w:eastAsia="宋体"/>
                <w:szCs w:val="21"/>
                <w:lang w:val="en-US" w:eastAsia="zh-CN"/>
              </w:rPr>
            </w:pPr>
            <w:r>
              <w:rPr>
                <w:rStyle w:val="95"/>
                <w:rFonts w:hint="eastAsia"/>
                <w:szCs w:val="21"/>
                <w:lang w:val="en-US" w:eastAsia="zh-CN"/>
              </w:rPr>
              <w:t xml:space="preserve">11.13  </w:t>
            </w:r>
            <w:r>
              <w:rPr>
                <w:rFonts w:hint="eastAsia" w:ascii="Times New Roman" w:hAnsi="Times New Roman" w:eastAsia="宋体" w:cs="Times New Roman"/>
                <w:kern w:val="2"/>
                <w:sz w:val="21"/>
                <w:szCs w:val="24"/>
                <w:lang w:val="en-US" w:eastAsia="zh-CN" w:bidi="ar-SA"/>
              </w:rPr>
              <w:t>投标人签署《承诺书》</w:t>
            </w:r>
          </w:p>
        </w:tc>
      </w:tr>
      <w:tr w14:paraId="69A21F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961" w:type="dxa"/>
          </w:tcPr>
          <w:p w14:paraId="1F3BD829">
            <w:pPr>
              <w:rPr>
                <w:rStyle w:val="95"/>
                <w:szCs w:val="21"/>
              </w:rPr>
            </w:pPr>
          </w:p>
        </w:tc>
        <w:tc>
          <w:tcPr>
            <w:tcW w:w="7647" w:type="dxa"/>
            <w:gridSpan w:val="3"/>
            <w:vAlign w:val="center"/>
          </w:tcPr>
          <w:p w14:paraId="226E9809">
            <w:pPr>
              <w:rPr>
                <w:rStyle w:val="95"/>
                <w:rFonts w:hint="eastAsia"/>
                <w:szCs w:val="21"/>
              </w:rPr>
            </w:pPr>
            <w:r>
              <w:rPr>
                <w:rFonts w:hint="eastAsia" w:ascii="Times New Roman" w:hAnsi="Times New Roman" w:eastAsia="宋体" w:cs="Times New Roman"/>
                <w:lang w:eastAsia="zh-CN"/>
              </w:rPr>
              <w:t>投标人须按照“平台”规定格式，上传投标文件的同时由单位相关人员（法定代表人、分管负责人、承办部门负责人、承办人）签署</w:t>
            </w:r>
            <w:r>
              <w:rPr>
                <w:rFonts w:hint="eastAsia" w:ascii="Times New Roman" w:hAnsi="Times New Roman" w:eastAsia="宋体" w:cs="Times New Roman"/>
              </w:rPr>
              <w:t>《山西省住建领域工程建设项目投标人承诺书》</w:t>
            </w:r>
            <w:r>
              <w:rPr>
                <w:rFonts w:hint="eastAsia" w:ascii="Times New Roman" w:hAnsi="Times New Roman" w:eastAsia="宋体" w:cs="Times New Roman"/>
                <w:lang w:eastAsia="zh-CN"/>
              </w:rPr>
              <w:t>。</w:t>
            </w:r>
          </w:p>
        </w:tc>
      </w:tr>
    </w:tbl>
    <w:p w14:paraId="49004155">
      <w:pPr>
        <w:pStyle w:val="592"/>
        <w:spacing w:before="0" w:line="240" w:lineRule="auto"/>
        <w:rPr>
          <w:rStyle w:val="95"/>
          <w:rFonts w:eastAsia="宋体"/>
          <w:b/>
          <w:bCs/>
          <w:szCs w:val="28"/>
        </w:rPr>
      </w:pPr>
      <w:r>
        <w:rPr>
          <w:rStyle w:val="95"/>
          <w:rFonts w:eastAsia="宋体"/>
        </w:rPr>
        <w:br w:type="page"/>
      </w:r>
      <w:r>
        <w:rPr>
          <w:rStyle w:val="95"/>
          <w:rFonts w:hint="eastAsia" w:eastAsia="宋体"/>
          <w:b/>
          <w:bCs/>
          <w:szCs w:val="28"/>
        </w:rPr>
        <w:t>二、投标人须知正文</w:t>
      </w:r>
    </w:p>
    <w:p w14:paraId="17F65652">
      <w:pPr>
        <w:pStyle w:val="592"/>
        <w:spacing w:before="0" w:line="460" w:lineRule="exact"/>
        <w:rPr>
          <w:rStyle w:val="95"/>
          <w:rFonts w:eastAsia="宋体"/>
          <w:sz w:val="24"/>
          <w:szCs w:val="24"/>
        </w:rPr>
      </w:pPr>
      <w:r>
        <w:rPr>
          <w:rStyle w:val="95"/>
          <w:rFonts w:eastAsia="宋体"/>
          <w:sz w:val="24"/>
          <w:szCs w:val="24"/>
        </w:rPr>
        <w:t xml:space="preserve">1. </w:t>
      </w:r>
      <w:r>
        <w:rPr>
          <w:rStyle w:val="95"/>
          <w:rFonts w:hint="eastAsia" w:eastAsia="宋体"/>
          <w:sz w:val="24"/>
          <w:szCs w:val="24"/>
        </w:rPr>
        <w:t>总则</w:t>
      </w:r>
    </w:p>
    <w:p w14:paraId="164C6707">
      <w:pPr>
        <w:pStyle w:val="892"/>
        <w:spacing w:line="460" w:lineRule="exact"/>
        <w:rPr>
          <w:rStyle w:val="95"/>
          <w:rFonts w:eastAsia="宋体"/>
          <w:szCs w:val="24"/>
          <w:u w:val="single"/>
        </w:rPr>
      </w:pPr>
      <w:r>
        <w:rPr>
          <w:rStyle w:val="95"/>
          <w:rFonts w:eastAsia="宋体"/>
          <w:szCs w:val="24"/>
        </w:rPr>
        <w:t xml:space="preserve">1.1 </w:t>
      </w:r>
      <w:r>
        <w:rPr>
          <w:rStyle w:val="95"/>
          <w:rFonts w:hint="eastAsia" w:eastAsia="宋体"/>
          <w:szCs w:val="24"/>
        </w:rPr>
        <w:t>项目概况：</w:t>
      </w:r>
    </w:p>
    <w:p w14:paraId="1D9440A6">
      <w:pPr>
        <w:spacing w:line="480" w:lineRule="exact"/>
        <w:ind w:firstLine="420" w:firstLineChars="200"/>
        <w:rPr>
          <w:rStyle w:val="95"/>
        </w:rPr>
      </w:pPr>
      <w:r>
        <w:rPr>
          <w:rStyle w:val="95"/>
        </w:rPr>
        <w:t>1.1.1</w:t>
      </w:r>
      <w:r>
        <w:rPr>
          <w:rStyle w:val="95"/>
          <w:rFonts w:hint="eastAsia"/>
          <w:sz w:val="24"/>
        </w:rPr>
        <w:t xml:space="preserve"> </w:t>
      </w:r>
    </w:p>
    <w:p w14:paraId="3BEE792B">
      <w:pPr>
        <w:spacing w:line="460" w:lineRule="exact"/>
        <w:ind w:firstLine="480" w:firstLineChars="200"/>
        <w:rPr>
          <w:rStyle w:val="95"/>
          <w:sz w:val="24"/>
        </w:rPr>
      </w:pPr>
      <w:r>
        <w:rPr>
          <w:rStyle w:val="95"/>
          <w:sz w:val="24"/>
        </w:rPr>
        <w:t xml:space="preserve">1.1.2 </w:t>
      </w:r>
      <w:r>
        <w:rPr>
          <w:rStyle w:val="95"/>
          <w:rFonts w:hint="eastAsia"/>
          <w:sz w:val="24"/>
        </w:rPr>
        <w:t>本招标项目招标人：见投标人须知前附表。</w:t>
      </w:r>
    </w:p>
    <w:p w14:paraId="3B75962C">
      <w:pPr>
        <w:spacing w:line="460" w:lineRule="exact"/>
        <w:ind w:firstLine="480" w:firstLineChars="200"/>
        <w:rPr>
          <w:rStyle w:val="95"/>
          <w:sz w:val="24"/>
        </w:rPr>
      </w:pPr>
      <w:r>
        <w:rPr>
          <w:rStyle w:val="95"/>
          <w:sz w:val="24"/>
        </w:rPr>
        <w:t xml:space="preserve">1.1.3 </w:t>
      </w:r>
      <w:r>
        <w:rPr>
          <w:rStyle w:val="95"/>
          <w:rFonts w:hint="eastAsia"/>
          <w:sz w:val="24"/>
        </w:rPr>
        <w:t>本招标项目招标代理机构：见投标人须知前附表。</w:t>
      </w:r>
    </w:p>
    <w:p w14:paraId="20D9D327">
      <w:pPr>
        <w:spacing w:line="460" w:lineRule="exact"/>
        <w:ind w:firstLine="480" w:firstLineChars="200"/>
        <w:rPr>
          <w:rStyle w:val="95"/>
          <w:sz w:val="24"/>
        </w:rPr>
      </w:pPr>
      <w:r>
        <w:rPr>
          <w:rStyle w:val="95"/>
          <w:sz w:val="24"/>
        </w:rPr>
        <w:t xml:space="preserve">1.1.4 </w:t>
      </w:r>
      <w:r>
        <w:rPr>
          <w:rStyle w:val="95"/>
          <w:rFonts w:hint="eastAsia"/>
          <w:sz w:val="24"/>
        </w:rPr>
        <w:t>本招标项目名称：见投标人须知前附表。</w:t>
      </w:r>
    </w:p>
    <w:p w14:paraId="0677B592">
      <w:pPr>
        <w:spacing w:line="460" w:lineRule="exact"/>
        <w:ind w:firstLine="480" w:firstLineChars="200"/>
        <w:rPr>
          <w:rStyle w:val="95"/>
          <w:sz w:val="24"/>
        </w:rPr>
      </w:pPr>
      <w:r>
        <w:rPr>
          <w:rStyle w:val="95"/>
          <w:sz w:val="24"/>
        </w:rPr>
        <w:t xml:space="preserve">1.1.5 </w:t>
      </w:r>
      <w:r>
        <w:rPr>
          <w:rStyle w:val="95"/>
          <w:rFonts w:hint="eastAsia"/>
          <w:sz w:val="24"/>
        </w:rPr>
        <w:t>本次招标建设地点：见投标人须知前附表。</w:t>
      </w:r>
    </w:p>
    <w:p w14:paraId="2EF8F72B">
      <w:pPr>
        <w:pStyle w:val="892"/>
        <w:spacing w:line="460" w:lineRule="exact"/>
        <w:rPr>
          <w:rStyle w:val="95"/>
          <w:rFonts w:eastAsia="宋体"/>
          <w:szCs w:val="24"/>
        </w:rPr>
      </w:pPr>
      <w:r>
        <w:rPr>
          <w:rStyle w:val="95"/>
          <w:rFonts w:eastAsia="宋体"/>
          <w:szCs w:val="24"/>
        </w:rPr>
        <w:t xml:space="preserve">1.2 </w:t>
      </w:r>
      <w:r>
        <w:rPr>
          <w:rStyle w:val="95"/>
          <w:rFonts w:hint="eastAsia" w:eastAsia="宋体"/>
          <w:szCs w:val="24"/>
        </w:rPr>
        <w:t>资金来源和落实情况</w:t>
      </w:r>
    </w:p>
    <w:p w14:paraId="2337C503">
      <w:pPr>
        <w:spacing w:line="460" w:lineRule="exact"/>
        <w:ind w:firstLine="480" w:firstLineChars="200"/>
        <w:rPr>
          <w:rStyle w:val="95"/>
          <w:sz w:val="24"/>
        </w:rPr>
      </w:pPr>
      <w:r>
        <w:rPr>
          <w:rStyle w:val="95"/>
          <w:sz w:val="24"/>
        </w:rPr>
        <w:t xml:space="preserve">1.2.1 </w:t>
      </w:r>
      <w:r>
        <w:rPr>
          <w:rStyle w:val="95"/>
          <w:rFonts w:hint="eastAsia"/>
          <w:sz w:val="24"/>
        </w:rPr>
        <w:t>本招标项目资金来源：见投标人须知前附表。</w:t>
      </w:r>
    </w:p>
    <w:p w14:paraId="013B4477">
      <w:pPr>
        <w:spacing w:line="460" w:lineRule="exact"/>
        <w:ind w:firstLine="480" w:firstLineChars="200"/>
        <w:rPr>
          <w:rStyle w:val="95"/>
          <w:sz w:val="24"/>
        </w:rPr>
      </w:pPr>
      <w:r>
        <w:rPr>
          <w:rStyle w:val="95"/>
          <w:sz w:val="24"/>
        </w:rPr>
        <w:t xml:space="preserve">1.2.2 </w:t>
      </w:r>
      <w:r>
        <w:rPr>
          <w:rStyle w:val="95"/>
          <w:rFonts w:hint="eastAsia"/>
          <w:sz w:val="24"/>
        </w:rPr>
        <w:t>本招标项目的出资比例：见投标人须知前附表</w:t>
      </w:r>
      <w:r>
        <w:rPr>
          <w:rStyle w:val="95"/>
          <w:rFonts w:hint="eastAsia"/>
          <w:kern w:val="0"/>
          <w:sz w:val="24"/>
          <w:lang w:val="zh-CN"/>
        </w:rPr>
        <w:t>。</w:t>
      </w:r>
    </w:p>
    <w:p w14:paraId="6AA86289">
      <w:pPr>
        <w:spacing w:line="460" w:lineRule="exact"/>
        <w:ind w:firstLine="480" w:firstLineChars="200"/>
        <w:rPr>
          <w:rStyle w:val="95"/>
          <w:sz w:val="24"/>
        </w:rPr>
      </w:pPr>
      <w:r>
        <w:rPr>
          <w:rStyle w:val="95"/>
          <w:sz w:val="24"/>
        </w:rPr>
        <w:t xml:space="preserve">1.2.3 </w:t>
      </w:r>
      <w:r>
        <w:rPr>
          <w:rStyle w:val="95"/>
          <w:rFonts w:hint="eastAsia"/>
          <w:sz w:val="24"/>
        </w:rPr>
        <w:t>本招标项目的资金落实情况：已落实。</w:t>
      </w:r>
    </w:p>
    <w:p w14:paraId="13EC28E8">
      <w:pPr>
        <w:pStyle w:val="892"/>
        <w:spacing w:line="460" w:lineRule="exact"/>
        <w:rPr>
          <w:rStyle w:val="95"/>
          <w:rFonts w:eastAsia="宋体"/>
          <w:szCs w:val="24"/>
        </w:rPr>
      </w:pPr>
      <w:r>
        <w:rPr>
          <w:rStyle w:val="95"/>
          <w:rFonts w:eastAsia="宋体"/>
          <w:szCs w:val="24"/>
        </w:rPr>
        <w:t xml:space="preserve">1.3 </w:t>
      </w:r>
      <w:r>
        <w:rPr>
          <w:rStyle w:val="95"/>
          <w:rFonts w:hint="eastAsia" w:eastAsia="宋体"/>
          <w:szCs w:val="24"/>
        </w:rPr>
        <w:t>招标范围、计划工期和质量要求</w:t>
      </w:r>
    </w:p>
    <w:p w14:paraId="39C3F6E9">
      <w:pPr>
        <w:spacing w:line="460" w:lineRule="exact"/>
        <w:ind w:firstLine="480" w:firstLineChars="200"/>
        <w:rPr>
          <w:rStyle w:val="95"/>
          <w:sz w:val="24"/>
        </w:rPr>
      </w:pPr>
      <w:r>
        <w:rPr>
          <w:rStyle w:val="95"/>
          <w:sz w:val="24"/>
        </w:rPr>
        <w:t xml:space="preserve">1.3.1 </w:t>
      </w:r>
      <w:r>
        <w:rPr>
          <w:rStyle w:val="95"/>
          <w:rFonts w:hint="eastAsia"/>
          <w:sz w:val="24"/>
        </w:rPr>
        <w:t>本次招标范围：见投标人须知前附表。</w:t>
      </w:r>
    </w:p>
    <w:p w14:paraId="165014F3">
      <w:pPr>
        <w:spacing w:line="460" w:lineRule="exact"/>
        <w:ind w:firstLine="480" w:firstLineChars="200"/>
        <w:rPr>
          <w:rStyle w:val="95"/>
          <w:sz w:val="24"/>
        </w:rPr>
      </w:pPr>
      <w:r>
        <w:rPr>
          <w:rStyle w:val="95"/>
          <w:sz w:val="24"/>
        </w:rPr>
        <w:t xml:space="preserve">1.3.2 </w:t>
      </w:r>
      <w:r>
        <w:rPr>
          <w:rStyle w:val="95"/>
          <w:rFonts w:hint="eastAsia"/>
          <w:sz w:val="24"/>
        </w:rPr>
        <w:t>本次招标计划工期：见投标人须知前附表。</w:t>
      </w:r>
    </w:p>
    <w:p w14:paraId="232AC467">
      <w:pPr>
        <w:spacing w:line="460" w:lineRule="exact"/>
        <w:ind w:firstLine="480" w:firstLineChars="200"/>
        <w:rPr>
          <w:rStyle w:val="95"/>
          <w:sz w:val="24"/>
        </w:rPr>
      </w:pPr>
      <w:r>
        <w:rPr>
          <w:rStyle w:val="95"/>
          <w:sz w:val="24"/>
        </w:rPr>
        <w:t xml:space="preserve">1.3.3 </w:t>
      </w:r>
      <w:r>
        <w:rPr>
          <w:rStyle w:val="95"/>
          <w:rFonts w:hint="eastAsia"/>
          <w:sz w:val="24"/>
        </w:rPr>
        <w:t>本招标项目的质量要求：见投标人须知前附表。</w:t>
      </w:r>
    </w:p>
    <w:p w14:paraId="34273CB2">
      <w:pPr>
        <w:pStyle w:val="892"/>
        <w:spacing w:line="460" w:lineRule="exact"/>
        <w:rPr>
          <w:rStyle w:val="95"/>
          <w:rFonts w:eastAsia="宋体"/>
          <w:szCs w:val="24"/>
        </w:rPr>
      </w:pPr>
      <w:r>
        <w:rPr>
          <w:rStyle w:val="95"/>
          <w:rFonts w:eastAsia="宋体"/>
          <w:szCs w:val="24"/>
        </w:rPr>
        <w:t xml:space="preserve">1.4 </w:t>
      </w:r>
      <w:r>
        <w:rPr>
          <w:rStyle w:val="95"/>
          <w:rFonts w:hint="eastAsia" w:eastAsia="宋体"/>
          <w:szCs w:val="24"/>
        </w:rPr>
        <w:t>投标人资格要求</w:t>
      </w:r>
    </w:p>
    <w:p w14:paraId="08285E78">
      <w:pPr>
        <w:spacing w:line="460" w:lineRule="exact"/>
        <w:ind w:firstLine="480" w:firstLineChars="200"/>
        <w:rPr>
          <w:rStyle w:val="95"/>
          <w:sz w:val="24"/>
        </w:rPr>
      </w:pPr>
      <w:r>
        <w:rPr>
          <w:rStyle w:val="95"/>
          <w:sz w:val="24"/>
        </w:rPr>
        <w:t xml:space="preserve">1.4.1 </w:t>
      </w:r>
      <w:r>
        <w:rPr>
          <w:rStyle w:val="95"/>
          <w:rFonts w:hint="eastAsia"/>
          <w:sz w:val="24"/>
        </w:rPr>
        <w:t>本招标项目对投标人资质条件、能力和信誉的要求。</w:t>
      </w:r>
    </w:p>
    <w:p w14:paraId="07E01C04">
      <w:pPr>
        <w:spacing w:line="460" w:lineRule="exact"/>
        <w:ind w:firstLine="480" w:firstLineChars="200"/>
        <w:rPr>
          <w:rStyle w:val="95"/>
          <w:sz w:val="24"/>
        </w:rPr>
      </w:pPr>
      <w:r>
        <w:rPr>
          <w:rStyle w:val="95"/>
          <w:rFonts w:hint="eastAsia"/>
          <w:sz w:val="24"/>
        </w:rPr>
        <w:t>（</w:t>
      </w:r>
      <w:r>
        <w:rPr>
          <w:rStyle w:val="95"/>
          <w:sz w:val="24"/>
        </w:rPr>
        <w:t>1</w:t>
      </w:r>
      <w:r>
        <w:rPr>
          <w:rStyle w:val="95"/>
          <w:rFonts w:hint="eastAsia"/>
          <w:sz w:val="24"/>
        </w:rPr>
        <w:t>）资质条件：见投标人须知前附表；</w:t>
      </w:r>
    </w:p>
    <w:p w14:paraId="4851C0F3">
      <w:pPr>
        <w:spacing w:line="460" w:lineRule="exact"/>
        <w:ind w:firstLine="480" w:firstLineChars="200"/>
        <w:rPr>
          <w:rStyle w:val="95"/>
          <w:sz w:val="24"/>
        </w:rPr>
      </w:pPr>
      <w:r>
        <w:rPr>
          <w:rStyle w:val="95"/>
          <w:rFonts w:hint="eastAsia"/>
          <w:sz w:val="24"/>
        </w:rPr>
        <w:t>（</w:t>
      </w:r>
      <w:r>
        <w:rPr>
          <w:rStyle w:val="95"/>
          <w:sz w:val="24"/>
        </w:rPr>
        <w:t>2</w:t>
      </w:r>
      <w:r>
        <w:rPr>
          <w:rStyle w:val="95"/>
          <w:rFonts w:hint="eastAsia"/>
          <w:sz w:val="24"/>
        </w:rPr>
        <w:t>）财务要求：见投标人须知前附表；</w:t>
      </w:r>
    </w:p>
    <w:p w14:paraId="1D75606F">
      <w:pPr>
        <w:spacing w:line="460" w:lineRule="exact"/>
        <w:ind w:firstLine="480" w:firstLineChars="200"/>
        <w:rPr>
          <w:rStyle w:val="95"/>
          <w:sz w:val="24"/>
        </w:rPr>
      </w:pPr>
      <w:r>
        <w:rPr>
          <w:rStyle w:val="95"/>
          <w:rFonts w:hint="eastAsia"/>
          <w:sz w:val="24"/>
        </w:rPr>
        <w:t>（</w:t>
      </w:r>
      <w:r>
        <w:rPr>
          <w:rStyle w:val="95"/>
          <w:sz w:val="24"/>
        </w:rPr>
        <w:t>3</w:t>
      </w:r>
      <w:r>
        <w:rPr>
          <w:rStyle w:val="95"/>
          <w:rFonts w:hint="eastAsia"/>
          <w:sz w:val="24"/>
        </w:rPr>
        <w:t>）业绩要求：见投标人须知前附表；</w:t>
      </w:r>
    </w:p>
    <w:p w14:paraId="25BA0874">
      <w:pPr>
        <w:spacing w:line="460" w:lineRule="exact"/>
        <w:ind w:firstLine="480" w:firstLineChars="200"/>
        <w:rPr>
          <w:rStyle w:val="95"/>
          <w:sz w:val="24"/>
        </w:rPr>
      </w:pPr>
      <w:r>
        <w:rPr>
          <w:rStyle w:val="95"/>
          <w:rFonts w:hint="eastAsia"/>
          <w:sz w:val="24"/>
        </w:rPr>
        <w:t>（</w:t>
      </w:r>
      <w:r>
        <w:rPr>
          <w:rStyle w:val="95"/>
          <w:sz w:val="24"/>
        </w:rPr>
        <w:t>4</w:t>
      </w:r>
      <w:r>
        <w:rPr>
          <w:rStyle w:val="95"/>
          <w:rFonts w:hint="eastAsia"/>
          <w:sz w:val="24"/>
        </w:rPr>
        <w:t>）信誉要求：见投标人须知前附表；</w:t>
      </w:r>
    </w:p>
    <w:p w14:paraId="4FDAE26D">
      <w:pPr>
        <w:spacing w:line="460" w:lineRule="exact"/>
        <w:ind w:firstLine="480" w:firstLineChars="200"/>
        <w:rPr>
          <w:rStyle w:val="95"/>
          <w:sz w:val="24"/>
        </w:rPr>
      </w:pPr>
      <w:r>
        <w:rPr>
          <w:rStyle w:val="95"/>
          <w:rFonts w:hint="eastAsia"/>
          <w:sz w:val="24"/>
        </w:rPr>
        <w:t>（</w:t>
      </w:r>
      <w:r>
        <w:rPr>
          <w:rStyle w:val="95"/>
          <w:sz w:val="24"/>
        </w:rPr>
        <w:t>5</w:t>
      </w:r>
      <w:r>
        <w:rPr>
          <w:rStyle w:val="95"/>
          <w:rFonts w:hint="eastAsia"/>
          <w:sz w:val="24"/>
        </w:rPr>
        <w:t>）项目经理要求：见投标人须知前附表；</w:t>
      </w:r>
    </w:p>
    <w:p w14:paraId="731F7356">
      <w:pPr>
        <w:spacing w:line="460" w:lineRule="exact"/>
        <w:ind w:firstLine="480" w:firstLineChars="200"/>
        <w:rPr>
          <w:rStyle w:val="95"/>
          <w:sz w:val="24"/>
        </w:rPr>
      </w:pPr>
      <w:r>
        <w:rPr>
          <w:rStyle w:val="95"/>
          <w:rFonts w:hint="eastAsia"/>
          <w:sz w:val="24"/>
        </w:rPr>
        <w:t>（</w:t>
      </w:r>
      <w:r>
        <w:rPr>
          <w:rStyle w:val="95"/>
          <w:sz w:val="24"/>
        </w:rPr>
        <w:t>6</w:t>
      </w:r>
      <w:r>
        <w:rPr>
          <w:rStyle w:val="95"/>
          <w:rFonts w:hint="eastAsia"/>
          <w:sz w:val="24"/>
        </w:rPr>
        <w:t>）项目</w:t>
      </w:r>
      <w:r>
        <w:rPr>
          <w:rStyle w:val="95"/>
          <w:rFonts w:hint="eastAsia"/>
          <w:sz w:val="24"/>
          <w:lang w:eastAsia="zh-CN"/>
        </w:rPr>
        <w:t>技术负责人</w:t>
      </w:r>
      <w:r>
        <w:rPr>
          <w:rStyle w:val="95"/>
          <w:rFonts w:hint="eastAsia"/>
          <w:sz w:val="24"/>
        </w:rPr>
        <w:t>要求：见投标人须知前附表；</w:t>
      </w:r>
    </w:p>
    <w:p w14:paraId="365EA32A">
      <w:pPr>
        <w:spacing w:line="460" w:lineRule="exact"/>
        <w:ind w:firstLine="480" w:firstLineChars="200"/>
        <w:rPr>
          <w:rStyle w:val="95"/>
          <w:sz w:val="24"/>
        </w:rPr>
      </w:pPr>
      <w:r>
        <w:rPr>
          <w:rStyle w:val="95"/>
          <w:rFonts w:hint="eastAsia"/>
          <w:sz w:val="24"/>
        </w:rPr>
        <w:t>（</w:t>
      </w:r>
      <w:r>
        <w:rPr>
          <w:rStyle w:val="95"/>
          <w:sz w:val="24"/>
        </w:rPr>
        <w:t>7</w:t>
      </w:r>
      <w:r>
        <w:rPr>
          <w:rStyle w:val="95"/>
          <w:rFonts w:hint="eastAsia"/>
          <w:sz w:val="24"/>
        </w:rPr>
        <w:t>）项目管理机构及人员要求：见投标人须知前附表。</w:t>
      </w:r>
    </w:p>
    <w:p w14:paraId="43E95471">
      <w:pPr>
        <w:spacing w:line="460" w:lineRule="exact"/>
        <w:ind w:firstLine="480"/>
        <w:rPr>
          <w:rStyle w:val="95"/>
          <w:sz w:val="24"/>
        </w:rPr>
      </w:pPr>
      <w:r>
        <w:rPr>
          <w:rStyle w:val="95"/>
          <w:sz w:val="24"/>
        </w:rPr>
        <w:t xml:space="preserve">1.4.2 </w:t>
      </w:r>
      <w:r>
        <w:rPr>
          <w:rStyle w:val="95"/>
          <w:rFonts w:hint="eastAsia"/>
          <w:sz w:val="24"/>
        </w:rPr>
        <w:t>联合体投标的，除应符合投标人须知前附表的要求外，还应遵守以下规定：</w:t>
      </w:r>
    </w:p>
    <w:p w14:paraId="6042C835">
      <w:pPr>
        <w:spacing w:line="460" w:lineRule="exact"/>
        <w:ind w:firstLine="480"/>
        <w:rPr>
          <w:rStyle w:val="95"/>
          <w:sz w:val="24"/>
        </w:rPr>
      </w:pPr>
      <w:r>
        <w:rPr>
          <w:rStyle w:val="95"/>
          <w:rFonts w:hint="eastAsia"/>
          <w:sz w:val="24"/>
        </w:rPr>
        <w:t>（</w:t>
      </w:r>
      <w:r>
        <w:rPr>
          <w:rStyle w:val="95"/>
          <w:sz w:val="24"/>
        </w:rPr>
        <w:t>1</w:t>
      </w:r>
      <w:r>
        <w:rPr>
          <w:rStyle w:val="95"/>
          <w:rFonts w:hint="eastAsia"/>
          <w:sz w:val="24"/>
        </w:rPr>
        <w:t>）联合体各方应按招标文件提供的格式签订联合体协议书，明确联合体牵头人和各方权利义务；</w:t>
      </w:r>
    </w:p>
    <w:p w14:paraId="6E9B2E5E">
      <w:pPr>
        <w:spacing w:line="460" w:lineRule="exact"/>
        <w:ind w:firstLine="480"/>
        <w:rPr>
          <w:rStyle w:val="95"/>
          <w:sz w:val="24"/>
        </w:rPr>
      </w:pPr>
      <w:r>
        <w:rPr>
          <w:rStyle w:val="95"/>
          <w:rFonts w:hint="eastAsia"/>
          <w:sz w:val="24"/>
        </w:rPr>
        <w:t>（</w:t>
      </w:r>
      <w:r>
        <w:rPr>
          <w:rStyle w:val="95"/>
          <w:sz w:val="24"/>
        </w:rPr>
        <w:t>2</w:t>
      </w:r>
      <w:r>
        <w:rPr>
          <w:rStyle w:val="95"/>
          <w:rFonts w:hint="eastAsia"/>
          <w:sz w:val="24"/>
        </w:rPr>
        <w:t>）由同一专业的单位组成的联合体，按照资质等级较低的单位确定资质等级；</w:t>
      </w:r>
    </w:p>
    <w:p w14:paraId="06349152">
      <w:pPr>
        <w:spacing w:line="460" w:lineRule="exact"/>
        <w:ind w:firstLine="480" w:firstLineChars="200"/>
        <w:rPr>
          <w:rStyle w:val="95"/>
          <w:sz w:val="24"/>
        </w:rPr>
      </w:pPr>
      <w:r>
        <w:rPr>
          <w:rStyle w:val="95"/>
          <w:rFonts w:hint="eastAsia"/>
          <w:sz w:val="24"/>
        </w:rPr>
        <w:t>（</w:t>
      </w:r>
      <w:r>
        <w:rPr>
          <w:rStyle w:val="95"/>
          <w:sz w:val="24"/>
        </w:rPr>
        <w:t>3</w:t>
      </w:r>
      <w:r>
        <w:rPr>
          <w:rStyle w:val="95"/>
          <w:rFonts w:hint="eastAsia"/>
          <w:sz w:val="24"/>
        </w:rPr>
        <w:t>）联合体各方不得再以自己名义单独或组成新的联合体在同一标段或者未划分标段的同一招标项目中投标。</w:t>
      </w:r>
    </w:p>
    <w:p w14:paraId="73A32A5B">
      <w:pPr>
        <w:spacing w:line="460" w:lineRule="exact"/>
        <w:ind w:firstLine="480" w:firstLineChars="200"/>
        <w:rPr>
          <w:rStyle w:val="95"/>
          <w:sz w:val="24"/>
        </w:rPr>
      </w:pPr>
      <w:r>
        <w:rPr>
          <w:rStyle w:val="95"/>
          <w:sz w:val="24"/>
        </w:rPr>
        <w:t xml:space="preserve">1.4.3 </w:t>
      </w:r>
      <w:r>
        <w:rPr>
          <w:rStyle w:val="95"/>
          <w:rFonts w:hint="eastAsia"/>
          <w:sz w:val="24"/>
        </w:rPr>
        <w:t>投标人不得存在下列情形之一，否则其投标将被否决：</w:t>
      </w:r>
    </w:p>
    <w:p w14:paraId="65A7605A">
      <w:pPr>
        <w:spacing w:line="460" w:lineRule="exact"/>
        <w:ind w:firstLine="480" w:firstLineChars="200"/>
        <w:rPr>
          <w:rStyle w:val="95"/>
          <w:sz w:val="24"/>
        </w:rPr>
      </w:pPr>
      <w:r>
        <w:rPr>
          <w:rStyle w:val="95"/>
          <w:rFonts w:hint="eastAsia"/>
          <w:sz w:val="24"/>
        </w:rPr>
        <w:t>（</w:t>
      </w:r>
      <w:r>
        <w:rPr>
          <w:rStyle w:val="95"/>
          <w:sz w:val="24"/>
        </w:rPr>
        <w:t>1</w:t>
      </w:r>
      <w:r>
        <w:rPr>
          <w:rStyle w:val="95"/>
          <w:rFonts w:hint="eastAsia"/>
          <w:sz w:val="24"/>
        </w:rPr>
        <w:t>）投标人为不具有独立法人资格的附属机构或者单位的；</w:t>
      </w:r>
    </w:p>
    <w:p w14:paraId="2ADD61FF">
      <w:pPr>
        <w:spacing w:line="460" w:lineRule="exact"/>
        <w:ind w:firstLine="480" w:firstLineChars="200"/>
        <w:rPr>
          <w:rStyle w:val="95"/>
          <w:sz w:val="24"/>
        </w:rPr>
      </w:pPr>
      <w:r>
        <w:rPr>
          <w:rStyle w:val="95"/>
          <w:rFonts w:hint="eastAsia"/>
          <w:sz w:val="24"/>
        </w:rPr>
        <w:t>（</w:t>
      </w:r>
      <w:r>
        <w:rPr>
          <w:rStyle w:val="95"/>
          <w:sz w:val="24"/>
        </w:rPr>
        <w:t>2</w:t>
      </w:r>
      <w:r>
        <w:rPr>
          <w:rStyle w:val="95"/>
          <w:rFonts w:hint="eastAsia"/>
          <w:sz w:val="24"/>
        </w:rPr>
        <w:t>）投标人为本次招标项目的代建单位、项目管理单位、监理单位、造价咨询单位或招标代理单位的；</w:t>
      </w:r>
    </w:p>
    <w:p w14:paraId="0F7D943E">
      <w:pPr>
        <w:spacing w:line="460" w:lineRule="exact"/>
        <w:ind w:firstLine="480" w:firstLineChars="200"/>
        <w:rPr>
          <w:rStyle w:val="95"/>
          <w:sz w:val="24"/>
        </w:rPr>
      </w:pPr>
      <w:r>
        <w:rPr>
          <w:rStyle w:val="95"/>
          <w:rFonts w:hint="eastAsia"/>
          <w:sz w:val="24"/>
        </w:rPr>
        <w:t>（</w:t>
      </w:r>
      <w:r>
        <w:rPr>
          <w:rStyle w:val="95"/>
          <w:sz w:val="24"/>
        </w:rPr>
        <w:t>3</w:t>
      </w:r>
      <w:r>
        <w:rPr>
          <w:rStyle w:val="95"/>
          <w:rFonts w:hint="eastAsia"/>
          <w:sz w:val="24"/>
        </w:rPr>
        <w:t>）投标人与本次招标项目的</w:t>
      </w:r>
      <w:r>
        <w:rPr>
          <w:rFonts w:hint="eastAsia"/>
          <w:sz w:val="24"/>
        </w:rPr>
        <w:t>代建单位、项目管理单位、监理单位、造价咨询单位或招标代理单位</w:t>
      </w:r>
      <w:r>
        <w:rPr>
          <w:rStyle w:val="95"/>
          <w:rFonts w:hint="eastAsia"/>
          <w:sz w:val="24"/>
        </w:rPr>
        <w:t>同为一个法定代表人、相互控股或参股、相互任职的；</w:t>
      </w:r>
    </w:p>
    <w:p w14:paraId="22C87C2B">
      <w:pPr>
        <w:spacing w:line="460" w:lineRule="exact"/>
        <w:ind w:firstLine="480" w:firstLineChars="200"/>
        <w:rPr>
          <w:rStyle w:val="95"/>
          <w:sz w:val="24"/>
        </w:rPr>
      </w:pPr>
      <w:r>
        <w:rPr>
          <w:rStyle w:val="95"/>
          <w:rFonts w:hint="eastAsia"/>
          <w:sz w:val="24"/>
        </w:rPr>
        <w:t>（</w:t>
      </w:r>
      <w:r>
        <w:rPr>
          <w:rStyle w:val="95"/>
          <w:sz w:val="24"/>
        </w:rPr>
        <w:t>4</w:t>
      </w:r>
      <w:r>
        <w:rPr>
          <w:rStyle w:val="95"/>
          <w:rFonts w:hint="eastAsia"/>
          <w:sz w:val="24"/>
        </w:rPr>
        <w:t>）政府投资项目，投标人为</w:t>
      </w:r>
      <w:r>
        <w:rPr>
          <w:rFonts w:hint="eastAsia"/>
          <w:sz w:val="24"/>
        </w:rPr>
        <w:t>本次招标项目的</w:t>
      </w:r>
      <w:r>
        <w:rPr>
          <w:rStyle w:val="95"/>
          <w:rFonts w:hint="eastAsia"/>
          <w:sz w:val="24"/>
        </w:rPr>
        <w:t>项目建议书、可行性研究报告、初步设计文件编制单位及其评估单位的。政府投资项目招标人公开已经完成的项目建议书、可行性研究报告、初步设计文件的，上述单位可以参与该工程总承包项目的投标，经依法评标、定标，成为工程总承包单位；</w:t>
      </w:r>
    </w:p>
    <w:p w14:paraId="717C99E4">
      <w:pPr>
        <w:spacing w:line="460" w:lineRule="exact"/>
        <w:ind w:firstLine="480" w:firstLineChars="200"/>
        <w:rPr>
          <w:rStyle w:val="95"/>
          <w:sz w:val="24"/>
        </w:rPr>
      </w:pPr>
      <w:r>
        <w:rPr>
          <w:rStyle w:val="95"/>
          <w:rFonts w:hint="eastAsia"/>
          <w:sz w:val="24"/>
        </w:rPr>
        <w:t>（</w:t>
      </w:r>
      <w:r>
        <w:rPr>
          <w:rStyle w:val="95"/>
          <w:sz w:val="24"/>
        </w:rPr>
        <w:t>5</w:t>
      </w:r>
      <w:r>
        <w:rPr>
          <w:rStyle w:val="95"/>
          <w:rFonts w:hint="eastAsia"/>
          <w:sz w:val="24"/>
        </w:rPr>
        <w:t>）投标人被责令停业、</w:t>
      </w:r>
      <w:r>
        <w:rPr>
          <w:rFonts w:hint="eastAsia"/>
          <w:sz w:val="24"/>
        </w:rPr>
        <w:t>、暂停或取消投标资格、</w:t>
      </w:r>
      <w:r>
        <w:rPr>
          <w:rStyle w:val="95"/>
          <w:rFonts w:hint="eastAsia"/>
          <w:sz w:val="24"/>
        </w:rPr>
        <w:t>财产被接管或冻结的，尚在处罚期限内的；</w:t>
      </w:r>
    </w:p>
    <w:p w14:paraId="303C64B0">
      <w:pPr>
        <w:spacing w:line="460" w:lineRule="exact"/>
        <w:ind w:firstLine="480" w:firstLineChars="200"/>
        <w:rPr>
          <w:rStyle w:val="95"/>
          <w:sz w:val="24"/>
        </w:rPr>
      </w:pPr>
      <w:r>
        <w:rPr>
          <w:rStyle w:val="95"/>
          <w:rFonts w:hint="eastAsia"/>
          <w:sz w:val="24"/>
        </w:rPr>
        <w:t>（</w:t>
      </w:r>
      <w:r>
        <w:rPr>
          <w:rStyle w:val="95"/>
          <w:sz w:val="24"/>
        </w:rPr>
        <w:t>6</w:t>
      </w:r>
      <w:r>
        <w:rPr>
          <w:rStyle w:val="95"/>
          <w:rFonts w:hint="eastAsia"/>
          <w:sz w:val="24"/>
        </w:rPr>
        <w:t>）投标人有串通投标、骗取中标、严重违约或者发生过重大质量安全事故，在全国建筑市场监管公共服务平台、山西省建筑市场公共服务平台中被列入建筑市场主体</w:t>
      </w:r>
      <w:r>
        <w:rPr>
          <w:rStyle w:val="95"/>
          <w:sz w:val="24"/>
        </w:rPr>
        <w:t>“</w:t>
      </w:r>
      <w:r>
        <w:rPr>
          <w:rStyle w:val="95"/>
          <w:rFonts w:hint="eastAsia"/>
          <w:sz w:val="24"/>
        </w:rPr>
        <w:t>黑名单</w:t>
      </w:r>
      <w:r>
        <w:rPr>
          <w:rStyle w:val="95"/>
          <w:sz w:val="24"/>
        </w:rPr>
        <w:t>”</w:t>
      </w:r>
      <w:r>
        <w:rPr>
          <w:rStyle w:val="95"/>
          <w:rFonts w:hint="eastAsia"/>
          <w:sz w:val="24"/>
        </w:rPr>
        <w:t>，且处于限制投标期内的；</w:t>
      </w:r>
    </w:p>
    <w:p w14:paraId="6F65F094">
      <w:pPr>
        <w:spacing w:line="460" w:lineRule="exact"/>
        <w:ind w:firstLine="480" w:firstLineChars="200"/>
        <w:rPr>
          <w:rStyle w:val="95"/>
          <w:sz w:val="24"/>
        </w:rPr>
      </w:pPr>
      <w:r>
        <w:rPr>
          <w:rStyle w:val="95"/>
          <w:rFonts w:hint="eastAsia"/>
          <w:sz w:val="24"/>
        </w:rPr>
        <w:t>（</w:t>
      </w:r>
      <w:r>
        <w:rPr>
          <w:rStyle w:val="95"/>
          <w:sz w:val="24"/>
        </w:rPr>
        <w:t>7</w:t>
      </w:r>
      <w:r>
        <w:rPr>
          <w:rStyle w:val="95"/>
          <w:rFonts w:hint="eastAsia"/>
          <w:sz w:val="24"/>
        </w:rPr>
        <w:t>）投标人未按招标文件规定提交投标保证金的；</w:t>
      </w:r>
    </w:p>
    <w:p w14:paraId="022CCC5D">
      <w:pPr>
        <w:spacing w:line="460" w:lineRule="exact"/>
        <w:ind w:firstLine="480" w:firstLineChars="200"/>
        <w:rPr>
          <w:rStyle w:val="95"/>
          <w:sz w:val="24"/>
        </w:rPr>
      </w:pPr>
      <w:r>
        <w:rPr>
          <w:rStyle w:val="95"/>
          <w:rFonts w:hint="eastAsia"/>
          <w:sz w:val="24"/>
        </w:rPr>
        <w:t>（</w:t>
      </w:r>
      <w:r>
        <w:rPr>
          <w:rStyle w:val="95"/>
          <w:sz w:val="24"/>
        </w:rPr>
        <w:t>8</w:t>
      </w:r>
      <w:r>
        <w:rPr>
          <w:rStyle w:val="95"/>
          <w:rFonts w:hint="eastAsia"/>
          <w:sz w:val="24"/>
        </w:rPr>
        <w:t>）</w:t>
      </w:r>
      <w:r>
        <w:rPr>
          <w:rFonts w:hint="eastAsia"/>
          <w:sz w:val="24"/>
        </w:rPr>
        <w:t>注册建筑师</w:t>
      </w:r>
      <w:r>
        <w:rPr>
          <w:sz w:val="24"/>
        </w:rPr>
        <w:t>/</w:t>
      </w:r>
      <w:r>
        <w:rPr>
          <w:rFonts w:hint="eastAsia"/>
          <w:sz w:val="24"/>
        </w:rPr>
        <w:t>勘察设计注册工程师</w:t>
      </w:r>
      <w:r>
        <w:rPr>
          <w:sz w:val="24"/>
        </w:rPr>
        <w:t>/</w:t>
      </w:r>
      <w:r>
        <w:rPr>
          <w:rFonts w:hint="eastAsia"/>
          <w:sz w:val="24"/>
        </w:rPr>
        <w:t>注册监理工程师担任项目经理，同时在两个或者两个以上工程项目担任工程总承包项目经理、施工项目负责人的；项目班子中施工类人员有在建工程</w:t>
      </w:r>
      <w:r>
        <w:rPr>
          <w:rFonts w:hint="eastAsia"/>
          <w:b/>
          <w:bCs/>
          <w:color w:val="FF0000"/>
          <w:sz w:val="24"/>
          <w:lang w:eastAsia="zh-CN"/>
        </w:rPr>
        <w:t>且不符合现有规定</w:t>
      </w:r>
      <w:r>
        <w:rPr>
          <w:rFonts w:hint="eastAsia"/>
          <w:sz w:val="24"/>
        </w:rPr>
        <w:t>的。</w:t>
      </w:r>
    </w:p>
    <w:p w14:paraId="27C8F844">
      <w:pPr>
        <w:spacing w:line="460" w:lineRule="exact"/>
        <w:ind w:firstLine="480" w:firstLineChars="200"/>
        <w:rPr>
          <w:rStyle w:val="95"/>
          <w:sz w:val="24"/>
        </w:rPr>
      </w:pPr>
      <w:r>
        <w:rPr>
          <w:rStyle w:val="95"/>
          <w:rFonts w:hint="eastAsia"/>
          <w:sz w:val="24"/>
        </w:rPr>
        <w:t>（</w:t>
      </w:r>
      <w:r>
        <w:rPr>
          <w:rStyle w:val="95"/>
          <w:sz w:val="24"/>
        </w:rPr>
        <w:t>9</w:t>
      </w:r>
      <w:r>
        <w:rPr>
          <w:rStyle w:val="95"/>
          <w:rFonts w:hint="eastAsia"/>
          <w:sz w:val="24"/>
        </w:rPr>
        <w:t>）法律法规规定的其它情形。</w:t>
      </w:r>
    </w:p>
    <w:p w14:paraId="407FF89D">
      <w:pPr>
        <w:pStyle w:val="892"/>
        <w:spacing w:line="460" w:lineRule="exact"/>
        <w:rPr>
          <w:rStyle w:val="95"/>
          <w:rFonts w:eastAsia="宋体"/>
          <w:szCs w:val="24"/>
        </w:rPr>
      </w:pPr>
      <w:r>
        <w:rPr>
          <w:rStyle w:val="95"/>
          <w:rFonts w:eastAsia="宋体"/>
          <w:szCs w:val="24"/>
        </w:rPr>
        <w:t xml:space="preserve">1.5 </w:t>
      </w:r>
      <w:r>
        <w:rPr>
          <w:rStyle w:val="95"/>
          <w:rFonts w:hint="eastAsia" w:eastAsia="宋体"/>
          <w:szCs w:val="24"/>
        </w:rPr>
        <w:t>费用承担和设计成果补偿</w:t>
      </w:r>
    </w:p>
    <w:p w14:paraId="2C1163CC">
      <w:pPr>
        <w:spacing w:line="460" w:lineRule="exact"/>
        <w:ind w:firstLine="480" w:firstLineChars="200"/>
        <w:rPr>
          <w:rStyle w:val="95"/>
          <w:sz w:val="24"/>
        </w:rPr>
      </w:pPr>
      <w:r>
        <w:rPr>
          <w:rStyle w:val="95"/>
          <w:sz w:val="24"/>
        </w:rPr>
        <w:t xml:space="preserve">1.5.1 </w:t>
      </w:r>
      <w:r>
        <w:rPr>
          <w:rStyle w:val="95"/>
          <w:rFonts w:hint="eastAsia"/>
          <w:sz w:val="24"/>
        </w:rPr>
        <w:t>投标人准备和参加投标活动发生的费用自理。</w:t>
      </w:r>
    </w:p>
    <w:p w14:paraId="256D84CC">
      <w:pPr>
        <w:spacing w:line="460" w:lineRule="exact"/>
        <w:ind w:firstLine="480" w:firstLineChars="200"/>
        <w:rPr>
          <w:rStyle w:val="95"/>
          <w:sz w:val="24"/>
        </w:rPr>
      </w:pPr>
      <w:r>
        <w:rPr>
          <w:rStyle w:val="95"/>
          <w:sz w:val="24"/>
        </w:rPr>
        <w:t xml:space="preserve">1.5.2 </w:t>
      </w:r>
      <w:r>
        <w:rPr>
          <w:rStyle w:val="95"/>
          <w:rFonts w:hint="eastAsia"/>
          <w:sz w:val="24"/>
        </w:rPr>
        <w:t>招标人对符合招标文件规定的未中标人的设计成果进行补偿的，按投标人须知前附表规定给予补偿，并有权免费使用未中标人设计成果。</w:t>
      </w:r>
    </w:p>
    <w:p w14:paraId="533D28F6">
      <w:pPr>
        <w:pStyle w:val="892"/>
        <w:spacing w:line="460" w:lineRule="exact"/>
        <w:rPr>
          <w:rStyle w:val="95"/>
          <w:rFonts w:eastAsia="宋体"/>
          <w:szCs w:val="24"/>
        </w:rPr>
      </w:pPr>
      <w:r>
        <w:rPr>
          <w:rStyle w:val="95"/>
          <w:rFonts w:eastAsia="宋体"/>
          <w:szCs w:val="24"/>
        </w:rPr>
        <w:t xml:space="preserve">1.6 </w:t>
      </w:r>
      <w:r>
        <w:rPr>
          <w:rStyle w:val="95"/>
          <w:rFonts w:hint="eastAsia" w:eastAsia="宋体"/>
          <w:szCs w:val="24"/>
        </w:rPr>
        <w:t>保密</w:t>
      </w:r>
    </w:p>
    <w:p w14:paraId="14D68F21">
      <w:pPr>
        <w:spacing w:line="460" w:lineRule="exact"/>
        <w:ind w:firstLine="480" w:firstLineChars="200"/>
        <w:rPr>
          <w:rStyle w:val="95"/>
          <w:sz w:val="24"/>
        </w:rPr>
      </w:pPr>
      <w:r>
        <w:rPr>
          <w:rStyle w:val="95"/>
          <w:rFonts w:hint="eastAsia"/>
          <w:sz w:val="24"/>
        </w:rPr>
        <w:t>参与招标投标活动的各方应对招标文件和投标文件中的商业和技术等秘密保密，违者应对由此造成的后果承担法律责任。</w:t>
      </w:r>
      <w:r>
        <w:rPr>
          <w:rStyle w:val="95"/>
          <w:sz w:val="24"/>
        </w:rPr>
        <w:t xml:space="preserve"> </w:t>
      </w:r>
    </w:p>
    <w:p w14:paraId="7BC66EB2">
      <w:pPr>
        <w:pStyle w:val="892"/>
        <w:spacing w:line="460" w:lineRule="exact"/>
        <w:rPr>
          <w:rStyle w:val="95"/>
          <w:rFonts w:eastAsia="宋体"/>
          <w:szCs w:val="24"/>
        </w:rPr>
      </w:pPr>
      <w:r>
        <w:rPr>
          <w:rStyle w:val="95"/>
          <w:rFonts w:eastAsia="宋体"/>
          <w:szCs w:val="24"/>
        </w:rPr>
        <w:t xml:space="preserve">1.7 </w:t>
      </w:r>
      <w:r>
        <w:rPr>
          <w:rStyle w:val="95"/>
          <w:rFonts w:hint="eastAsia" w:eastAsia="宋体"/>
          <w:szCs w:val="24"/>
        </w:rPr>
        <w:t>语言文字</w:t>
      </w:r>
    </w:p>
    <w:p w14:paraId="55B2BC4D">
      <w:pPr>
        <w:spacing w:line="460" w:lineRule="exact"/>
        <w:ind w:firstLine="480" w:firstLineChars="200"/>
        <w:rPr>
          <w:rStyle w:val="95"/>
          <w:sz w:val="24"/>
        </w:rPr>
      </w:pPr>
      <w:r>
        <w:rPr>
          <w:rStyle w:val="95"/>
          <w:rFonts w:hint="eastAsia"/>
          <w:sz w:val="24"/>
        </w:rPr>
        <w:t>除专用术语外，与招标投标有关的语言均使用中文。必要时专用术语应附有中文注释。</w:t>
      </w:r>
    </w:p>
    <w:p w14:paraId="188F9967">
      <w:pPr>
        <w:pStyle w:val="892"/>
        <w:spacing w:line="460" w:lineRule="exact"/>
        <w:rPr>
          <w:rStyle w:val="95"/>
          <w:rFonts w:eastAsia="宋体"/>
          <w:szCs w:val="24"/>
        </w:rPr>
      </w:pPr>
      <w:r>
        <w:rPr>
          <w:rStyle w:val="95"/>
          <w:rFonts w:eastAsia="宋体"/>
          <w:szCs w:val="24"/>
        </w:rPr>
        <w:t xml:space="preserve">1.8 </w:t>
      </w:r>
      <w:r>
        <w:rPr>
          <w:rStyle w:val="95"/>
          <w:rFonts w:hint="eastAsia" w:eastAsia="宋体"/>
          <w:szCs w:val="24"/>
        </w:rPr>
        <w:t>计量单位</w:t>
      </w:r>
    </w:p>
    <w:p w14:paraId="06B055C2">
      <w:pPr>
        <w:spacing w:line="460" w:lineRule="exact"/>
        <w:ind w:firstLine="480" w:firstLineChars="200"/>
        <w:rPr>
          <w:rStyle w:val="95"/>
          <w:sz w:val="24"/>
        </w:rPr>
      </w:pPr>
      <w:r>
        <w:rPr>
          <w:rStyle w:val="95"/>
          <w:rFonts w:hint="eastAsia"/>
          <w:sz w:val="24"/>
        </w:rPr>
        <w:t>所有计量均采用中华人民共和国法定计量单位。</w:t>
      </w:r>
    </w:p>
    <w:p w14:paraId="7172FE73">
      <w:pPr>
        <w:pStyle w:val="892"/>
        <w:spacing w:line="460" w:lineRule="exact"/>
        <w:rPr>
          <w:rStyle w:val="95"/>
          <w:rFonts w:eastAsia="宋体"/>
          <w:szCs w:val="24"/>
        </w:rPr>
      </w:pPr>
      <w:r>
        <w:rPr>
          <w:rStyle w:val="95"/>
          <w:rFonts w:eastAsia="宋体"/>
          <w:szCs w:val="24"/>
        </w:rPr>
        <w:t xml:space="preserve">1.9 </w:t>
      </w:r>
      <w:r>
        <w:rPr>
          <w:rStyle w:val="95"/>
          <w:rFonts w:hint="eastAsia" w:eastAsia="宋体"/>
          <w:szCs w:val="24"/>
        </w:rPr>
        <w:t>踏勘现场</w:t>
      </w:r>
    </w:p>
    <w:p w14:paraId="1E1B417D">
      <w:pPr>
        <w:spacing w:line="460" w:lineRule="exact"/>
        <w:ind w:firstLine="480" w:firstLineChars="200"/>
        <w:rPr>
          <w:rStyle w:val="95"/>
          <w:sz w:val="24"/>
        </w:rPr>
      </w:pPr>
      <w:r>
        <w:rPr>
          <w:rStyle w:val="95"/>
          <w:sz w:val="24"/>
        </w:rPr>
        <w:t xml:space="preserve">1.9.1 </w:t>
      </w:r>
      <w:r>
        <w:rPr>
          <w:rStyle w:val="95"/>
          <w:rFonts w:hint="eastAsia"/>
          <w:sz w:val="24"/>
        </w:rPr>
        <w:t>投标人须知前附表规定组织踏勘现场的，招标人按投标人须知前附表规定的时间、地点组织投标人踏勘项目现场。</w:t>
      </w:r>
      <w:r>
        <w:rPr>
          <w:rStyle w:val="95"/>
          <w:sz w:val="24"/>
        </w:rPr>
        <w:t xml:space="preserve"> </w:t>
      </w:r>
    </w:p>
    <w:p w14:paraId="618781E3">
      <w:pPr>
        <w:spacing w:line="460" w:lineRule="exact"/>
        <w:ind w:firstLine="480" w:firstLineChars="200"/>
        <w:rPr>
          <w:rStyle w:val="95"/>
          <w:sz w:val="24"/>
        </w:rPr>
      </w:pPr>
      <w:r>
        <w:rPr>
          <w:rStyle w:val="95"/>
          <w:sz w:val="24"/>
        </w:rPr>
        <w:t xml:space="preserve">1.9.2 </w:t>
      </w:r>
      <w:r>
        <w:rPr>
          <w:rStyle w:val="95"/>
          <w:rFonts w:hint="eastAsia"/>
          <w:sz w:val="24"/>
        </w:rPr>
        <w:t>投标人踏勘现场发生的费用自理。</w:t>
      </w:r>
    </w:p>
    <w:p w14:paraId="77E8A327">
      <w:pPr>
        <w:spacing w:line="460" w:lineRule="exact"/>
        <w:ind w:firstLine="480" w:firstLineChars="200"/>
        <w:rPr>
          <w:rStyle w:val="95"/>
          <w:sz w:val="24"/>
        </w:rPr>
      </w:pPr>
      <w:r>
        <w:rPr>
          <w:rStyle w:val="95"/>
          <w:sz w:val="24"/>
        </w:rPr>
        <w:t xml:space="preserve">1.9.3 </w:t>
      </w:r>
      <w:r>
        <w:rPr>
          <w:rStyle w:val="95"/>
          <w:rFonts w:hint="eastAsia"/>
          <w:sz w:val="24"/>
        </w:rPr>
        <w:t>除招标人的原因外，投标人自行负责在踏勘现场中所发生的人员伤亡和财产损失。</w:t>
      </w:r>
    </w:p>
    <w:p w14:paraId="7C1BC34E">
      <w:pPr>
        <w:spacing w:line="460" w:lineRule="exact"/>
        <w:ind w:firstLine="480" w:firstLineChars="200"/>
        <w:rPr>
          <w:rStyle w:val="95"/>
          <w:sz w:val="24"/>
        </w:rPr>
      </w:pPr>
      <w:r>
        <w:rPr>
          <w:rStyle w:val="95"/>
          <w:sz w:val="24"/>
        </w:rPr>
        <w:t xml:space="preserve">1.9.4 </w:t>
      </w:r>
      <w:r>
        <w:rPr>
          <w:rStyle w:val="95"/>
          <w:rFonts w:hint="eastAsia"/>
          <w:sz w:val="24"/>
        </w:rPr>
        <w:t>招标人在踏勘现场中介绍的工程场地和相关的周边环境情况，供投标人在编制投标文件时参考，招标人不对投标人据此作出的判断和决策负责。</w:t>
      </w:r>
    </w:p>
    <w:p w14:paraId="1D1A7B8D">
      <w:pPr>
        <w:pStyle w:val="892"/>
        <w:spacing w:line="460" w:lineRule="exact"/>
        <w:rPr>
          <w:rStyle w:val="95"/>
          <w:rFonts w:eastAsia="宋体"/>
          <w:szCs w:val="24"/>
        </w:rPr>
      </w:pPr>
      <w:r>
        <w:rPr>
          <w:rStyle w:val="95"/>
          <w:rFonts w:eastAsia="宋体"/>
          <w:szCs w:val="24"/>
        </w:rPr>
        <w:t xml:space="preserve">1.10 </w:t>
      </w:r>
      <w:r>
        <w:rPr>
          <w:rStyle w:val="95"/>
          <w:rFonts w:hint="eastAsia" w:eastAsia="宋体"/>
          <w:szCs w:val="24"/>
        </w:rPr>
        <w:t>投标预备会（不适用）</w:t>
      </w:r>
    </w:p>
    <w:p w14:paraId="3172C942">
      <w:pPr>
        <w:spacing w:line="460" w:lineRule="exact"/>
        <w:ind w:firstLine="480" w:firstLineChars="200"/>
        <w:rPr>
          <w:rStyle w:val="95"/>
          <w:sz w:val="24"/>
        </w:rPr>
      </w:pPr>
      <w:r>
        <w:rPr>
          <w:rStyle w:val="95"/>
          <w:sz w:val="24"/>
        </w:rPr>
        <w:t xml:space="preserve">1.10.1 </w:t>
      </w:r>
      <w:r>
        <w:rPr>
          <w:rStyle w:val="95"/>
          <w:rFonts w:hint="eastAsia"/>
          <w:sz w:val="24"/>
        </w:rPr>
        <w:t>投标人须知前附表规定召开投标预备会的，招标人按投标人须知前附表规定的时间和地点召开投标预备会，澄清投标人提出的问题。</w:t>
      </w:r>
    </w:p>
    <w:p w14:paraId="402122D2">
      <w:pPr>
        <w:spacing w:line="460" w:lineRule="exact"/>
        <w:ind w:firstLine="480" w:firstLineChars="200"/>
        <w:rPr>
          <w:rStyle w:val="95"/>
          <w:sz w:val="24"/>
        </w:rPr>
      </w:pPr>
      <w:r>
        <w:rPr>
          <w:rStyle w:val="95"/>
          <w:sz w:val="24"/>
        </w:rPr>
        <w:t xml:space="preserve">1.10.2 </w:t>
      </w:r>
      <w:r>
        <w:rPr>
          <w:rStyle w:val="95"/>
          <w:rFonts w:hint="eastAsia"/>
          <w:sz w:val="24"/>
        </w:rPr>
        <w:t>投标人应在投标人须知前附表规定的时间前，通过电子交易平台发送提出的异议，以便招标人在会议期间澄清。</w:t>
      </w:r>
    </w:p>
    <w:p w14:paraId="6559A363">
      <w:pPr>
        <w:spacing w:line="460" w:lineRule="exact"/>
        <w:ind w:firstLine="480" w:firstLineChars="200"/>
        <w:rPr>
          <w:rStyle w:val="95"/>
          <w:sz w:val="24"/>
        </w:rPr>
      </w:pPr>
      <w:r>
        <w:rPr>
          <w:rStyle w:val="95"/>
          <w:sz w:val="24"/>
        </w:rPr>
        <w:t xml:space="preserve">1.10.3 </w:t>
      </w:r>
      <w:r>
        <w:rPr>
          <w:rFonts w:hint="eastAsia"/>
          <w:sz w:val="24"/>
        </w:rPr>
        <w:t>投标预备会后，招标人在投标人须知前附表规定的时间内，将对投标人所提异议进行澄清，通过电子交易平台发布并短信通知所有下载招标文件的投标人，该澄清内容为招标文件的组成部分。</w:t>
      </w:r>
    </w:p>
    <w:p w14:paraId="76B1F71C">
      <w:pPr>
        <w:pStyle w:val="892"/>
        <w:spacing w:line="460" w:lineRule="exact"/>
        <w:rPr>
          <w:rStyle w:val="95"/>
          <w:rFonts w:eastAsia="宋体"/>
          <w:szCs w:val="24"/>
        </w:rPr>
      </w:pPr>
      <w:r>
        <w:rPr>
          <w:rStyle w:val="95"/>
          <w:rFonts w:eastAsia="宋体"/>
          <w:szCs w:val="24"/>
        </w:rPr>
        <w:t xml:space="preserve">1.11 </w:t>
      </w:r>
      <w:r>
        <w:rPr>
          <w:rStyle w:val="95"/>
          <w:rFonts w:hint="eastAsia" w:eastAsia="宋体"/>
          <w:szCs w:val="24"/>
        </w:rPr>
        <w:t>分包</w:t>
      </w:r>
    </w:p>
    <w:p w14:paraId="19EA0995">
      <w:pPr>
        <w:spacing w:line="460" w:lineRule="exact"/>
        <w:ind w:firstLine="480" w:firstLineChars="200"/>
        <w:rPr>
          <w:rStyle w:val="95"/>
          <w:sz w:val="24"/>
        </w:rPr>
      </w:pPr>
      <w:r>
        <w:rPr>
          <w:rStyle w:val="95"/>
          <w:rFonts w:hint="eastAsia"/>
          <w:sz w:val="24"/>
        </w:rPr>
        <w:t>投标人拟在中标后进行分包的，应符合投标人须知前附表规定的分包内容、分包方式、分包金额和接受分包的第三人资质要求等限制性条件。</w:t>
      </w:r>
    </w:p>
    <w:p w14:paraId="54EE6BDA">
      <w:pPr>
        <w:pStyle w:val="892"/>
        <w:spacing w:line="460" w:lineRule="exact"/>
        <w:rPr>
          <w:rStyle w:val="95"/>
          <w:rFonts w:eastAsia="宋体"/>
          <w:szCs w:val="24"/>
        </w:rPr>
      </w:pPr>
      <w:r>
        <w:rPr>
          <w:rStyle w:val="95"/>
          <w:rFonts w:eastAsia="宋体"/>
          <w:szCs w:val="24"/>
        </w:rPr>
        <w:t xml:space="preserve">1.12 </w:t>
      </w:r>
      <w:r>
        <w:rPr>
          <w:rStyle w:val="95"/>
          <w:rFonts w:hint="eastAsia" w:eastAsia="宋体"/>
          <w:szCs w:val="24"/>
        </w:rPr>
        <w:t>偏离</w:t>
      </w:r>
    </w:p>
    <w:p w14:paraId="6965267C">
      <w:pPr>
        <w:spacing w:line="460" w:lineRule="exact"/>
        <w:ind w:firstLine="530" w:firstLineChars="221"/>
        <w:rPr>
          <w:rStyle w:val="95"/>
          <w:sz w:val="24"/>
        </w:rPr>
      </w:pPr>
      <w:r>
        <w:rPr>
          <w:rStyle w:val="95"/>
          <w:rFonts w:hint="eastAsia"/>
          <w:sz w:val="24"/>
        </w:rPr>
        <w:t>投标人须知前附表允许投标文件偏离招标文件某些要求的，偏离应当符合招标文件规定的偏离范围和幅度。</w:t>
      </w:r>
    </w:p>
    <w:p w14:paraId="66CE2999">
      <w:pPr>
        <w:pStyle w:val="592"/>
        <w:spacing w:before="0" w:line="460" w:lineRule="exact"/>
        <w:rPr>
          <w:rStyle w:val="95"/>
          <w:rFonts w:eastAsia="宋体"/>
          <w:sz w:val="24"/>
          <w:szCs w:val="24"/>
        </w:rPr>
      </w:pPr>
      <w:r>
        <w:rPr>
          <w:rStyle w:val="95"/>
          <w:rFonts w:eastAsia="宋体"/>
          <w:sz w:val="24"/>
          <w:szCs w:val="24"/>
        </w:rPr>
        <w:t xml:space="preserve">2. </w:t>
      </w:r>
      <w:r>
        <w:rPr>
          <w:rStyle w:val="95"/>
          <w:rFonts w:hint="eastAsia" w:eastAsia="宋体"/>
          <w:sz w:val="24"/>
          <w:szCs w:val="24"/>
        </w:rPr>
        <w:t>招标文件</w:t>
      </w:r>
    </w:p>
    <w:p w14:paraId="258D2200">
      <w:pPr>
        <w:pStyle w:val="892"/>
        <w:spacing w:line="460" w:lineRule="exact"/>
        <w:rPr>
          <w:rStyle w:val="95"/>
          <w:rFonts w:eastAsia="宋体"/>
          <w:szCs w:val="24"/>
        </w:rPr>
      </w:pPr>
      <w:r>
        <w:rPr>
          <w:rStyle w:val="95"/>
          <w:rFonts w:eastAsia="宋体"/>
          <w:szCs w:val="24"/>
        </w:rPr>
        <w:t xml:space="preserve">2.1 </w:t>
      </w:r>
      <w:r>
        <w:rPr>
          <w:rStyle w:val="95"/>
          <w:rFonts w:hint="eastAsia" w:eastAsia="宋体"/>
          <w:szCs w:val="24"/>
        </w:rPr>
        <w:t>招标文件的组成</w:t>
      </w:r>
    </w:p>
    <w:p w14:paraId="21261833">
      <w:pPr>
        <w:spacing w:line="460" w:lineRule="exact"/>
        <w:ind w:firstLine="420"/>
        <w:rPr>
          <w:rStyle w:val="95"/>
          <w:sz w:val="24"/>
        </w:rPr>
      </w:pPr>
      <w:r>
        <w:rPr>
          <w:rStyle w:val="95"/>
          <w:rFonts w:hint="eastAsia"/>
          <w:sz w:val="24"/>
        </w:rPr>
        <w:t>本招标文件包括：</w:t>
      </w:r>
    </w:p>
    <w:p w14:paraId="12BBB2C6">
      <w:pPr>
        <w:spacing w:line="460" w:lineRule="exact"/>
        <w:ind w:firstLine="420"/>
        <w:rPr>
          <w:rStyle w:val="95"/>
          <w:b/>
          <w:sz w:val="24"/>
        </w:rPr>
      </w:pPr>
      <w:r>
        <w:rPr>
          <w:rStyle w:val="95"/>
          <w:rFonts w:hint="eastAsia"/>
          <w:b/>
          <w:sz w:val="24"/>
        </w:rPr>
        <w:t>第一卷</w:t>
      </w:r>
      <w:r>
        <w:rPr>
          <w:rStyle w:val="95"/>
          <w:b/>
          <w:sz w:val="24"/>
        </w:rPr>
        <w:t xml:space="preserve"> </w:t>
      </w:r>
      <w:r>
        <w:rPr>
          <w:rStyle w:val="95"/>
          <w:rFonts w:hint="eastAsia"/>
          <w:b/>
          <w:sz w:val="24"/>
        </w:rPr>
        <w:t>商务文件</w:t>
      </w:r>
    </w:p>
    <w:p w14:paraId="34A685A2">
      <w:pPr>
        <w:spacing w:line="460" w:lineRule="exact"/>
        <w:ind w:firstLine="720" w:firstLineChars="300"/>
        <w:rPr>
          <w:rStyle w:val="95"/>
          <w:sz w:val="24"/>
        </w:rPr>
      </w:pPr>
      <w:r>
        <w:rPr>
          <w:rStyle w:val="95"/>
          <w:rFonts w:hint="eastAsia"/>
          <w:sz w:val="24"/>
        </w:rPr>
        <w:t>第一章</w:t>
      </w:r>
      <w:r>
        <w:rPr>
          <w:rStyle w:val="95"/>
          <w:sz w:val="24"/>
        </w:rPr>
        <w:t xml:space="preserve"> </w:t>
      </w:r>
      <w:r>
        <w:rPr>
          <w:rStyle w:val="95"/>
          <w:rFonts w:hint="eastAsia"/>
          <w:sz w:val="24"/>
        </w:rPr>
        <w:t>招标公告</w:t>
      </w:r>
    </w:p>
    <w:p w14:paraId="5AD6308D">
      <w:pPr>
        <w:spacing w:line="460" w:lineRule="exact"/>
        <w:ind w:firstLine="720" w:firstLineChars="300"/>
        <w:rPr>
          <w:rStyle w:val="95"/>
          <w:sz w:val="24"/>
        </w:rPr>
      </w:pPr>
      <w:r>
        <w:rPr>
          <w:rStyle w:val="95"/>
          <w:rFonts w:hint="eastAsia"/>
          <w:sz w:val="24"/>
        </w:rPr>
        <w:t>第二章</w:t>
      </w:r>
      <w:r>
        <w:rPr>
          <w:rStyle w:val="95"/>
          <w:sz w:val="24"/>
        </w:rPr>
        <w:t xml:space="preserve"> </w:t>
      </w:r>
      <w:r>
        <w:rPr>
          <w:rStyle w:val="95"/>
          <w:rFonts w:hint="eastAsia"/>
          <w:sz w:val="24"/>
        </w:rPr>
        <w:t>投标人须知</w:t>
      </w:r>
    </w:p>
    <w:p w14:paraId="4A484215">
      <w:pPr>
        <w:spacing w:line="460" w:lineRule="exact"/>
        <w:ind w:firstLine="720" w:firstLineChars="300"/>
        <w:rPr>
          <w:rStyle w:val="95"/>
          <w:sz w:val="24"/>
        </w:rPr>
      </w:pPr>
      <w:r>
        <w:rPr>
          <w:rStyle w:val="95"/>
          <w:rFonts w:hint="eastAsia"/>
          <w:sz w:val="24"/>
        </w:rPr>
        <w:t>第三章</w:t>
      </w:r>
      <w:r>
        <w:rPr>
          <w:rStyle w:val="95"/>
          <w:sz w:val="24"/>
        </w:rPr>
        <w:t xml:space="preserve"> </w:t>
      </w:r>
      <w:r>
        <w:rPr>
          <w:rStyle w:val="95"/>
          <w:rFonts w:hint="eastAsia"/>
          <w:sz w:val="24"/>
        </w:rPr>
        <w:t>评标办法和标准</w:t>
      </w:r>
    </w:p>
    <w:p w14:paraId="388E710C">
      <w:pPr>
        <w:spacing w:line="460" w:lineRule="exact"/>
        <w:ind w:firstLine="720" w:firstLineChars="300"/>
        <w:rPr>
          <w:rStyle w:val="95"/>
          <w:sz w:val="24"/>
        </w:rPr>
      </w:pPr>
      <w:r>
        <w:rPr>
          <w:rStyle w:val="95"/>
          <w:rFonts w:hint="eastAsia"/>
          <w:sz w:val="24"/>
        </w:rPr>
        <w:t>第四章</w:t>
      </w:r>
      <w:r>
        <w:rPr>
          <w:rStyle w:val="95"/>
          <w:sz w:val="24"/>
        </w:rPr>
        <w:t xml:space="preserve"> </w:t>
      </w:r>
      <w:r>
        <w:rPr>
          <w:rStyle w:val="95"/>
          <w:rFonts w:hint="eastAsia"/>
          <w:sz w:val="24"/>
        </w:rPr>
        <w:t>合同条款及格式</w:t>
      </w:r>
    </w:p>
    <w:p w14:paraId="4B7A290C">
      <w:pPr>
        <w:spacing w:line="460" w:lineRule="exact"/>
        <w:ind w:firstLine="720" w:firstLineChars="300"/>
        <w:rPr>
          <w:rStyle w:val="95"/>
          <w:sz w:val="24"/>
        </w:rPr>
      </w:pPr>
      <w:r>
        <w:rPr>
          <w:rStyle w:val="95"/>
          <w:rFonts w:hint="eastAsia"/>
          <w:sz w:val="24"/>
        </w:rPr>
        <w:t>第五章</w:t>
      </w:r>
      <w:r>
        <w:rPr>
          <w:rStyle w:val="95"/>
          <w:sz w:val="24"/>
        </w:rPr>
        <w:t xml:space="preserve"> </w:t>
      </w:r>
      <w:r>
        <w:rPr>
          <w:rStyle w:val="95"/>
          <w:rFonts w:hint="eastAsia"/>
          <w:sz w:val="24"/>
        </w:rPr>
        <w:t>投标文件格式</w:t>
      </w:r>
    </w:p>
    <w:p w14:paraId="44D0EEC3">
      <w:pPr>
        <w:spacing w:line="460" w:lineRule="exact"/>
        <w:ind w:firstLine="482" w:firstLineChars="200"/>
        <w:rPr>
          <w:rStyle w:val="95"/>
          <w:b/>
          <w:sz w:val="24"/>
        </w:rPr>
      </w:pPr>
      <w:r>
        <w:rPr>
          <w:rStyle w:val="95"/>
          <w:rFonts w:hint="eastAsia"/>
          <w:b/>
          <w:sz w:val="24"/>
        </w:rPr>
        <w:t>第二卷</w:t>
      </w:r>
      <w:r>
        <w:rPr>
          <w:rStyle w:val="95"/>
          <w:b/>
          <w:sz w:val="24"/>
        </w:rPr>
        <w:t xml:space="preserve"> </w:t>
      </w:r>
      <w:r>
        <w:rPr>
          <w:rStyle w:val="95"/>
          <w:rFonts w:hint="eastAsia"/>
          <w:b/>
          <w:sz w:val="24"/>
        </w:rPr>
        <w:t>技术文件</w:t>
      </w:r>
    </w:p>
    <w:p w14:paraId="3A161A2B">
      <w:pPr>
        <w:spacing w:line="460" w:lineRule="exact"/>
        <w:ind w:firstLine="720" w:firstLineChars="300"/>
        <w:rPr>
          <w:rStyle w:val="95"/>
          <w:sz w:val="24"/>
        </w:rPr>
      </w:pPr>
      <w:r>
        <w:rPr>
          <w:rStyle w:val="95"/>
          <w:rFonts w:hint="eastAsia"/>
          <w:sz w:val="24"/>
        </w:rPr>
        <w:t>第一章</w:t>
      </w:r>
      <w:r>
        <w:rPr>
          <w:rStyle w:val="95"/>
          <w:sz w:val="24"/>
        </w:rPr>
        <w:t xml:space="preserve"> </w:t>
      </w:r>
      <w:r>
        <w:rPr>
          <w:rStyle w:val="95"/>
          <w:rFonts w:hint="eastAsia"/>
          <w:sz w:val="24"/>
        </w:rPr>
        <w:t>发包人要求</w:t>
      </w:r>
    </w:p>
    <w:p w14:paraId="04EA1883">
      <w:pPr>
        <w:spacing w:line="460" w:lineRule="exact"/>
        <w:ind w:firstLine="720" w:firstLineChars="300"/>
        <w:rPr>
          <w:rStyle w:val="95"/>
          <w:sz w:val="24"/>
        </w:rPr>
      </w:pPr>
      <w:r>
        <w:rPr>
          <w:rStyle w:val="95"/>
          <w:rFonts w:hint="eastAsia"/>
          <w:sz w:val="24"/>
        </w:rPr>
        <w:t>第二章</w:t>
      </w:r>
      <w:r>
        <w:rPr>
          <w:rStyle w:val="95"/>
          <w:sz w:val="24"/>
        </w:rPr>
        <w:t xml:space="preserve"> </w:t>
      </w:r>
      <w:r>
        <w:rPr>
          <w:rStyle w:val="95"/>
          <w:rFonts w:hint="eastAsia"/>
          <w:sz w:val="24"/>
        </w:rPr>
        <w:t>建设单位提供的资料和条件</w:t>
      </w:r>
    </w:p>
    <w:p w14:paraId="657801A3">
      <w:pPr>
        <w:spacing w:line="460" w:lineRule="exact"/>
        <w:ind w:firstLine="720" w:firstLineChars="300"/>
        <w:rPr>
          <w:rStyle w:val="95"/>
          <w:sz w:val="24"/>
        </w:rPr>
      </w:pPr>
      <w:r>
        <w:rPr>
          <w:rStyle w:val="95"/>
          <w:rFonts w:hint="eastAsia"/>
          <w:sz w:val="24"/>
        </w:rPr>
        <w:t>第三章</w:t>
      </w:r>
      <w:r>
        <w:rPr>
          <w:rStyle w:val="95"/>
          <w:sz w:val="24"/>
        </w:rPr>
        <w:t xml:space="preserve"> </w:t>
      </w:r>
      <w:r>
        <w:rPr>
          <w:rStyle w:val="95"/>
          <w:rFonts w:hint="eastAsia"/>
          <w:sz w:val="24"/>
        </w:rPr>
        <w:t>招标工程量清单</w:t>
      </w:r>
    </w:p>
    <w:p w14:paraId="3DC5656A">
      <w:pPr>
        <w:spacing w:line="460" w:lineRule="exact"/>
        <w:ind w:firstLine="720" w:firstLineChars="300"/>
        <w:rPr>
          <w:rStyle w:val="95"/>
          <w:sz w:val="24"/>
        </w:rPr>
      </w:pPr>
      <w:r>
        <w:rPr>
          <w:rStyle w:val="95"/>
          <w:rFonts w:hint="eastAsia"/>
          <w:sz w:val="24"/>
        </w:rPr>
        <w:t>第四章</w:t>
      </w:r>
      <w:r>
        <w:rPr>
          <w:rStyle w:val="95"/>
          <w:sz w:val="24"/>
        </w:rPr>
        <w:t xml:space="preserve"> </w:t>
      </w:r>
      <w:r>
        <w:rPr>
          <w:rFonts w:hint="eastAsia"/>
          <w:sz w:val="24"/>
        </w:rPr>
        <w:t>招标控制价</w:t>
      </w:r>
      <w:r>
        <w:rPr>
          <w:rStyle w:val="95"/>
          <w:rFonts w:hint="eastAsia"/>
          <w:sz w:val="24"/>
        </w:rPr>
        <w:t>（</w:t>
      </w:r>
      <w:r>
        <w:rPr>
          <w:rFonts w:hint="eastAsia"/>
          <w:sz w:val="24"/>
        </w:rPr>
        <w:t>最高投标限价</w:t>
      </w:r>
      <w:r>
        <w:rPr>
          <w:rStyle w:val="95"/>
          <w:rFonts w:hint="eastAsia"/>
          <w:sz w:val="24"/>
        </w:rPr>
        <w:t>）</w:t>
      </w:r>
    </w:p>
    <w:p w14:paraId="586B8046">
      <w:pPr>
        <w:spacing w:line="460" w:lineRule="exact"/>
        <w:ind w:firstLine="482" w:firstLineChars="200"/>
        <w:rPr>
          <w:rStyle w:val="95"/>
          <w:b/>
          <w:bCs/>
          <w:sz w:val="24"/>
        </w:rPr>
      </w:pPr>
      <w:r>
        <w:rPr>
          <w:rStyle w:val="95"/>
          <w:rFonts w:hint="eastAsia"/>
          <w:b/>
          <w:bCs/>
          <w:sz w:val="24"/>
        </w:rPr>
        <w:t>第三卷</w:t>
      </w:r>
      <w:r>
        <w:rPr>
          <w:rStyle w:val="95"/>
          <w:b/>
          <w:bCs/>
          <w:sz w:val="24"/>
        </w:rPr>
        <w:t xml:space="preserve"> </w:t>
      </w:r>
      <w:r>
        <w:rPr>
          <w:rStyle w:val="95"/>
          <w:rFonts w:hint="eastAsia"/>
          <w:b/>
          <w:bCs/>
          <w:sz w:val="24"/>
        </w:rPr>
        <w:t>附录</w:t>
      </w:r>
    </w:p>
    <w:p w14:paraId="25DB170A">
      <w:pPr>
        <w:spacing w:line="460" w:lineRule="exact"/>
        <w:ind w:firstLine="480" w:firstLineChars="200"/>
        <w:rPr>
          <w:rStyle w:val="95"/>
          <w:sz w:val="24"/>
        </w:rPr>
      </w:pPr>
      <w:r>
        <w:rPr>
          <w:rStyle w:val="95"/>
          <w:rFonts w:hint="eastAsia"/>
          <w:sz w:val="24"/>
        </w:rPr>
        <w:t>根据本章第</w:t>
      </w:r>
      <w:r>
        <w:rPr>
          <w:rStyle w:val="95"/>
          <w:sz w:val="24"/>
        </w:rPr>
        <w:t>1.10.3</w:t>
      </w:r>
      <w:r>
        <w:rPr>
          <w:rStyle w:val="95"/>
          <w:rFonts w:hint="eastAsia"/>
          <w:sz w:val="24"/>
        </w:rPr>
        <w:t>款、第</w:t>
      </w:r>
      <w:r>
        <w:rPr>
          <w:rStyle w:val="95"/>
          <w:sz w:val="24"/>
        </w:rPr>
        <w:t>2.2</w:t>
      </w:r>
      <w:r>
        <w:rPr>
          <w:rStyle w:val="95"/>
          <w:rFonts w:hint="eastAsia"/>
          <w:sz w:val="24"/>
        </w:rPr>
        <w:t>款和第</w:t>
      </w:r>
      <w:r>
        <w:rPr>
          <w:rStyle w:val="95"/>
          <w:sz w:val="24"/>
        </w:rPr>
        <w:t>2.3</w:t>
      </w:r>
      <w:r>
        <w:rPr>
          <w:rStyle w:val="95"/>
          <w:rFonts w:hint="eastAsia"/>
          <w:sz w:val="24"/>
        </w:rPr>
        <w:t>款对招标文件所作的澄清、修改，构成招标文件的组成部分。上述澄清、修改，以发出日期靠后者为准。</w:t>
      </w:r>
    </w:p>
    <w:p w14:paraId="27337587">
      <w:pPr>
        <w:pStyle w:val="892"/>
        <w:spacing w:line="460" w:lineRule="exact"/>
        <w:rPr>
          <w:rStyle w:val="95"/>
          <w:rFonts w:eastAsia="宋体"/>
          <w:szCs w:val="24"/>
        </w:rPr>
      </w:pPr>
      <w:r>
        <w:rPr>
          <w:rStyle w:val="95"/>
          <w:rFonts w:eastAsia="宋体"/>
          <w:szCs w:val="24"/>
        </w:rPr>
        <w:t xml:space="preserve">2.2 </w:t>
      </w:r>
      <w:r>
        <w:rPr>
          <w:rStyle w:val="95"/>
          <w:rFonts w:hint="eastAsia" w:eastAsia="宋体"/>
          <w:szCs w:val="24"/>
        </w:rPr>
        <w:t>招标文件的澄清</w:t>
      </w:r>
    </w:p>
    <w:p w14:paraId="658D4028">
      <w:pPr>
        <w:spacing w:line="460" w:lineRule="exact"/>
        <w:ind w:firstLine="480" w:firstLineChars="200"/>
        <w:rPr>
          <w:rStyle w:val="95"/>
          <w:sz w:val="24"/>
        </w:rPr>
      </w:pPr>
      <w:r>
        <w:rPr>
          <w:rStyle w:val="95"/>
          <w:sz w:val="24"/>
        </w:rPr>
        <w:t xml:space="preserve">2.2.1 </w:t>
      </w:r>
      <w:r>
        <w:rPr>
          <w:rStyle w:val="95"/>
          <w:rFonts w:hint="eastAsia"/>
          <w:sz w:val="24"/>
        </w:rPr>
        <w:t>投标人应仔细阅读和检查招标文件的全部内容。如发现内容短缺或附件不全，应及时向招标人提出，以便补齐。如有疑问，应在投标人须知前附表规定的时间前通过电子交易平台向招标人提出，要求招标人对招标文件予以澄清。</w:t>
      </w:r>
    </w:p>
    <w:p w14:paraId="204A39CE">
      <w:pPr>
        <w:spacing w:line="460" w:lineRule="exact"/>
        <w:ind w:firstLine="480" w:firstLineChars="200"/>
        <w:rPr>
          <w:rStyle w:val="95"/>
          <w:sz w:val="24"/>
        </w:rPr>
      </w:pPr>
      <w:r>
        <w:rPr>
          <w:rStyle w:val="95"/>
          <w:sz w:val="24"/>
        </w:rPr>
        <w:t xml:space="preserve">2.2.2 </w:t>
      </w:r>
      <w:r>
        <w:rPr>
          <w:rStyle w:val="95"/>
          <w:rFonts w:hint="eastAsia"/>
          <w:sz w:val="24"/>
        </w:rPr>
        <w:t>招标文件的澄清将在投标人须知前附表规定时间前在平台发布并短信通知</w:t>
      </w:r>
      <w:r>
        <w:rPr>
          <w:rFonts w:hint="eastAsia"/>
          <w:sz w:val="24"/>
        </w:rPr>
        <w:t>所有下载招标文件的投标人</w:t>
      </w:r>
      <w:r>
        <w:rPr>
          <w:rStyle w:val="95"/>
          <w:rFonts w:hint="eastAsia"/>
          <w:sz w:val="24"/>
        </w:rPr>
        <w:t>，但不指明澄清问题的来源。如果澄清发出的时间距投标截止时间不足</w:t>
      </w:r>
      <w:r>
        <w:rPr>
          <w:rStyle w:val="95"/>
          <w:sz w:val="24"/>
        </w:rPr>
        <w:t>15</w:t>
      </w:r>
      <w:r>
        <w:rPr>
          <w:rStyle w:val="95"/>
          <w:rFonts w:hint="eastAsia"/>
          <w:sz w:val="24"/>
        </w:rPr>
        <w:t>天，相应延长投标截止时间。</w:t>
      </w:r>
    </w:p>
    <w:p w14:paraId="587E23E9">
      <w:pPr>
        <w:spacing w:line="460" w:lineRule="exact"/>
        <w:ind w:firstLine="480" w:firstLineChars="200"/>
        <w:rPr>
          <w:rStyle w:val="95"/>
          <w:sz w:val="24"/>
        </w:rPr>
      </w:pPr>
      <w:r>
        <w:rPr>
          <w:rStyle w:val="95"/>
          <w:sz w:val="24"/>
        </w:rPr>
        <w:t xml:space="preserve">2.2.3 </w:t>
      </w:r>
      <w:r>
        <w:rPr>
          <w:rStyle w:val="95"/>
          <w:rFonts w:hint="eastAsia"/>
          <w:sz w:val="24"/>
        </w:rPr>
        <w:t>投标人自行收取澄清内容，无须回复确认已收到该澄清。招标人的澄清文件一经在平台发布，视作已发放给所有投标人，各投标人应随时关注投标项目信息，及时登陆平台下载相关文件，否则所造成的一切后果由投标人自负。</w:t>
      </w:r>
    </w:p>
    <w:p w14:paraId="226F2612">
      <w:pPr>
        <w:pStyle w:val="892"/>
        <w:spacing w:line="460" w:lineRule="exact"/>
        <w:rPr>
          <w:rStyle w:val="95"/>
          <w:rFonts w:eastAsia="宋体"/>
          <w:szCs w:val="24"/>
        </w:rPr>
      </w:pPr>
      <w:r>
        <w:rPr>
          <w:rStyle w:val="95"/>
          <w:rFonts w:eastAsia="宋体"/>
          <w:szCs w:val="24"/>
        </w:rPr>
        <w:t xml:space="preserve">2.3 </w:t>
      </w:r>
      <w:r>
        <w:rPr>
          <w:rStyle w:val="95"/>
          <w:rFonts w:hint="eastAsia" w:eastAsia="宋体"/>
          <w:szCs w:val="24"/>
        </w:rPr>
        <w:t>招标文件的修改</w:t>
      </w:r>
    </w:p>
    <w:p w14:paraId="0AF2B8BB">
      <w:pPr>
        <w:spacing w:line="460" w:lineRule="exact"/>
        <w:ind w:firstLine="480" w:firstLineChars="200"/>
        <w:rPr>
          <w:rStyle w:val="95"/>
          <w:sz w:val="24"/>
        </w:rPr>
      </w:pPr>
      <w:r>
        <w:rPr>
          <w:rStyle w:val="95"/>
          <w:sz w:val="24"/>
        </w:rPr>
        <w:t xml:space="preserve">2.3.1 </w:t>
      </w:r>
      <w:r>
        <w:rPr>
          <w:rStyle w:val="95"/>
          <w:rFonts w:hint="eastAsia"/>
          <w:sz w:val="24"/>
        </w:rPr>
        <w:t>招标文件的修改将在投标人须知前附表规定时间前在平台发布</w:t>
      </w:r>
      <w:r>
        <w:rPr>
          <w:rFonts w:hint="eastAsia"/>
          <w:sz w:val="24"/>
        </w:rPr>
        <w:t>并短信通知所有下载招标文件的投标人</w:t>
      </w:r>
      <w:r>
        <w:rPr>
          <w:rStyle w:val="95"/>
          <w:rFonts w:hint="eastAsia"/>
          <w:sz w:val="24"/>
        </w:rPr>
        <w:t>，如果修改招标文件的时间距投标截止时间不足</w:t>
      </w:r>
      <w:r>
        <w:rPr>
          <w:rStyle w:val="95"/>
          <w:sz w:val="24"/>
        </w:rPr>
        <w:t>15</w:t>
      </w:r>
      <w:r>
        <w:rPr>
          <w:rStyle w:val="95"/>
          <w:rFonts w:hint="eastAsia"/>
          <w:sz w:val="24"/>
        </w:rPr>
        <w:t>天，相应延长投标截止时间。</w:t>
      </w:r>
    </w:p>
    <w:p w14:paraId="6A1D2138">
      <w:pPr>
        <w:spacing w:line="460" w:lineRule="exact"/>
        <w:ind w:firstLine="480" w:firstLineChars="200"/>
        <w:rPr>
          <w:rStyle w:val="95"/>
          <w:sz w:val="24"/>
        </w:rPr>
      </w:pPr>
      <w:r>
        <w:rPr>
          <w:rStyle w:val="95"/>
          <w:sz w:val="24"/>
        </w:rPr>
        <w:t xml:space="preserve">2.3.2 </w:t>
      </w:r>
      <w:r>
        <w:rPr>
          <w:rStyle w:val="95"/>
          <w:rFonts w:hint="eastAsia"/>
          <w:sz w:val="24"/>
        </w:rPr>
        <w:t>投标人自行收取修改内容，无须回复确认已收到该修改。招标人的修改文件一经在平台发布，视作已发放给所有投标人，各投标人应随时关注投标项目信息，及时登陆平台下载相关文件，否则所造成的一切后果由投标人自负。</w:t>
      </w:r>
    </w:p>
    <w:p w14:paraId="65762DA9">
      <w:pPr>
        <w:pStyle w:val="592"/>
        <w:spacing w:before="0" w:line="460" w:lineRule="exact"/>
        <w:rPr>
          <w:rStyle w:val="95"/>
          <w:rFonts w:eastAsia="宋体"/>
          <w:sz w:val="24"/>
          <w:szCs w:val="24"/>
        </w:rPr>
      </w:pPr>
      <w:r>
        <w:rPr>
          <w:rStyle w:val="95"/>
          <w:rFonts w:eastAsia="宋体"/>
          <w:sz w:val="24"/>
          <w:szCs w:val="24"/>
        </w:rPr>
        <w:t xml:space="preserve">3. </w:t>
      </w:r>
      <w:r>
        <w:rPr>
          <w:rStyle w:val="95"/>
          <w:rFonts w:hint="eastAsia" w:eastAsia="宋体"/>
          <w:sz w:val="24"/>
          <w:szCs w:val="24"/>
        </w:rPr>
        <w:t>投标文件</w:t>
      </w:r>
    </w:p>
    <w:p w14:paraId="50D540E3">
      <w:pPr>
        <w:pStyle w:val="892"/>
        <w:spacing w:line="460" w:lineRule="exact"/>
        <w:rPr>
          <w:rStyle w:val="95"/>
          <w:rFonts w:eastAsia="宋体"/>
          <w:szCs w:val="24"/>
        </w:rPr>
      </w:pPr>
      <w:r>
        <w:rPr>
          <w:rStyle w:val="95"/>
          <w:rFonts w:eastAsia="宋体"/>
          <w:szCs w:val="24"/>
        </w:rPr>
        <w:t xml:space="preserve">3.1 </w:t>
      </w:r>
      <w:r>
        <w:rPr>
          <w:rStyle w:val="95"/>
          <w:rFonts w:hint="eastAsia" w:eastAsia="宋体"/>
          <w:szCs w:val="24"/>
        </w:rPr>
        <w:t>投标文件的组成</w:t>
      </w:r>
    </w:p>
    <w:p w14:paraId="395E7D63">
      <w:pPr>
        <w:spacing w:line="460" w:lineRule="exact"/>
        <w:ind w:firstLine="480" w:firstLineChars="200"/>
        <w:rPr>
          <w:rStyle w:val="95"/>
          <w:sz w:val="24"/>
        </w:rPr>
      </w:pPr>
      <w:r>
        <w:rPr>
          <w:rStyle w:val="95"/>
          <w:sz w:val="24"/>
        </w:rPr>
        <w:t xml:space="preserve">3.1.1 </w:t>
      </w:r>
      <w:r>
        <w:rPr>
          <w:rStyle w:val="95"/>
          <w:rFonts w:hint="eastAsia"/>
          <w:sz w:val="24"/>
        </w:rPr>
        <w:t>投标文件应包括下列内容：</w:t>
      </w:r>
    </w:p>
    <w:p w14:paraId="4D13C8A6">
      <w:pPr>
        <w:spacing w:line="460" w:lineRule="exact"/>
        <w:ind w:firstLine="480" w:firstLineChars="200"/>
        <w:rPr>
          <w:rStyle w:val="95"/>
          <w:sz w:val="24"/>
        </w:rPr>
      </w:pPr>
      <w:r>
        <w:rPr>
          <w:rStyle w:val="95"/>
          <w:rFonts w:hint="eastAsia"/>
          <w:sz w:val="24"/>
        </w:rPr>
        <w:t>第一节</w:t>
      </w:r>
      <w:r>
        <w:rPr>
          <w:rStyle w:val="95"/>
          <w:sz w:val="24"/>
        </w:rPr>
        <w:t xml:space="preserve"> </w:t>
      </w:r>
      <w:r>
        <w:rPr>
          <w:rStyle w:val="95"/>
          <w:rFonts w:hint="eastAsia"/>
          <w:sz w:val="24"/>
        </w:rPr>
        <w:t>投标函文件</w:t>
      </w:r>
    </w:p>
    <w:p w14:paraId="6B0B34BE">
      <w:pPr>
        <w:spacing w:line="460" w:lineRule="exact"/>
        <w:ind w:firstLine="960" w:firstLineChars="400"/>
        <w:rPr>
          <w:rStyle w:val="95"/>
          <w:sz w:val="24"/>
        </w:rPr>
      </w:pPr>
      <w:r>
        <w:rPr>
          <w:rStyle w:val="95"/>
          <w:rFonts w:hint="eastAsia"/>
          <w:sz w:val="24"/>
        </w:rPr>
        <w:t>一、投标函及投标函附录</w:t>
      </w:r>
    </w:p>
    <w:p w14:paraId="4AC9A1BA">
      <w:pPr>
        <w:spacing w:line="460" w:lineRule="exact"/>
        <w:ind w:firstLine="960" w:firstLineChars="400"/>
        <w:rPr>
          <w:rStyle w:val="95"/>
          <w:sz w:val="24"/>
        </w:rPr>
      </w:pPr>
      <w:r>
        <w:rPr>
          <w:rStyle w:val="95"/>
          <w:rFonts w:hint="eastAsia"/>
          <w:sz w:val="24"/>
        </w:rPr>
        <w:t>二、法定代表人身份证明（适用于无委托代理人的情况）</w:t>
      </w:r>
    </w:p>
    <w:p w14:paraId="335DCDA5">
      <w:pPr>
        <w:spacing w:line="460" w:lineRule="exact"/>
        <w:ind w:firstLine="960" w:firstLineChars="400"/>
        <w:rPr>
          <w:rStyle w:val="95"/>
          <w:sz w:val="24"/>
        </w:rPr>
      </w:pPr>
      <w:r>
        <w:rPr>
          <w:rStyle w:val="95"/>
          <w:rFonts w:hint="eastAsia"/>
          <w:sz w:val="24"/>
        </w:rPr>
        <w:t>三、授权委托书</w:t>
      </w:r>
    </w:p>
    <w:p w14:paraId="6D2AD062">
      <w:pPr>
        <w:spacing w:line="460" w:lineRule="exact"/>
        <w:ind w:firstLine="960" w:firstLineChars="400"/>
        <w:rPr>
          <w:rStyle w:val="95"/>
          <w:sz w:val="24"/>
        </w:rPr>
      </w:pPr>
      <w:r>
        <w:rPr>
          <w:rStyle w:val="95"/>
          <w:rFonts w:hint="eastAsia"/>
          <w:sz w:val="24"/>
        </w:rPr>
        <w:t>四、投标保证金</w:t>
      </w:r>
    </w:p>
    <w:p w14:paraId="403BF969">
      <w:pPr>
        <w:spacing w:line="460" w:lineRule="exact"/>
        <w:ind w:firstLine="960" w:firstLineChars="400"/>
        <w:rPr>
          <w:rStyle w:val="95"/>
          <w:sz w:val="24"/>
        </w:rPr>
      </w:pPr>
      <w:r>
        <w:rPr>
          <w:rStyle w:val="95"/>
          <w:rFonts w:hint="eastAsia"/>
          <w:sz w:val="24"/>
        </w:rPr>
        <w:t>五、联合体协议书（如有）</w:t>
      </w:r>
    </w:p>
    <w:p w14:paraId="1C9D044B">
      <w:pPr>
        <w:spacing w:line="460" w:lineRule="exact"/>
        <w:ind w:firstLine="480" w:firstLineChars="200"/>
        <w:rPr>
          <w:rStyle w:val="95"/>
          <w:sz w:val="24"/>
        </w:rPr>
      </w:pPr>
      <w:r>
        <w:rPr>
          <w:rStyle w:val="95"/>
          <w:rFonts w:hint="eastAsia"/>
          <w:sz w:val="24"/>
        </w:rPr>
        <w:t>第二节</w:t>
      </w:r>
      <w:r>
        <w:rPr>
          <w:rStyle w:val="95"/>
          <w:sz w:val="24"/>
        </w:rPr>
        <w:t xml:space="preserve"> </w:t>
      </w:r>
      <w:r>
        <w:rPr>
          <w:rStyle w:val="95"/>
          <w:rFonts w:hint="eastAsia"/>
          <w:sz w:val="24"/>
        </w:rPr>
        <w:t>投标报价文件</w:t>
      </w:r>
    </w:p>
    <w:p w14:paraId="2FA948C3">
      <w:pPr>
        <w:spacing w:line="460" w:lineRule="exact"/>
        <w:ind w:firstLine="960" w:firstLineChars="400"/>
        <w:rPr>
          <w:rStyle w:val="95"/>
          <w:sz w:val="24"/>
        </w:rPr>
      </w:pPr>
      <w:r>
        <w:rPr>
          <w:rStyle w:val="95"/>
          <w:rFonts w:hint="eastAsia"/>
          <w:sz w:val="24"/>
        </w:rPr>
        <w:t>一、投标报价一览表</w:t>
      </w:r>
    </w:p>
    <w:p w14:paraId="0908D79C">
      <w:pPr>
        <w:spacing w:line="460" w:lineRule="exact"/>
        <w:ind w:firstLine="960" w:firstLineChars="400"/>
        <w:rPr>
          <w:rStyle w:val="95"/>
          <w:sz w:val="24"/>
        </w:rPr>
      </w:pPr>
      <w:r>
        <w:rPr>
          <w:rStyle w:val="95"/>
          <w:rFonts w:hint="eastAsia"/>
          <w:sz w:val="24"/>
        </w:rPr>
        <w:t>二、设计分项报价一览表</w:t>
      </w:r>
    </w:p>
    <w:p w14:paraId="325D5C4E">
      <w:pPr>
        <w:spacing w:line="460" w:lineRule="exact"/>
        <w:ind w:firstLine="480" w:firstLineChars="200"/>
        <w:rPr>
          <w:rStyle w:val="95"/>
          <w:sz w:val="24"/>
        </w:rPr>
      </w:pPr>
      <w:r>
        <w:rPr>
          <w:rStyle w:val="95"/>
          <w:rFonts w:hint="eastAsia"/>
          <w:sz w:val="24"/>
        </w:rPr>
        <w:t>第三节</w:t>
      </w:r>
      <w:r>
        <w:rPr>
          <w:rStyle w:val="95"/>
          <w:sz w:val="24"/>
        </w:rPr>
        <w:t xml:space="preserve"> </w:t>
      </w:r>
      <w:r>
        <w:rPr>
          <w:rStyle w:val="95"/>
          <w:rFonts w:hint="eastAsia"/>
          <w:sz w:val="24"/>
        </w:rPr>
        <w:t>资格审查文件</w:t>
      </w:r>
    </w:p>
    <w:p w14:paraId="54729DB3">
      <w:pPr>
        <w:spacing w:line="460" w:lineRule="exact"/>
        <w:ind w:firstLine="960" w:firstLineChars="400"/>
        <w:rPr>
          <w:rStyle w:val="95"/>
          <w:sz w:val="24"/>
        </w:rPr>
      </w:pPr>
      <w:r>
        <w:rPr>
          <w:rStyle w:val="95"/>
          <w:rFonts w:hint="eastAsia"/>
          <w:sz w:val="24"/>
        </w:rPr>
        <w:t>一、投标人基本情况表</w:t>
      </w:r>
    </w:p>
    <w:p w14:paraId="7E77E186">
      <w:pPr>
        <w:spacing w:line="460" w:lineRule="exact"/>
        <w:ind w:firstLine="960" w:firstLineChars="400"/>
        <w:rPr>
          <w:rStyle w:val="95"/>
          <w:sz w:val="24"/>
        </w:rPr>
      </w:pPr>
      <w:r>
        <w:rPr>
          <w:rStyle w:val="95"/>
          <w:rFonts w:hint="eastAsia"/>
          <w:sz w:val="24"/>
        </w:rPr>
        <w:t>二、投标人企业组织机构框图</w:t>
      </w:r>
    </w:p>
    <w:p w14:paraId="68712603">
      <w:pPr>
        <w:spacing w:line="460" w:lineRule="exact"/>
        <w:ind w:firstLine="960" w:firstLineChars="400"/>
        <w:rPr>
          <w:rStyle w:val="95"/>
          <w:sz w:val="24"/>
        </w:rPr>
      </w:pPr>
      <w:r>
        <w:rPr>
          <w:rStyle w:val="95"/>
          <w:rFonts w:hint="eastAsia"/>
          <w:sz w:val="24"/>
        </w:rPr>
        <w:t>三、拟委任的项目经理、项目</w:t>
      </w:r>
      <w:r>
        <w:rPr>
          <w:rStyle w:val="95"/>
          <w:rFonts w:hint="eastAsia"/>
          <w:sz w:val="24"/>
          <w:lang w:eastAsia="zh-CN"/>
        </w:rPr>
        <w:t>技术负责人</w:t>
      </w:r>
      <w:r>
        <w:rPr>
          <w:rStyle w:val="95"/>
          <w:rFonts w:hint="eastAsia"/>
          <w:sz w:val="24"/>
        </w:rPr>
        <w:t>资历表</w:t>
      </w:r>
    </w:p>
    <w:p w14:paraId="6E71E639">
      <w:pPr>
        <w:spacing w:line="460" w:lineRule="exact"/>
        <w:ind w:firstLine="960" w:firstLineChars="400"/>
        <w:rPr>
          <w:rStyle w:val="95"/>
          <w:sz w:val="24"/>
        </w:rPr>
      </w:pPr>
      <w:r>
        <w:rPr>
          <w:rStyle w:val="95"/>
          <w:rFonts w:hint="eastAsia"/>
          <w:sz w:val="24"/>
        </w:rPr>
        <w:t>四、其他主要技术和管理人员汇总表</w:t>
      </w:r>
    </w:p>
    <w:p w14:paraId="57DE4C6E">
      <w:pPr>
        <w:spacing w:line="460" w:lineRule="exact"/>
        <w:ind w:firstLine="960" w:firstLineChars="400"/>
        <w:rPr>
          <w:rStyle w:val="95"/>
          <w:sz w:val="24"/>
        </w:rPr>
      </w:pPr>
      <w:r>
        <w:rPr>
          <w:rStyle w:val="95"/>
          <w:rFonts w:hint="eastAsia"/>
          <w:sz w:val="24"/>
        </w:rPr>
        <w:t>四</w:t>
      </w:r>
      <w:r>
        <w:rPr>
          <w:rStyle w:val="95"/>
          <w:sz w:val="24"/>
        </w:rPr>
        <w:t>-1</w:t>
      </w:r>
      <w:r>
        <w:rPr>
          <w:rStyle w:val="95"/>
          <w:rFonts w:hint="eastAsia"/>
          <w:sz w:val="24"/>
        </w:rPr>
        <w:t>、拟委任的其他主要技术和管理人员资历表</w:t>
      </w:r>
    </w:p>
    <w:p w14:paraId="25EB0A2F">
      <w:pPr>
        <w:spacing w:line="460" w:lineRule="exact"/>
        <w:ind w:firstLine="960" w:firstLineChars="400"/>
        <w:rPr>
          <w:rStyle w:val="95"/>
          <w:sz w:val="24"/>
        </w:rPr>
      </w:pPr>
      <w:r>
        <w:rPr>
          <w:rStyle w:val="95"/>
          <w:rFonts w:hint="eastAsia"/>
          <w:sz w:val="24"/>
        </w:rPr>
        <w:t>五、近年完成的类似项目情况表</w:t>
      </w:r>
    </w:p>
    <w:p w14:paraId="28A725B4">
      <w:pPr>
        <w:spacing w:line="460" w:lineRule="exact"/>
        <w:ind w:firstLine="960" w:firstLineChars="400"/>
        <w:rPr>
          <w:rStyle w:val="95"/>
          <w:sz w:val="24"/>
        </w:rPr>
      </w:pPr>
      <w:r>
        <w:rPr>
          <w:rStyle w:val="95"/>
          <w:rFonts w:hint="eastAsia"/>
          <w:sz w:val="24"/>
          <w:lang w:eastAsia="zh-CN"/>
        </w:rPr>
        <w:t>六</w:t>
      </w:r>
      <w:r>
        <w:rPr>
          <w:rStyle w:val="95"/>
          <w:rFonts w:hint="eastAsia"/>
          <w:sz w:val="24"/>
        </w:rPr>
        <w:t>、正在施工和新承接的项目情况表</w:t>
      </w:r>
    </w:p>
    <w:p w14:paraId="0F3E86CA">
      <w:pPr>
        <w:spacing w:line="460" w:lineRule="exact"/>
        <w:ind w:firstLine="960" w:firstLineChars="400"/>
        <w:rPr>
          <w:rStyle w:val="95"/>
          <w:sz w:val="24"/>
        </w:rPr>
      </w:pPr>
      <w:r>
        <w:rPr>
          <w:rStyle w:val="95"/>
          <w:rFonts w:hint="eastAsia"/>
          <w:sz w:val="24"/>
          <w:lang w:eastAsia="zh-CN"/>
        </w:rPr>
        <w:t>七</w:t>
      </w:r>
      <w:r>
        <w:rPr>
          <w:rStyle w:val="95"/>
          <w:rFonts w:hint="eastAsia"/>
          <w:sz w:val="24"/>
        </w:rPr>
        <w:t>、近年发生的诉讼及仲裁情况表</w:t>
      </w:r>
    </w:p>
    <w:p w14:paraId="5FFE1441">
      <w:pPr>
        <w:spacing w:line="460" w:lineRule="exact"/>
        <w:ind w:firstLine="960" w:firstLineChars="400"/>
        <w:rPr>
          <w:rStyle w:val="95"/>
          <w:sz w:val="24"/>
        </w:rPr>
      </w:pPr>
      <w:r>
        <w:rPr>
          <w:rStyle w:val="95"/>
          <w:rFonts w:hint="eastAsia"/>
          <w:sz w:val="24"/>
          <w:lang w:eastAsia="zh-CN"/>
        </w:rPr>
        <w:t>八</w:t>
      </w:r>
      <w:r>
        <w:rPr>
          <w:rStyle w:val="95"/>
          <w:rFonts w:hint="eastAsia"/>
          <w:sz w:val="24"/>
        </w:rPr>
        <w:t>、承包人（投标人）项目班子人员配备登记表</w:t>
      </w:r>
    </w:p>
    <w:p w14:paraId="79ECAB70">
      <w:pPr>
        <w:spacing w:line="460" w:lineRule="exact"/>
        <w:ind w:firstLine="960" w:firstLineChars="400"/>
        <w:rPr>
          <w:sz w:val="24"/>
        </w:rPr>
      </w:pPr>
      <w:r>
        <w:rPr>
          <w:rFonts w:hint="eastAsia"/>
          <w:sz w:val="24"/>
          <w:lang w:eastAsia="zh-CN"/>
        </w:rPr>
        <w:t>九</w:t>
      </w:r>
      <w:r>
        <w:rPr>
          <w:rFonts w:hint="eastAsia"/>
          <w:sz w:val="24"/>
        </w:rPr>
        <w:t>、拟投入本项目的主要施工设备表</w:t>
      </w:r>
    </w:p>
    <w:p w14:paraId="31236341">
      <w:pPr>
        <w:spacing w:line="460" w:lineRule="exact"/>
        <w:ind w:firstLine="960" w:firstLineChars="400"/>
        <w:rPr>
          <w:sz w:val="24"/>
        </w:rPr>
      </w:pPr>
      <w:r>
        <w:rPr>
          <w:rFonts w:hint="eastAsia"/>
          <w:sz w:val="24"/>
        </w:rPr>
        <w:t>十、拟配备本项目的试验和检测仪器设备表</w:t>
      </w:r>
    </w:p>
    <w:p w14:paraId="0C492578">
      <w:pPr>
        <w:spacing w:line="460" w:lineRule="exact"/>
        <w:ind w:firstLine="960" w:firstLineChars="400"/>
        <w:rPr>
          <w:sz w:val="24"/>
        </w:rPr>
      </w:pPr>
      <w:r>
        <w:rPr>
          <w:rFonts w:hint="eastAsia"/>
          <w:sz w:val="24"/>
        </w:rPr>
        <w:t>十</w:t>
      </w:r>
      <w:r>
        <w:rPr>
          <w:rFonts w:hint="eastAsia"/>
          <w:sz w:val="24"/>
          <w:lang w:eastAsia="zh-CN"/>
        </w:rPr>
        <w:t>一</w:t>
      </w:r>
      <w:r>
        <w:rPr>
          <w:rFonts w:hint="eastAsia"/>
          <w:sz w:val="24"/>
        </w:rPr>
        <w:t>、投标文件、合同条款的商务偏离表格式</w:t>
      </w:r>
    </w:p>
    <w:p w14:paraId="0476FD48">
      <w:pPr>
        <w:spacing w:line="460" w:lineRule="exact"/>
        <w:ind w:firstLine="960" w:firstLineChars="400"/>
        <w:rPr>
          <w:rStyle w:val="95"/>
          <w:sz w:val="24"/>
        </w:rPr>
      </w:pPr>
      <w:r>
        <w:rPr>
          <w:rFonts w:hint="eastAsia"/>
          <w:sz w:val="24"/>
        </w:rPr>
        <w:t>十</w:t>
      </w:r>
      <w:r>
        <w:rPr>
          <w:rFonts w:hint="eastAsia"/>
          <w:sz w:val="24"/>
          <w:lang w:eastAsia="zh-CN"/>
        </w:rPr>
        <w:t>二</w:t>
      </w:r>
      <w:r>
        <w:rPr>
          <w:rFonts w:hint="eastAsia"/>
          <w:sz w:val="24"/>
        </w:rPr>
        <w:t>、投标人认为有必要的其他材料</w:t>
      </w:r>
    </w:p>
    <w:p w14:paraId="1D607963">
      <w:pPr>
        <w:spacing w:line="460" w:lineRule="exact"/>
        <w:ind w:firstLine="480" w:firstLineChars="200"/>
        <w:rPr>
          <w:rStyle w:val="95"/>
          <w:sz w:val="24"/>
        </w:rPr>
      </w:pPr>
      <w:r>
        <w:rPr>
          <w:rStyle w:val="95"/>
          <w:rFonts w:hint="eastAsia"/>
          <w:sz w:val="24"/>
        </w:rPr>
        <w:t>第四节</w:t>
      </w:r>
      <w:r>
        <w:rPr>
          <w:rStyle w:val="95"/>
          <w:sz w:val="24"/>
        </w:rPr>
        <w:t xml:space="preserve"> </w:t>
      </w:r>
      <w:r>
        <w:rPr>
          <w:rStyle w:val="95"/>
          <w:rFonts w:hint="eastAsia"/>
          <w:sz w:val="24"/>
        </w:rPr>
        <w:t>技术文件</w:t>
      </w:r>
    </w:p>
    <w:p w14:paraId="4A573318">
      <w:pPr>
        <w:spacing w:line="460" w:lineRule="exact"/>
        <w:ind w:firstLine="960" w:firstLineChars="400"/>
        <w:rPr>
          <w:rStyle w:val="95"/>
          <w:sz w:val="24"/>
        </w:rPr>
      </w:pPr>
      <w:r>
        <w:rPr>
          <w:rStyle w:val="95"/>
          <w:rFonts w:hint="eastAsia"/>
          <w:sz w:val="24"/>
        </w:rPr>
        <w:t>一、承包人建议书</w:t>
      </w:r>
    </w:p>
    <w:p w14:paraId="25ECDEE6">
      <w:pPr>
        <w:spacing w:line="460" w:lineRule="exact"/>
        <w:ind w:firstLine="960" w:firstLineChars="400"/>
        <w:rPr>
          <w:rStyle w:val="95"/>
          <w:sz w:val="24"/>
        </w:rPr>
      </w:pPr>
      <w:r>
        <w:rPr>
          <w:rStyle w:val="95"/>
          <w:rFonts w:hint="eastAsia"/>
          <w:sz w:val="24"/>
        </w:rPr>
        <w:t>二、施工图设计</w:t>
      </w:r>
    </w:p>
    <w:p w14:paraId="6C698BDB">
      <w:pPr>
        <w:spacing w:line="460" w:lineRule="exact"/>
        <w:ind w:firstLine="960" w:firstLineChars="400"/>
        <w:rPr>
          <w:rStyle w:val="95"/>
          <w:sz w:val="24"/>
        </w:rPr>
      </w:pPr>
      <w:r>
        <w:rPr>
          <w:rStyle w:val="95"/>
          <w:rFonts w:hint="eastAsia"/>
          <w:sz w:val="24"/>
        </w:rPr>
        <w:t>三、工程总承包组织实施方案（含分包协议及实施方案）</w:t>
      </w:r>
    </w:p>
    <w:p w14:paraId="71B52B8A">
      <w:pPr>
        <w:spacing w:line="460" w:lineRule="exact"/>
        <w:ind w:firstLine="960" w:firstLineChars="400"/>
        <w:rPr>
          <w:rStyle w:val="95"/>
          <w:sz w:val="24"/>
        </w:rPr>
      </w:pPr>
      <w:r>
        <w:rPr>
          <w:rStyle w:val="95"/>
          <w:rFonts w:hint="eastAsia"/>
          <w:sz w:val="24"/>
        </w:rPr>
        <w:t>四、技术偏离表</w:t>
      </w:r>
    </w:p>
    <w:p w14:paraId="001660C9">
      <w:pPr>
        <w:pStyle w:val="892"/>
        <w:spacing w:line="460" w:lineRule="exact"/>
        <w:rPr>
          <w:rStyle w:val="95"/>
          <w:rFonts w:eastAsia="宋体"/>
          <w:szCs w:val="24"/>
        </w:rPr>
      </w:pPr>
      <w:r>
        <w:rPr>
          <w:rStyle w:val="95"/>
          <w:rFonts w:eastAsia="宋体"/>
          <w:szCs w:val="24"/>
        </w:rPr>
        <w:t xml:space="preserve">3.2 </w:t>
      </w:r>
      <w:r>
        <w:rPr>
          <w:rStyle w:val="95"/>
          <w:rFonts w:hint="eastAsia" w:eastAsia="宋体"/>
          <w:szCs w:val="24"/>
        </w:rPr>
        <w:t>投标报价</w:t>
      </w:r>
    </w:p>
    <w:p w14:paraId="7813AD0F">
      <w:pPr>
        <w:spacing w:line="460" w:lineRule="exact"/>
        <w:ind w:firstLine="480" w:firstLineChars="200"/>
        <w:rPr>
          <w:rStyle w:val="95"/>
          <w:sz w:val="24"/>
        </w:rPr>
      </w:pPr>
      <w:r>
        <w:rPr>
          <w:rStyle w:val="95"/>
          <w:sz w:val="24"/>
        </w:rPr>
        <w:t xml:space="preserve">3.2.1 </w:t>
      </w:r>
      <w:r>
        <w:rPr>
          <w:rStyle w:val="95"/>
          <w:rFonts w:hint="eastAsia"/>
          <w:sz w:val="24"/>
        </w:rPr>
        <w:t>投标所使用的货币为人民币。</w:t>
      </w:r>
    </w:p>
    <w:p w14:paraId="13DF1BB0">
      <w:pPr>
        <w:spacing w:line="460" w:lineRule="exact"/>
        <w:ind w:firstLine="480" w:firstLineChars="200"/>
        <w:rPr>
          <w:rStyle w:val="95"/>
          <w:sz w:val="24"/>
        </w:rPr>
      </w:pPr>
      <w:r>
        <w:rPr>
          <w:rStyle w:val="95"/>
          <w:sz w:val="24"/>
        </w:rPr>
        <w:t xml:space="preserve">3.2.2 </w:t>
      </w:r>
      <w:r>
        <w:rPr>
          <w:rStyle w:val="95"/>
          <w:rFonts w:hint="eastAsia"/>
          <w:sz w:val="24"/>
        </w:rPr>
        <w:t>投标报价为总价，即总价</w:t>
      </w:r>
      <w:r>
        <w:rPr>
          <w:rStyle w:val="95"/>
          <w:sz w:val="24"/>
        </w:rPr>
        <w:t>=</w:t>
      </w:r>
      <w:r>
        <w:rPr>
          <w:rStyle w:val="95"/>
          <w:rFonts w:hint="eastAsia"/>
          <w:sz w:val="24"/>
        </w:rPr>
        <w:t>施工图设计费</w:t>
      </w:r>
      <w:r>
        <w:rPr>
          <w:rStyle w:val="95"/>
          <w:sz w:val="24"/>
        </w:rPr>
        <w:t>+</w:t>
      </w:r>
      <w:r>
        <w:rPr>
          <w:rStyle w:val="95"/>
          <w:rFonts w:hint="eastAsia"/>
          <w:sz w:val="24"/>
        </w:rPr>
        <w:t>建安工程费。其中：建安工程费由分部分项工程费、措施项目费、其他项目工程费、暂列金、税金等组成。</w:t>
      </w:r>
    </w:p>
    <w:p w14:paraId="1C45F5F5">
      <w:pPr>
        <w:spacing w:line="460" w:lineRule="exact"/>
        <w:ind w:firstLine="480" w:firstLineChars="200"/>
        <w:rPr>
          <w:rStyle w:val="95"/>
          <w:sz w:val="24"/>
        </w:rPr>
      </w:pPr>
      <w:r>
        <w:rPr>
          <w:rStyle w:val="95"/>
          <w:rFonts w:hint="eastAsia"/>
          <w:sz w:val="24"/>
        </w:rPr>
        <w:t>除非招标文件或合同专用条款另有规定，投标人在报价中提出可调整价格的投标将被视为未实质性响应而作无效标处理。</w:t>
      </w:r>
    </w:p>
    <w:p w14:paraId="097D492D">
      <w:pPr>
        <w:spacing w:line="460" w:lineRule="exact"/>
        <w:ind w:firstLine="480" w:firstLineChars="200"/>
        <w:rPr>
          <w:rStyle w:val="95"/>
          <w:sz w:val="24"/>
        </w:rPr>
      </w:pPr>
      <w:r>
        <w:rPr>
          <w:rStyle w:val="95"/>
          <w:sz w:val="24"/>
        </w:rPr>
        <w:t xml:space="preserve">3.2.3 </w:t>
      </w:r>
      <w:r>
        <w:rPr>
          <w:rStyle w:val="95"/>
          <w:rFonts w:hint="eastAsia"/>
          <w:sz w:val="24"/>
        </w:rPr>
        <w:t>除非在投标文件技术要求中有特别指出，否则投标人应报出完成全部工程项目的总投标价格，投标总价包括招标文件中规定的为履行本合同规定的义务以及所有要求的应由承包人负责的对工程设施的检测，以及所有应由承包人办理的许可、批复及执照等的获得和运行、维护与培训服务及招标文件规定的其它项目和服务）和风险所需的全部费用，具体指（但不限于）专用技术使用费、技术转让分摊费、设计、设备、建筑、安装、调试试验考核、运输（含大件运输措施费）、保险、技术资料、利润等和与本项目合同有关的所有税费（含进口设备关税、增值税等所有税费）和费用、政策性文件规定及合同所有的安全防护、文明施工措施费、周边社会关系协调费、不可预见费等。</w:t>
      </w:r>
    </w:p>
    <w:p w14:paraId="4DA13AC1">
      <w:pPr>
        <w:spacing w:line="460" w:lineRule="exact"/>
        <w:ind w:firstLine="480" w:firstLineChars="200"/>
        <w:rPr>
          <w:rStyle w:val="95"/>
          <w:sz w:val="24"/>
        </w:rPr>
      </w:pPr>
      <w:r>
        <w:rPr>
          <w:rStyle w:val="95"/>
          <w:sz w:val="24"/>
        </w:rPr>
        <w:t xml:space="preserve">3.2.4 </w:t>
      </w:r>
      <w:r>
        <w:rPr>
          <w:rStyle w:val="95"/>
          <w:rFonts w:hint="eastAsia"/>
          <w:sz w:val="24"/>
        </w:rPr>
        <w:t>若其单价和分项价、总价的算术计算有差异，则以单价为准，并对分项价和总价进行修正；若数字和文字表示的金额之间有差异，则以文字金额为准，并对数字作相应的修正；当单价、分项价和总价与投标函中的投标总价有差异，则以投标函中的投标总价为准，并按此对单价、分项价和总价作相应修正。否则属非实质性响应招标文件。</w:t>
      </w:r>
    </w:p>
    <w:p w14:paraId="382BA744">
      <w:pPr>
        <w:spacing w:line="460" w:lineRule="exact"/>
        <w:ind w:firstLine="480" w:firstLineChars="200"/>
        <w:rPr>
          <w:rStyle w:val="95"/>
          <w:sz w:val="24"/>
        </w:rPr>
      </w:pPr>
      <w:r>
        <w:rPr>
          <w:rStyle w:val="95"/>
          <w:sz w:val="24"/>
        </w:rPr>
        <w:t xml:space="preserve">3.2.5 </w:t>
      </w:r>
      <w:r>
        <w:rPr>
          <w:rStyle w:val="95"/>
          <w:rFonts w:hint="eastAsia"/>
          <w:sz w:val="24"/>
        </w:rPr>
        <w:t>投标人应按照招标文件规定的全部商务和技术责任进行报价，如有偏差，投标人应在投标文件中按照所提供</w:t>
      </w:r>
      <w:r>
        <w:rPr>
          <w:rStyle w:val="95"/>
          <w:sz w:val="24"/>
        </w:rPr>
        <w:t>“</w:t>
      </w:r>
      <w:r>
        <w:rPr>
          <w:rStyle w:val="95"/>
          <w:rFonts w:hint="eastAsia"/>
          <w:sz w:val="24"/>
        </w:rPr>
        <w:t>技术偏离表</w:t>
      </w:r>
      <w:r>
        <w:rPr>
          <w:rStyle w:val="95"/>
          <w:sz w:val="24"/>
        </w:rPr>
        <w:t>”</w:t>
      </w:r>
      <w:r>
        <w:rPr>
          <w:rStyle w:val="95"/>
          <w:rFonts w:hint="eastAsia"/>
          <w:sz w:val="24"/>
        </w:rPr>
        <w:t>和</w:t>
      </w:r>
      <w:r>
        <w:rPr>
          <w:rStyle w:val="95"/>
          <w:sz w:val="24"/>
        </w:rPr>
        <w:t>“</w:t>
      </w:r>
      <w:r>
        <w:rPr>
          <w:rStyle w:val="95"/>
          <w:rFonts w:hint="eastAsia"/>
          <w:sz w:val="24"/>
        </w:rPr>
        <w:t>商务偏离表</w:t>
      </w:r>
      <w:r>
        <w:rPr>
          <w:rStyle w:val="95"/>
          <w:sz w:val="24"/>
        </w:rPr>
        <w:t>”</w:t>
      </w:r>
      <w:r>
        <w:rPr>
          <w:rStyle w:val="95"/>
          <w:rFonts w:hint="eastAsia"/>
          <w:sz w:val="24"/>
        </w:rPr>
        <w:t>格式逐一列出，并提供撤回偏差相应的价格变化供招标人参考。评标委员会有权要求投标人在评标过程中对上述偏离进行澄清。没有在</w:t>
      </w:r>
      <w:r>
        <w:rPr>
          <w:rStyle w:val="95"/>
          <w:sz w:val="24"/>
        </w:rPr>
        <w:t>“</w:t>
      </w:r>
      <w:r>
        <w:rPr>
          <w:rStyle w:val="95"/>
          <w:rFonts w:hint="eastAsia"/>
          <w:sz w:val="24"/>
        </w:rPr>
        <w:t>偏离表</w:t>
      </w:r>
      <w:r>
        <w:rPr>
          <w:rStyle w:val="95"/>
          <w:sz w:val="24"/>
        </w:rPr>
        <w:t>”</w:t>
      </w:r>
      <w:r>
        <w:rPr>
          <w:rStyle w:val="95"/>
          <w:rFonts w:hint="eastAsia"/>
          <w:sz w:val="24"/>
        </w:rPr>
        <w:t>中列出的项目，则视为投标人接受和同意招标文件的规定。</w:t>
      </w:r>
    </w:p>
    <w:p w14:paraId="0081C6B4">
      <w:pPr>
        <w:pStyle w:val="85"/>
        <w:spacing w:line="460" w:lineRule="exact"/>
        <w:ind w:firstLine="480" w:firstLineChars="200"/>
        <w:rPr>
          <w:rStyle w:val="95"/>
          <w:rFonts w:ascii="Times New Roman" w:hAnsi="Times New Roman"/>
          <w:bCs/>
        </w:rPr>
      </w:pPr>
      <w:r>
        <w:rPr>
          <w:rStyle w:val="95"/>
          <w:rFonts w:ascii="Times New Roman" w:hAnsi="Times New Roman"/>
        </w:rPr>
        <w:t xml:space="preserve">3.2.6 </w:t>
      </w:r>
      <w:r>
        <w:rPr>
          <w:rStyle w:val="95"/>
          <w:rFonts w:hint="eastAsia" w:ascii="Times New Roman" w:hAnsi="Times New Roman"/>
          <w:bCs/>
        </w:rPr>
        <w:t>设计服务费包括施工图设计费、技术服务费、培训费、技术资料、设计联络等直至竣工验收交付使用、保修期结束止的所有费用（含承包人派驻发包人现场管理人员的薪金（其中包括个人所得税和生活费）及往返发包人现场之间的旅费）。</w:t>
      </w:r>
    </w:p>
    <w:p w14:paraId="0F0E7B7F">
      <w:pPr>
        <w:spacing w:line="460" w:lineRule="exact"/>
        <w:ind w:firstLine="482" w:firstLineChars="200"/>
        <w:rPr>
          <w:rStyle w:val="95"/>
          <w:b/>
          <w:sz w:val="24"/>
        </w:rPr>
      </w:pPr>
      <w:r>
        <w:rPr>
          <w:rStyle w:val="95"/>
          <w:b/>
          <w:sz w:val="24"/>
        </w:rPr>
        <w:t xml:space="preserve">3.2.7 </w:t>
      </w:r>
      <w:r>
        <w:rPr>
          <w:rStyle w:val="95"/>
          <w:rFonts w:hint="eastAsia"/>
          <w:b/>
          <w:sz w:val="24"/>
        </w:rPr>
        <w:t>建筑安装工程费：</w:t>
      </w:r>
    </w:p>
    <w:p w14:paraId="0CE20823">
      <w:pPr>
        <w:spacing w:line="460" w:lineRule="exact"/>
        <w:ind w:firstLine="480" w:firstLineChars="200"/>
        <w:rPr>
          <w:rStyle w:val="95"/>
          <w:sz w:val="24"/>
        </w:rPr>
      </w:pPr>
      <w:r>
        <w:rPr>
          <w:rStyle w:val="95"/>
          <w:rFonts w:hint="eastAsia"/>
          <w:sz w:val="24"/>
        </w:rPr>
        <w:t>包括以下内容：</w:t>
      </w:r>
    </w:p>
    <w:p w14:paraId="5EE858FD">
      <w:pPr>
        <w:spacing w:line="460" w:lineRule="exact"/>
        <w:ind w:firstLine="480" w:firstLineChars="200"/>
        <w:rPr>
          <w:rStyle w:val="95"/>
          <w:sz w:val="24"/>
        </w:rPr>
      </w:pPr>
      <w:r>
        <w:rPr>
          <w:rStyle w:val="95"/>
          <w:sz w:val="24"/>
        </w:rPr>
        <w:t>1</w:t>
      </w:r>
      <w:r>
        <w:rPr>
          <w:rStyle w:val="95"/>
          <w:rFonts w:hint="eastAsia"/>
          <w:sz w:val="24"/>
        </w:rPr>
        <w:t>）建筑安装工程费；</w:t>
      </w:r>
    </w:p>
    <w:p w14:paraId="02EACC0F">
      <w:pPr>
        <w:spacing w:line="460" w:lineRule="exact"/>
        <w:ind w:firstLine="480" w:firstLineChars="200"/>
        <w:rPr>
          <w:rStyle w:val="95"/>
          <w:sz w:val="24"/>
        </w:rPr>
      </w:pPr>
      <w:r>
        <w:rPr>
          <w:rStyle w:val="95"/>
          <w:rFonts w:hint="eastAsia"/>
          <w:sz w:val="24"/>
        </w:rPr>
        <w:t>人工费、材料费、施工吊装措施费、施工机械使用费、施工临时设施费、地下及地上设施费、试验检测费、改迁拆除费、地下综合管线保护措施费、施工措施费以及投标人认为应计取的各项费用（含利润、税金）。</w:t>
      </w:r>
    </w:p>
    <w:p w14:paraId="6C373C7B">
      <w:pPr>
        <w:spacing w:line="460" w:lineRule="exact"/>
        <w:ind w:firstLine="480" w:firstLineChars="200"/>
        <w:rPr>
          <w:rStyle w:val="95"/>
          <w:sz w:val="24"/>
        </w:rPr>
      </w:pPr>
      <w:r>
        <w:rPr>
          <w:rStyle w:val="95"/>
          <w:sz w:val="24"/>
        </w:rPr>
        <w:t>2</w:t>
      </w:r>
      <w:r>
        <w:rPr>
          <w:rStyle w:val="95"/>
          <w:rFonts w:hint="eastAsia"/>
          <w:sz w:val="24"/>
        </w:rPr>
        <w:t>）施工中发生的施工场地排水、降水措施费、吊装措施费、安全施工措施费、冬雨季施工措施费、文明施工措施费。</w:t>
      </w:r>
    </w:p>
    <w:p w14:paraId="406A9CBA">
      <w:pPr>
        <w:spacing w:line="460" w:lineRule="exact"/>
        <w:ind w:firstLine="480" w:firstLineChars="200"/>
        <w:rPr>
          <w:rStyle w:val="95"/>
          <w:sz w:val="24"/>
        </w:rPr>
      </w:pPr>
      <w:r>
        <w:rPr>
          <w:rStyle w:val="95"/>
          <w:sz w:val="24"/>
        </w:rPr>
        <w:t>3</w:t>
      </w:r>
      <w:r>
        <w:rPr>
          <w:rStyle w:val="95"/>
          <w:rFonts w:hint="eastAsia"/>
          <w:sz w:val="24"/>
        </w:rPr>
        <w:t>）图纸及现行技术规范、规程、标准没有明示或虽有明确但标准较低，但有经验的承包人应能预见到的新规范、规程、标准提出的新的或更高的质量要求。</w:t>
      </w:r>
    </w:p>
    <w:p w14:paraId="3CFAED40">
      <w:pPr>
        <w:spacing w:line="460" w:lineRule="exact"/>
        <w:ind w:firstLine="480" w:firstLineChars="200"/>
        <w:rPr>
          <w:rStyle w:val="95"/>
          <w:sz w:val="24"/>
        </w:rPr>
      </w:pPr>
      <w:r>
        <w:rPr>
          <w:rStyle w:val="95"/>
          <w:sz w:val="24"/>
        </w:rPr>
        <w:t>4</w:t>
      </w:r>
      <w:r>
        <w:rPr>
          <w:rStyle w:val="95"/>
          <w:rFonts w:hint="eastAsia"/>
          <w:sz w:val="24"/>
        </w:rPr>
        <w:t>）投标人的投标价中应含的保险费按如下的规定办理：</w:t>
      </w:r>
    </w:p>
    <w:p w14:paraId="01ACED3A">
      <w:pPr>
        <w:spacing w:line="460" w:lineRule="exact"/>
        <w:ind w:firstLine="480" w:firstLineChars="200"/>
        <w:rPr>
          <w:rStyle w:val="95"/>
          <w:sz w:val="24"/>
        </w:rPr>
      </w:pPr>
      <w:r>
        <w:rPr>
          <w:rStyle w:val="95"/>
          <w:sz w:val="24"/>
        </w:rPr>
        <w:t>a.</w:t>
      </w:r>
      <w:r>
        <w:rPr>
          <w:rStyle w:val="95"/>
          <w:rFonts w:hint="eastAsia"/>
          <w:sz w:val="24"/>
        </w:rPr>
        <w:t>工程一切险和第三方责任险由承包人与发包人联名投保，保险费由承包人承担，并计入投标报价，投保的范围与条件在合同专用条款中明确。</w:t>
      </w:r>
    </w:p>
    <w:p w14:paraId="14E149BF">
      <w:pPr>
        <w:spacing w:line="460" w:lineRule="exact"/>
        <w:ind w:firstLine="480" w:firstLineChars="200"/>
        <w:rPr>
          <w:rStyle w:val="95"/>
          <w:sz w:val="24"/>
        </w:rPr>
      </w:pPr>
      <w:r>
        <w:rPr>
          <w:rStyle w:val="95"/>
          <w:sz w:val="24"/>
        </w:rPr>
        <w:t>b.</w:t>
      </w:r>
      <w:r>
        <w:rPr>
          <w:rStyle w:val="95"/>
          <w:rFonts w:hint="eastAsia"/>
          <w:sz w:val="24"/>
        </w:rPr>
        <w:t>承包人装备险和承包人职工的（人身）事故险由承包人承担，并计入投标报价。</w:t>
      </w:r>
    </w:p>
    <w:p w14:paraId="7CB27C65">
      <w:pPr>
        <w:spacing w:line="460" w:lineRule="exact"/>
        <w:ind w:firstLine="480" w:firstLineChars="200"/>
        <w:rPr>
          <w:rStyle w:val="95"/>
          <w:sz w:val="24"/>
        </w:rPr>
      </w:pPr>
      <w:r>
        <w:rPr>
          <w:rStyle w:val="95"/>
          <w:sz w:val="24"/>
        </w:rPr>
        <w:t>c.</w:t>
      </w:r>
      <w:r>
        <w:rPr>
          <w:rStyle w:val="95"/>
          <w:rFonts w:hint="eastAsia"/>
          <w:sz w:val="24"/>
        </w:rPr>
        <w:t>承包人因承包本合同工程需做的一切税费由承包人承担，并计入投标报价。</w:t>
      </w:r>
    </w:p>
    <w:p w14:paraId="68F77163">
      <w:pPr>
        <w:spacing w:line="460" w:lineRule="exact"/>
        <w:ind w:firstLine="480" w:firstLineChars="200"/>
        <w:rPr>
          <w:rStyle w:val="95"/>
          <w:sz w:val="24"/>
        </w:rPr>
      </w:pPr>
      <w:r>
        <w:rPr>
          <w:rStyle w:val="95"/>
          <w:rFonts w:hint="eastAsia"/>
          <w:sz w:val="24"/>
        </w:rPr>
        <w:t>上述各项费用，投标人如报价为</w:t>
      </w:r>
      <w:r>
        <w:rPr>
          <w:rStyle w:val="95"/>
          <w:sz w:val="24"/>
        </w:rPr>
        <w:t>0</w:t>
      </w:r>
      <w:r>
        <w:rPr>
          <w:rStyle w:val="95"/>
          <w:rFonts w:hint="eastAsia"/>
          <w:sz w:val="24"/>
        </w:rPr>
        <w:t>或未进行报价，招标人将认为此项工作已包括在投标报价中。</w:t>
      </w:r>
    </w:p>
    <w:p w14:paraId="29E2622D">
      <w:pPr>
        <w:spacing w:line="460" w:lineRule="exact"/>
        <w:ind w:firstLine="480" w:firstLineChars="200"/>
        <w:rPr>
          <w:rStyle w:val="95"/>
          <w:sz w:val="24"/>
        </w:rPr>
      </w:pPr>
      <w:r>
        <w:rPr>
          <w:rStyle w:val="95"/>
          <w:sz w:val="24"/>
        </w:rPr>
        <w:t xml:space="preserve">3.2.8 </w:t>
      </w:r>
      <w:r>
        <w:rPr>
          <w:rFonts w:hint="eastAsia"/>
          <w:sz w:val="24"/>
        </w:rPr>
        <w:t>投标人在投标截止时间前修改投标报价总价，须符合本章第</w:t>
      </w:r>
      <w:r>
        <w:rPr>
          <w:sz w:val="24"/>
        </w:rPr>
        <w:t>4.3</w:t>
      </w:r>
      <w:r>
        <w:rPr>
          <w:rFonts w:hint="eastAsia"/>
          <w:sz w:val="24"/>
        </w:rPr>
        <w:t>款的有关要求。</w:t>
      </w:r>
    </w:p>
    <w:p w14:paraId="79BECC99">
      <w:pPr>
        <w:pStyle w:val="892"/>
        <w:spacing w:line="460" w:lineRule="exact"/>
        <w:rPr>
          <w:rStyle w:val="95"/>
          <w:rFonts w:eastAsia="宋体"/>
          <w:szCs w:val="24"/>
        </w:rPr>
      </w:pPr>
      <w:r>
        <w:rPr>
          <w:rStyle w:val="95"/>
          <w:rFonts w:eastAsia="宋体"/>
          <w:szCs w:val="24"/>
        </w:rPr>
        <w:t xml:space="preserve">3.3 </w:t>
      </w:r>
      <w:r>
        <w:rPr>
          <w:rStyle w:val="95"/>
          <w:rFonts w:hint="eastAsia" w:eastAsia="宋体"/>
          <w:szCs w:val="24"/>
        </w:rPr>
        <w:t>投标有效期</w:t>
      </w:r>
    </w:p>
    <w:p w14:paraId="2EB9DD09">
      <w:pPr>
        <w:spacing w:line="460" w:lineRule="exact"/>
        <w:ind w:firstLine="480" w:firstLineChars="200"/>
        <w:rPr>
          <w:rStyle w:val="95"/>
          <w:sz w:val="24"/>
        </w:rPr>
      </w:pPr>
      <w:r>
        <w:rPr>
          <w:rStyle w:val="95"/>
          <w:sz w:val="24"/>
        </w:rPr>
        <w:t xml:space="preserve">3.3.1 </w:t>
      </w:r>
      <w:r>
        <w:rPr>
          <w:rStyle w:val="95"/>
          <w:rFonts w:hint="eastAsia"/>
          <w:sz w:val="24"/>
        </w:rPr>
        <w:t>在投标人须知前附表规定的投标有效期内，投标人不得要求撤销或修改其投标文件。在最终投标截止时间后，电子交易平台自动设置为拒收撤销或修改其投标文件。</w:t>
      </w:r>
    </w:p>
    <w:p w14:paraId="7EB18BE3">
      <w:pPr>
        <w:spacing w:line="460" w:lineRule="exact"/>
        <w:ind w:firstLine="480" w:firstLineChars="200"/>
        <w:rPr>
          <w:rStyle w:val="95"/>
          <w:sz w:val="24"/>
        </w:rPr>
      </w:pPr>
      <w:r>
        <w:rPr>
          <w:rStyle w:val="95"/>
          <w:sz w:val="24"/>
        </w:rPr>
        <w:t xml:space="preserve">3.3.2 </w:t>
      </w:r>
      <w:r>
        <w:rPr>
          <w:rStyle w:val="95"/>
          <w:rFonts w:hint="eastAsia"/>
          <w:sz w:val="24"/>
        </w:rPr>
        <w:t>出现特殊情况需要延长投标有效期的，招标人通过电子交易平台通知所有投标人延长投标有效期。投标人同意延长的，应相应延长其投标保证金的有效期，但不得要求或被允许修改或撤销其投标文件；投标人拒绝延长的，其投标失效，但投标人有权收回其投标保证金。</w:t>
      </w:r>
      <w:r>
        <w:rPr>
          <w:rStyle w:val="95"/>
          <w:sz w:val="24"/>
        </w:rPr>
        <w:t xml:space="preserve"> </w:t>
      </w:r>
    </w:p>
    <w:p w14:paraId="4C95B258">
      <w:pPr>
        <w:pStyle w:val="892"/>
        <w:spacing w:line="460" w:lineRule="exact"/>
        <w:rPr>
          <w:rStyle w:val="95"/>
          <w:rFonts w:eastAsia="宋体"/>
          <w:szCs w:val="24"/>
        </w:rPr>
      </w:pPr>
      <w:r>
        <w:rPr>
          <w:rStyle w:val="95"/>
          <w:rFonts w:eastAsia="宋体"/>
          <w:szCs w:val="24"/>
        </w:rPr>
        <w:t xml:space="preserve">3.4 </w:t>
      </w:r>
      <w:r>
        <w:rPr>
          <w:rStyle w:val="95"/>
          <w:rFonts w:hint="eastAsia" w:eastAsia="宋体"/>
          <w:szCs w:val="24"/>
        </w:rPr>
        <w:t>投标保证金</w:t>
      </w:r>
    </w:p>
    <w:p w14:paraId="21DC7665">
      <w:pPr>
        <w:spacing w:line="460" w:lineRule="exact"/>
        <w:ind w:firstLine="480" w:firstLineChars="200"/>
        <w:rPr>
          <w:rStyle w:val="95"/>
          <w:sz w:val="24"/>
        </w:rPr>
      </w:pPr>
      <w:r>
        <w:rPr>
          <w:rStyle w:val="95"/>
          <w:sz w:val="24"/>
        </w:rPr>
        <w:t xml:space="preserve">3.4.1 </w:t>
      </w:r>
      <w:r>
        <w:rPr>
          <w:rStyle w:val="95"/>
          <w:rFonts w:hint="eastAsia"/>
          <w:sz w:val="24"/>
        </w:rPr>
        <w:t>投标人应按投标人须知前附表规定的时间、金额、形式和本招标文件第一卷第五章</w:t>
      </w:r>
      <w:r>
        <w:rPr>
          <w:rStyle w:val="95"/>
          <w:sz w:val="24"/>
        </w:rPr>
        <w:t>“</w:t>
      </w:r>
      <w:r>
        <w:rPr>
          <w:rStyle w:val="95"/>
          <w:rFonts w:hint="eastAsia"/>
          <w:sz w:val="24"/>
        </w:rPr>
        <w:t>投标文件格式</w:t>
      </w:r>
      <w:r>
        <w:rPr>
          <w:rStyle w:val="95"/>
          <w:sz w:val="24"/>
        </w:rPr>
        <w:t>”</w:t>
      </w:r>
      <w:r>
        <w:rPr>
          <w:rStyle w:val="95"/>
          <w:rFonts w:hint="eastAsia"/>
          <w:sz w:val="24"/>
        </w:rPr>
        <w:t>规定的投标保证金格式递交投标保证金，并作为其投标文件的组成部分。联合体投标的，其投标保证金由牵头人递交，并应符合投标人须知前附表的规定。</w:t>
      </w:r>
    </w:p>
    <w:p w14:paraId="519E2A16">
      <w:pPr>
        <w:spacing w:line="460" w:lineRule="exact"/>
        <w:ind w:firstLine="480" w:firstLineChars="200"/>
        <w:rPr>
          <w:rStyle w:val="95"/>
          <w:sz w:val="24"/>
        </w:rPr>
      </w:pPr>
      <w:r>
        <w:rPr>
          <w:rStyle w:val="95"/>
          <w:sz w:val="24"/>
        </w:rPr>
        <w:t xml:space="preserve">3.4.2 </w:t>
      </w:r>
      <w:r>
        <w:rPr>
          <w:rStyle w:val="95"/>
          <w:rFonts w:hint="eastAsia"/>
          <w:sz w:val="24"/>
        </w:rPr>
        <w:t>投标保证金退还方式及时间：见投标人须知前附表。</w:t>
      </w:r>
    </w:p>
    <w:p w14:paraId="2483EF71">
      <w:pPr>
        <w:spacing w:line="460" w:lineRule="exact"/>
        <w:ind w:firstLine="480" w:firstLineChars="200"/>
        <w:rPr>
          <w:rStyle w:val="95"/>
          <w:sz w:val="24"/>
        </w:rPr>
      </w:pPr>
      <w:r>
        <w:rPr>
          <w:rStyle w:val="95"/>
          <w:sz w:val="24"/>
        </w:rPr>
        <w:t xml:space="preserve">3.4.3 </w:t>
      </w:r>
      <w:r>
        <w:rPr>
          <w:rStyle w:val="95"/>
          <w:rFonts w:hint="eastAsia"/>
          <w:sz w:val="24"/>
        </w:rPr>
        <w:t>有下列情形之一的，投标保证金将不予退还：</w:t>
      </w:r>
    </w:p>
    <w:p w14:paraId="169AFA21">
      <w:pPr>
        <w:spacing w:line="460" w:lineRule="exact"/>
        <w:ind w:firstLine="480" w:firstLineChars="200"/>
        <w:rPr>
          <w:rStyle w:val="95"/>
          <w:sz w:val="24"/>
        </w:rPr>
      </w:pPr>
      <w:r>
        <w:rPr>
          <w:rStyle w:val="95"/>
          <w:rFonts w:hint="eastAsia"/>
          <w:sz w:val="24"/>
        </w:rPr>
        <w:t>（</w:t>
      </w:r>
      <w:r>
        <w:rPr>
          <w:rStyle w:val="95"/>
          <w:sz w:val="24"/>
        </w:rPr>
        <w:t>1</w:t>
      </w:r>
      <w:r>
        <w:rPr>
          <w:rStyle w:val="95"/>
          <w:rFonts w:hint="eastAsia"/>
          <w:sz w:val="24"/>
        </w:rPr>
        <w:t>）投标人在规定的投标有效期内撤销或修改其投标文件；</w:t>
      </w:r>
    </w:p>
    <w:p w14:paraId="1A9BFAA7">
      <w:pPr>
        <w:spacing w:line="460" w:lineRule="exact"/>
        <w:ind w:firstLine="480" w:firstLineChars="200"/>
        <w:rPr>
          <w:rStyle w:val="95"/>
          <w:rFonts w:hint="eastAsia"/>
          <w:sz w:val="24"/>
        </w:rPr>
      </w:pPr>
      <w:r>
        <w:rPr>
          <w:rStyle w:val="95"/>
          <w:rFonts w:hint="eastAsia"/>
          <w:sz w:val="24"/>
        </w:rPr>
        <w:t>（</w:t>
      </w:r>
      <w:r>
        <w:rPr>
          <w:rStyle w:val="95"/>
          <w:sz w:val="24"/>
        </w:rPr>
        <w:t>2</w:t>
      </w:r>
      <w:r>
        <w:rPr>
          <w:rStyle w:val="95"/>
          <w:rFonts w:hint="eastAsia"/>
          <w:sz w:val="24"/>
        </w:rPr>
        <w:t>）中标人在收到中标通知书后，无正当理由拒签合同协议书或未按招标文件规定提交履约担保。</w:t>
      </w:r>
    </w:p>
    <w:p w14:paraId="5B04ED9D">
      <w:pPr>
        <w:spacing w:line="460" w:lineRule="exact"/>
        <w:ind w:firstLine="630" w:firstLineChars="300"/>
        <w:rPr>
          <w:rStyle w:val="95"/>
          <w:rFonts w:hint="eastAsia" w:ascii="Calibri" w:hAnsi="Calibri"/>
          <w:sz w:val="24"/>
        </w:rPr>
      </w:pPr>
      <w:r>
        <w:rPr>
          <w:rFonts w:hint="eastAsia" w:ascii="宋体" w:hAnsi="宋体" w:cs="宋体"/>
          <w:szCs w:val="21"/>
          <w:lang w:eastAsia="zh-CN"/>
        </w:rPr>
        <w:t>（</w:t>
      </w:r>
      <w:r>
        <w:rPr>
          <w:rStyle w:val="95"/>
          <w:rFonts w:hint="eastAsia" w:ascii="Calibri" w:hAnsi="Calibri"/>
          <w:sz w:val="24"/>
          <w:lang w:val="en-US" w:eastAsia="zh-CN"/>
        </w:rPr>
        <w:t>3）发生投标人须知前附表规定的其他可以不予退还投标保证金的情形。</w:t>
      </w:r>
    </w:p>
    <w:p w14:paraId="324AB560">
      <w:pPr>
        <w:pStyle w:val="892"/>
        <w:spacing w:line="460" w:lineRule="exact"/>
        <w:rPr>
          <w:rStyle w:val="95"/>
          <w:rFonts w:eastAsia="宋体"/>
          <w:szCs w:val="24"/>
        </w:rPr>
      </w:pPr>
      <w:r>
        <w:rPr>
          <w:rStyle w:val="95"/>
          <w:rFonts w:eastAsia="宋体"/>
          <w:szCs w:val="24"/>
        </w:rPr>
        <w:t xml:space="preserve">3.5 </w:t>
      </w:r>
      <w:r>
        <w:rPr>
          <w:rStyle w:val="95"/>
          <w:rFonts w:hint="eastAsia" w:eastAsia="宋体"/>
          <w:szCs w:val="24"/>
        </w:rPr>
        <w:t>资格审查资料</w:t>
      </w:r>
    </w:p>
    <w:p w14:paraId="4CBFFF3A">
      <w:pPr>
        <w:spacing w:line="460" w:lineRule="exact"/>
        <w:ind w:firstLine="480" w:firstLineChars="200"/>
        <w:rPr>
          <w:rStyle w:val="95"/>
          <w:sz w:val="24"/>
        </w:rPr>
      </w:pPr>
      <w:r>
        <w:rPr>
          <w:rStyle w:val="95"/>
          <w:sz w:val="24"/>
        </w:rPr>
        <w:t>3.5.1 “</w:t>
      </w:r>
      <w:r>
        <w:rPr>
          <w:rStyle w:val="95"/>
          <w:rFonts w:hint="eastAsia"/>
          <w:sz w:val="24"/>
        </w:rPr>
        <w:t>投标人基本情况表</w:t>
      </w:r>
      <w:r>
        <w:rPr>
          <w:rStyle w:val="95"/>
          <w:sz w:val="24"/>
        </w:rPr>
        <w:t>”</w:t>
      </w:r>
      <w:r>
        <w:rPr>
          <w:rStyle w:val="95"/>
          <w:rFonts w:hint="eastAsia"/>
          <w:sz w:val="24"/>
        </w:rPr>
        <w:t>应附投标人有效的营业执照副本、资质证书副本和安全生产许可证。</w:t>
      </w:r>
    </w:p>
    <w:p w14:paraId="7938DD26">
      <w:pPr>
        <w:spacing w:line="460" w:lineRule="exact"/>
        <w:ind w:firstLine="480" w:firstLineChars="200"/>
        <w:rPr>
          <w:rStyle w:val="95"/>
          <w:rFonts w:hint="eastAsia" w:ascii="Calibri" w:hAnsi="Calibri"/>
          <w:sz w:val="24"/>
          <w:lang w:val="en-US" w:eastAsia="zh-CN"/>
        </w:rPr>
      </w:pPr>
      <w:r>
        <w:rPr>
          <w:rStyle w:val="95"/>
          <w:sz w:val="24"/>
        </w:rPr>
        <w:t>3.5.2 “</w:t>
      </w:r>
      <w:r>
        <w:rPr>
          <w:rStyle w:val="95"/>
          <w:rFonts w:hint="eastAsia"/>
          <w:sz w:val="24"/>
        </w:rPr>
        <w:t>投标人项目班子人员配备</w:t>
      </w:r>
      <w:r>
        <w:rPr>
          <w:rStyle w:val="95"/>
          <w:sz w:val="24"/>
        </w:rPr>
        <w:t>”</w:t>
      </w:r>
      <w:r>
        <w:rPr>
          <w:rStyle w:val="95"/>
          <w:rFonts w:hint="eastAsia"/>
          <w:sz w:val="24"/>
        </w:rPr>
        <w:t>应附项目班子人员</w:t>
      </w:r>
      <w:r>
        <w:rPr>
          <w:rStyle w:val="95"/>
          <w:rFonts w:hint="eastAsia"/>
          <w:sz w:val="24"/>
          <w:lang w:eastAsia="zh-CN"/>
        </w:rPr>
        <w:t>证</w:t>
      </w:r>
      <w:r>
        <w:rPr>
          <w:rStyle w:val="95"/>
          <w:rFonts w:hint="eastAsia"/>
          <w:sz w:val="24"/>
        </w:rPr>
        <w:t>件，本工程项目班子按</w:t>
      </w:r>
      <w:r>
        <w:rPr>
          <w:rStyle w:val="95"/>
          <w:rFonts w:hint="eastAsia"/>
          <w:sz w:val="24"/>
          <w:u w:val="single"/>
        </w:rPr>
        <w:t xml:space="preserve">   </w:t>
      </w:r>
      <w:r>
        <w:rPr>
          <w:rStyle w:val="95"/>
          <w:rFonts w:hint="eastAsia"/>
          <w:sz w:val="24"/>
        </w:rPr>
        <w:t>级班子（</w:t>
      </w:r>
      <w:r>
        <w:rPr>
          <w:rStyle w:val="95"/>
          <w:rFonts w:hint="eastAsia"/>
          <w:sz w:val="24"/>
          <w:u w:val="single"/>
        </w:rPr>
        <w:t xml:space="preserve">   </w:t>
      </w:r>
      <w:r>
        <w:rPr>
          <w:rStyle w:val="95"/>
          <w:rFonts w:hint="eastAsia"/>
          <w:sz w:val="24"/>
        </w:rPr>
        <w:t>人）配备，人员详见承包人（投标人）项目班子人员配备登记表；</w:t>
      </w:r>
      <w:r>
        <w:rPr>
          <w:rStyle w:val="95"/>
          <w:rFonts w:hint="eastAsia" w:ascii="Calibri" w:hAnsi="Calibri"/>
          <w:sz w:val="24"/>
        </w:rPr>
        <w:t>项目经理具备____专业</w:t>
      </w:r>
      <w:r>
        <w:rPr>
          <w:rStyle w:val="95"/>
          <w:rFonts w:hint="eastAsia" w:ascii="Calibri" w:hAnsi="Calibri"/>
          <w:sz w:val="24"/>
          <w:lang w:eastAsia="zh-CN"/>
        </w:rPr>
        <w:t>一</w:t>
      </w:r>
      <w:r>
        <w:rPr>
          <w:rStyle w:val="95"/>
          <w:rFonts w:hint="eastAsia" w:ascii="Calibri" w:hAnsi="Calibri"/>
          <w:sz w:val="24"/>
        </w:rPr>
        <w:t>级注册建造师执业资格</w:t>
      </w:r>
      <w:r>
        <w:rPr>
          <w:rStyle w:val="95"/>
          <w:rFonts w:hint="eastAsia" w:ascii="Calibri" w:hAnsi="Calibri"/>
          <w:sz w:val="24"/>
          <w:lang w:eastAsia="zh-CN"/>
        </w:rPr>
        <w:t>（一级建造师打印电子注册证书，符合住房和城乡建设部办公厅关于全面实行一级建造师电子注册证书的通知建办市</w:t>
      </w:r>
      <w:r>
        <w:rPr>
          <w:rStyle w:val="95"/>
          <w:rFonts w:hint="eastAsia" w:ascii="Calibri" w:hAnsi="Calibri"/>
          <w:sz w:val="24"/>
          <w:lang w:val="en-US" w:eastAsia="zh-CN"/>
        </w:rPr>
        <w:t>【2021】40号要求）</w:t>
      </w:r>
      <w:r>
        <w:rPr>
          <w:rStyle w:val="95"/>
          <w:rFonts w:hint="eastAsia" w:ascii="Calibri" w:hAnsi="Calibri"/>
          <w:sz w:val="24"/>
        </w:rPr>
        <w:t>，</w:t>
      </w:r>
      <w:r>
        <w:rPr>
          <w:rStyle w:val="95"/>
          <w:rFonts w:hint="eastAsia" w:ascii="Calibri" w:hAnsi="Calibri"/>
          <w:sz w:val="24"/>
          <w:lang w:eastAsia="zh-CN"/>
        </w:rPr>
        <w:t>或</w:t>
      </w:r>
      <w:r>
        <w:rPr>
          <w:rStyle w:val="95"/>
          <w:rFonts w:hint="eastAsia" w:ascii="Calibri" w:hAnsi="Calibri"/>
          <w:sz w:val="24"/>
        </w:rPr>
        <w:t>项目经理具备____专业</w:t>
      </w:r>
      <w:r>
        <w:rPr>
          <w:rStyle w:val="95"/>
          <w:rFonts w:hint="eastAsia" w:ascii="Calibri" w:hAnsi="Calibri"/>
          <w:sz w:val="24"/>
          <w:lang w:eastAsia="zh-CN"/>
        </w:rPr>
        <w:t>二</w:t>
      </w:r>
      <w:r>
        <w:rPr>
          <w:rStyle w:val="95"/>
          <w:rFonts w:hint="eastAsia" w:ascii="Calibri" w:hAnsi="Calibri"/>
          <w:sz w:val="24"/>
        </w:rPr>
        <w:t>级注册建造师执业资格</w:t>
      </w:r>
      <w:r>
        <w:rPr>
          <w:rStyle w:val="95"/>
          <w:rFonts w:hint="eastAsia" w:ascii="Calibri" w:hAnsi="Calibri"/>
          <w:sz w:val="24"/>
          <w:lang w:eastAsia="zh-CN"/>
        </w:rPr>
        <w:t>（电子注册证书</w:t>
      </w:r>
      <w:r>
        <w:rPr>
          <w:rStyle w:val="95"/>
          <w:rFonts w:hint="eastAsia" w:ascii="Calibri" w:hAnsi="Calibri"/>
          <w:sz w:val="24"/>
          <w:lang w:val="en-US" w:eastAsia="zh-CN"/>
        </w:rPr>
        <w:t>）</w:t>
      </w:r>
      <w:r>
        <w:rPr>
          <w:rStyle w:val="95"/>
          <w:rFonts w:hint="eastAsia" w:ascii="Calibri" w:hAnsi="Calibri"/>
          <w:sz w:val="24"/>
        </w:rPr>
        <w:t>，</w:t>
      </w:r>
      <w:r>
        <w:rPr>
          <w:rStyle w:val="95"/>
          <w:rFonts w:hint="eastAsia"/>
          <w:sz w:val="24"/>
        </w:rPr>
        <w:t>注册建造师担任项目经理同时须具备有效的安全生产考核合格证书（</w:t>
      </w:r>
      <w:r>
        <w:rPr>
          <w:rStyle w:val="95"/>
          <w:sz w:val="24"/>
        </w:rPr>
        <w:t>B</w:t>
      </w:r>
      <w:r>
        <w:rPr>
          <w:rStyle w:val="95"/>
          <w:rFonts w:hint="eastAsia"/>
          <w:sz w:val="24"/>
        </w:rPr>
        <w:t>证）；项目</w:t>
      </w:r>
      <w:r>
        <w:rPr>
          <w:rStyle w:val="95"/>
          <w:rFonts w:hint="eastAsia"/>
          <w:sz w:val="24"/>
          <w:lang w:eastAsia="zh-CN"/>
        </w:rPr>
        <w:t>技术负责人</w:t>
      </w:r>
      <w:r>
        <w:rPr>
          <w:rStyle w:val="95"/>
          <w:rFonts w:hint="eastAsia"/>
          <w:sz w:val="24"/>
        </w:rPr>
        <w:t>具备</w:t>
      </w:r>
      <w:r>
        <w:rPr>
          <w:rStyle w:val="95"/>
          <w:rFonts w:hint="eastAsia"/>
          <w:sz w:val="24"/>
          <w:u w:val="single"/>
        </w:rPr>
        <w:t xml:space="preserve">    </w:t>
      </w:r>
      <w:r>
        <w:rPr>
          <w:rStyle w:val="95"/>
          <w:rFonts w:hint="eastAsia"/>
          <w:sz w:val="24"/>
        </w:rPr>
        <w:t>专业</w:t>
      </w:r>
      <w:r>
        <w:rPr>
          <w:rStyle w:val="95"/>
          <w:rFonts w:hint="eastAsia"/>
          <w:sz w:val="24"/>
          <w:u w:val="single"/>
        </w:rPr>
        <w:t xml:space="preserve">    </w:t>
      </w:r>
      <w:r>
        <w:rPr>
          <w:rStyle w:val="95"/>
          <w:rFonts w:hint="eastAsia"/>
          <w:sz w:val="24"/>
        </w:rPr>
        <w:t>级及以上职称；安全员具备有效的安全生产考核合格证书（</w:t>
      </w:r>
      <w:r>
        <w:rPr>
          <w:rStyle w:val="95"/>
          <w:sz w:val="24"/>
        </w:rPr>
        <w:t>C</w:t>
      </w:r>
      <w:r>
        <w:rPr>
          <w:rStyle w:val="95"/>
          <w:rFonts w:hint="eastAsia"/>
          <w:sz w:val="24"/>
        </w:rPr>
        <w:t>）</w:t>
      </w:r>
      <w:r>
        <w:rPr>
          <w:rStyle w:val="95"/>
          <w:rFonts w:hint="eastAsia"/>
          <w:sz w:val="24"/>
          <w:lang w:eastAsia="zh-CN"/>
        </w:rPr>
        <w:t>，</w:t>
      </w:r>
      <w:r>
        <w:rPr>
          <w:rStyle w:val="95"/>
          <w:rFonts w:hint="eastAsia" w:ascii="Calibri" w:hAnsi="Calibri"/>
          <w:sz w:val="24"/>
          <w:lang w:val="en-US" w:eastAsia="zh-CN"/>
        </w:rPr>
        <w:t>其他项目班子人员应持有的证件包括：</w:t>
      </w:r>
      <w:r>
        <w:rPr>
          <w:rStyle w:val="95"/>
          <w:rFonts w:hint="default" w:ascii="Calibri" w:hAnsi="Calibri"/>
          <w:sz w:val="24"/>
          <w:lang w:val="en-US" w:eastAsia="zh-CN"/>
        </w:rPr>
        <w:t>①</w:t>
      </w:r>
      <w:r>
        <w:rPr>
          <w:rStyle w:val="95"/>
          <w:rFonts w:hint="eastAsia" w:ascii="Calibri" w:hAnsi="Calibri"/>
          <w:sz w:val="24"/>
          <w:lang w:val="en-US" w:eastAsia="zh-CN"/>
        </w:rPr>
        <w:t>住建部“384号”文件要求《合格证》电子证书；</w:t>
      </w:r>
      <w:r>
        <w:rPr>
          <w:rStyle w:val="95"/>
          <w:rFonts w:hint="default" w:ascii="Calibri" w:hAnsi="Calibri"/>
          <w:sz w:val="24"/>
          <w:lang w:val="en-US" w:eastAsia="zh-CN"/>
        </w:rPr>
        <w:t>②</w:t>
      </w:r>
      <w:r>
        <w:rPr>
          <w:rStyle w:val="95"/>
          <w:rFonts w:hint="eastAsia" w:ascii="Calibri" w:hAnsi="Calibri"/>
          <w:sz w:val="24"/>
          <w:lang w:val="en-US" w:eastAsia="zh-CN"/>
        </w:rPr>
        <w:t>各省级以上住建厅核发的电子证书；</w:t>
      </w:r>
      <w:r>
        <w:rPr>
          <w:rStyle w:val="95"/>
          <w:rFonts w:hint="default" w:ascii="Calibri" w:hAnsi="Calibri"/>
          <w:sz w:val="24"/>
          <w:lang w:val="en-US" w:eastAsia="zh-CN"/>
        </w:rPr>
        <w:t>③</w:t>
      </w:r>
      <w:r>
        <w:rPr>
          <w:rStyle w:val="95"/>
          <w:rFonts w:hint="eastAsia" w:ascii="Calibri" w:hAnsi="Calibri"/>
          <w:sz w:val="24"/>
          <w:lang w:val="en-US" w:eastAsia="zh-CN"/>
        </w:rPr>
        <w:t>各省级以上住建厅核发的纸质证书，有专业分类的，应符合本项目要求。其中，试验员岗位如投标人暂不能提供试验员岗位考核合格证书的，可提供一名材料员岗位考核合格证书。</w:t>
      </w:r>
      <w:r>
        <w:rPr>
          <w:rStyle w:val="95"/>
          <w:rFonts w:hint="eastAsia"/>
          <w:bCs/>
          <w:sz w:val="24"/>
        </w:rPr>
        <w:t>设计负责人具备</w:t>
      </w:r>
      <w:r>
        <w:rPr>
          <w:rStyle w:val="95"/>
          <w:rFonts w:hint="eastAsia"/>
          <w:bCs/>
          <w:sz w:val="24"/>
          <w:u w:val="single"/>
        </w:rPr>
        <w:t xml:space="preserve">     </w:t>
      </w:r>
      <w:r>
        <w:rPr>
          <w:rStyle w:val="95"/>
          <w:rFonts w:hint="eastAsia" w:ascii="Calibri" w:hAnsi="Calibri"/>
          <w:sz w:val="24"/>
          <w:lang w:val="en-US" w:eastAsia="zh-CN"/>
        </w:rPr>
        <w:t>级注册结构工程师注册执业证书或注册建筑师注册证书。</w:t>
      </w:r>
      <w:bookmarkStart w:id="774" w:name="_GoBack"/>
      <w:bookmarkEnd w:id="774"/>
    </w:p>
    <w:p w14:paraId="72E3EC43">
      <w:pPr>
        <w:spacing w:line="460" w:lineRule="exact"/>
        <w:ind w:firstLine="480" w:firstLineChars="200"/>
        <w:rPr>
          <w:rStyle w:val="95"/>
          <w:rFonts w:hint="eastAsia" w:ascii="Calibri" w:hAnsi="Calibri"/>
          <w:sz w:val="24"/>
          <w:lang w:val="en-US" w:eastAsia="zh-CN"/>
        </w:rPr>
      </w:pPr>
      <w:r>
        <w:rPr>
          <w:rStyle w:val="95"/>
          <w:rFonts w:hint="eastAsia" w:ascii="Calibri" w:hAnsi="Calibri"/>
          <w:sz w:val="24"/>
          <w:lang w:val="en-US" w:eastAsia="zh-CN"/>
        </w:rPr>
        <w:t>其他项目班子人员持有的三种证书有效性应符合 《山西省住房和城乡建设厅关于开展全省住房和城乡建设领域施工现场专业人员继续教育工作的通知》（晋建人函〔2023〕627 号）有关规定，即“继续教育实行学时制管理，施工现场专业人员自取得培训合格证次年起，每年应参加不少于 32 学时（其中专业岗位知识不少于 22 学时）的继续教育。两年累计不满 64 学时或未从事相应岗位工作的人员，应重新参加施工现场专业人员职业培训学习，《住房和城乡建设领域施工现场专业人员职业培训合格证》 作废”，此规定中的两年是指近两年。</w:t>
      </w:r>
    </w:p>
    <w:p w14:paraId="7B417E7F">
      <w:pPr>
        <w:spacing w:line="372" w:lineRule="auto"/>
        <w:ind w:firstLine="480" w:firstLineChars="200"/>
        <w:rPr>
          <w:rStyle w:val="95"/>
          <w:rFonts w:hint="eastAsia" w:ascii="Calibri" w:hAnsi="Calibri"/>
          <w:sz w:val="24"/>
          <w:lang w:val="en-US" w:eastAsia="zh-CN"/>
        </w:rPr>
      </w:pPr>
      <w:r>
        <w:rPr>
          <w:rStyle w:val="95"/>
          <w:rFonts w:hint="eastAsia" w:ascii="Calibri" w:hAnsi="Calibri"/>
          <w:sz w:val="24"/>
          <w:lang w:val="en-US" w:eastAsia="zh-CN"/>
        </w:rPr>
        <w:t>班子人员中存在住房和城乡建设部办公厅《关于做好工程建设领域专业技术人员职业资格“挂证”等违法违规行为专项整治工作的补充通知》建办市函【2019】92号文件要求的6类情形的，在提供相应证明材料后，原则上不认定为“挂证”行为；其它情形的班子人员均须提供近6个月内任意一个月具备二维码扫描功能或通过网址登录可查询的养老保险参保证明。</w:t>
      </w:r>
    </w:p>
    <w:p w14:paraId="5A3CA26F">
      <w:pPr>
        <w:spacing w:line="460" w:lineRule="exact"/>
        <w:ind w:firstLine="422" w:firstLineChars="200"/>
        <w:rPr>
          <w:rStyle w:val="95"/>
          <w:rFonts w:hint="eastAsia" w:ascii="Calibri" w:hAnsi="Calibri"/>
          <w:sz w:val="24"/>
          <w:lang w:val="en-US" w:eastAsia="zh-CN"/>
        </w:rPr>
      </w:pPr>
      <w:r>
        <w:rPr>
          <w:rFonts w:hint="eastAsia" w:ascii="宋体" w:hAnsi="宋体"/>
          <w:b/>
          <w:bCs/>
          <w:color w:val="FF0000"/>
          <w:szCs w:val="21"/>
          <w:lang w:eastAsia="zh-CN"/>
        </w:rPr>
        <w:t>在建工程为新建房屋建筑工程的，须提供各方主体签字盖章的“主体分部（子分部）工程质量验收记录”或“竣工验收证明书”；其他工程项目的，须提供各方主体签字盖章的“竣工验收证明书”；因非</w:t>
      </w:r>
      <w:r>
        <w:rPr>
          <w:rFonts w:hint="eastAsia" w:ascii="宋体" w:hAnsi="宋体" w:eastAsia="宋体" w:cs="Times New Roman"/>
          <w:b/>
          <w:bCs/>
          <w:color w:val="FF0000"/>
          <w:szCs w:val="21"/>
          <w:lang w:eastAsia="zh-CN"/>
        </w:rPr>
        <w:t>承包方原因致使工程项目停工超过120天，须提供经建设单位同意的工程停工证明。</w:t>
      </w:r>
    </w:p>
    <w:p w14:paraId="211BB41C">
      <w:pPr>
        <w:spacing w:line="460" w:lineRule="exact"/>
        <w:ind w:firstLine="480" w:firstLineChars="200"/>
        <w:rPr>
          <w:rStyle w:val="95"/>
          <w:b w:val="0"/>
          <w:bCs w:val="0"/>
          <w:color w:val="auto"/>
          <w:sz w:val="24"/>
        </w:rPr>
      </w:pPr>
      <w:r>
        <w:rPr>
          <w:rStyle w:val="95"/>
          <w:b w:val="0"/>
          <w:bCs w:val="0"/>
          <w:color w:val="auto"/>
          <w:sz w:val="24"/>
        </w:rPr>
        <w:t>3.5.4 “</w:t>
      </w:r>
      <w:r>
        <w:rPr>
          <w:rStyle w:val="95"/>
          <w:rFonts w:hint="eastAsia"/>
          <w:b w:val="0"/>
          <w:bCs w:val="0"/>
          <w:color w:val="auto"/>
          <w:sz w:val="24"/>
        </w:rPr>
        <w:t>近年完成的类似项目情况表</w:t>
      </w:r>
      <w:r>
        <w:rPr>
          <w:rStyle w:val="95"/>
          <w:b w:val="0"/>
          <w:bCs w:val="0"/>
          <w:color w:val="auto"/>
          <w:sz w:val="24"/>
        </w:rPr>
        <w:t>”</w:t>
      </w:r>
      <w:r>
        <w:rPr>
          <w:rStyle w:val="95"/>
          <w:rFonts w:hint="eastAsia"/>
          <w:b w:val="0"/>
          <w:bCs w:val="0"/>
          <w:color w:val="auto"/>
          <w:sz w:val="24"/>
        </w:rPr>
        <w:t>应附投标人类似总承包业绩证明材料，具体年份要求见投标人须知前附表。</w:t>
      </w:r>
    </w:p>
    <w:p w14:paraId="4F05446C">
      <w:pPr>
        <w:spacing w:line="460" w:lineRule="exact"/>
        <w:ind w:firstLine="480" w:firstLineChars="200"/>
        <w:rPr>
          <w:rStyle w:val="95"/>
          <w:b w:val="0"/>
          <w:bCs w:val="0"/>
          <w:color w:val="auto"/>
          <w:sz w:val="24"/>
        </w:rPr>
      </w:pPr>
      <w:r>
        <w:rPr>
          <w:rStyle w:val="95"/>
          <w:b w:val="0"/>
          <w:bCs w:val="0"/>
          <w:color w:val="auto"/>
          <w:sz w:val="24"/>
        </w:rPr>
        <w:t>3.5.5 “</w:t>
      </w:r>
      <w:r>
        <w:rPr>
          <w:rStyle w:val="95"/>
          <w:rFonts w:hint="eastAsia"/>
          <w:b w:val="0"/>
          <w:bCs w:val="0"/>
          <w:color w:val="auto"/>
          <w:sz w:val="24"/>
        </w:rPr>
        <w:t>正在施工和新承接的项目情况表</w:t>
      </w:r>
      <w:r>
        <w:rPr>
          <w:rStyle w:val="95"/>
          <w:b w:val="0"/>
          <w:bCs w:val="0"/>
          <w:color w:val="auto"/>
          <w:sz w:val="24"/>
        </w:rPr>
        <w:t>”</w:t>
      </w:r>
      <w:r>
        <w:rPr>
          <w:rStyle w:val="95"/>
          <w:rFonts w:hint="eastAsia"/>
          <w:b w:val="0"/>
          <w:bCs w:val="0"/>
          <w:color w:val="auto"/>
          <w:sz w:val="24"/>
        </w:rPr>
        <w:t>应附投标人类似总承包业绩证明材料。</w:t>
      </w:r>
    </w:p>
    <w:p w14:paraId="3D559F39">
      <w:pPr>
        <w:spacing w:line="460" w:lineRule="exact"/>
        <w:ind w:firstLine="480" w:firstLineChars="200"/>
        <w:rPr>
          <w:rStyle w:val="95"/>
          <w:b w:val="0"/>
          <w:bCs w:val="0"/>
          <w:color w:val="auto"/>
          <w:sz w:val="24"/>
        </w:rPr>
      </w:pPr>
      <w:r>
        <w:rPr>
          <w:rStyle w:val="95"/>
          <w:b w:val="0"/>
          <w:bCs w:val="0"/>
          <w:color w:val="auto"/>
          <w:sz w:val="24"/>
        </w:rPr>
        <w:t>3.5.6 “</w:t>
      </w:r>
      <w:r>
        <w:rPr>
          <w:rStyle w:val="95"/>
          <w:rFonts w:hint="eastAsia"/>
          <w:b w:val="0"/>
          <w:bCs w:val="0"/>
          <w:color w:val="auto"/>
          <w:sz w:val="24"/>
        </w:rPr>
        <w:t>近年发生的诉讼及仲裁情况</w:t>
      </w:r>
      <w:r>
        <w:rPr>
          <w:rStyle w:val="95"/>
          <w:b w:val="0"/>
          <w:bCs w:val="0"/>
          <w:color w:val="auto"/>
          <w:sz w:val="24"/>
        </w:rPr>
        <w:t>”</w:t>
      </w:r>
      <w:r>
        <w:rPr>
          <w:rStyle w:val="95"/>
          <w:rFonts w:hint="eastAsia"/>
          <w:b w:val="0"/>
          <w:bCs w:val="0"/>
          <w:color w:val="auto"/>
          <w:sz w:val="24"/>
        </w:rPr>
        <w:t>应说明相关情况，并附法院或仲裁机构作出的判决、裁决等有关法律文书，具体年份要求见投标人须知前附表。</w:t>
      </w:r>
    </w:p>
    <w:p w14:paraId="442A3B0B">
      <w:pPr>
        <w:pStyle w:val="892"/>
        <w:spacing w:line="460" w:lineRule="exact"/>
        <w:ind w:firstLine="480" w:firstLineChars="200"/>
        <w:rPr>
          <w:rStyle w:val="95"/>
          <w:rFonts w:eastAsia="宋体"/>
          <w:szCs w:val="24"/>
        </w:rPr>
      </w:pPr>
      <w:r>
        <w:rPr>
          <w:rStyle w:val="95"/>
          <w:rFonts w:eastAsia="宋体"/>
          <w:szCs w:val="24"/>
        </w:rPr>
        <w:t xml:space="preserve">3.6 </w:t>
      </w:r>
      <w:r>
        <w:rPr>
          <w:rStyle w:val="95"/>
          <w:rFonts w:hint="eastAsia" w:eastAsia="宋体"/>
          <w:szCs w:val="24"/>
        </w:rPr>
        <w:t>投标文件的编制</w:t>
      </w:r>
    </w:p>
    <w:p w14:paraId="105799EE">
      <w:pPr>
        <w:spacing w:line="460" w:lineRule="exact"/>
        <w:ind w:firstLine="480" w:firstLineChars="200"/>
        <w:rPr>
          <w:rStyle w:val="95"/>
          <w:sz w:val="24"/>
        </w:rPr>
      </w:pPr>
      <w:r>
        <w:rPr>
          <w:rStyle w:val="95"/>
          <w:sz w:val="24"/>
        </w:rPr>
        <w:t>3.</w:t>
      </w:r>
      <w:r>
        <w:rPr>
          <w:rStyle w:val="95"/>
          <w:rFonts w:hint="eastAsia"/>
          <w:sz w:val="24"/>
          <w:lang w:val="en-US" w:eastAsia="zh-CN"/>
        </w:rPr>
        <w:t>6</w:t>
      </w:r>
      <w:r>
        <w:rPr>
          <w:rStyle w:val="95"/>
          <w:sz w:val="24"/>
        </w:rPr>
        <w:t xml:space="preserve">.1 </w:t>
      </w:r>
      <w:r>
        <w:rPr>
          <w:rStyle w:val="95"/>
          <w:rFonts w:hint="eastAsia"/>
          <w:sz w:val="24"/>
        </w:rPr>
        <w:t>投标文件应按招标文件第一卷第五章</w:t>
      </w:r>
      <w:r>
        <w:rPr>
          <w:rStyle w:val="95"/>
          <w:sz w:val="24"/>
        </w:rPr>
        <w:t>“</w:t>
      </w:r>
      <w:r>
        <w:rPr>
          <w:rStyle w:val="95"/>
          <w:rFonts w:hint="eastAsia"/>
          <w:sz w:val="24"/>
        </w:rPr>
        <w:t>投标文件格式</w:t>
      </w:r>
      <w:r>
        <w:rPr>
          <w:rStyle w:val="95"/>
          <w:sz w:val="24"/>
        </w:rPr>
        <w:t>”</w:t>
      </w:r>
      <w:r>
        <w:rPr>
          <w:rStyle w:val="95"/>
          <w:rFonts w:hint="eastAsia"/>
          <w:sz w:val="24"/>
        </w:rPr>
        <w:t>进行编写，如有必要，可以增加附页，作为投标文件的组成部分。其中，投标函附录在满足招标文件实质性要求的基础上，可以提出比招标文件要求更有利于招标人的承诺。</w:t>
      </w:r>
    </w:p>
    <w:p w14:paraId="78851C47">
      <w:pPr>
        <w:spacing w:line="460" w:lineRule="exact"/>
        <w:ind w:firstLine="480" w:firstLineChars="200"/>
        <w:rPr>
          <w:rStyle w:val="95"/>
          <w:sz w:val="24"/>
        </w:rPr>
      </w:pPr>
      <w:r>
        <w:rPr>
          <w:rStyle w:val="95"/>
          <w:sz w:val="24"/>
        </w:rPr>
        <w:t>3.</w:t>
      </w:r>
      <w:r>
        <w:rPr>
          <w:rStyle w:val="95"/>
          <w:rFonts w:hint="eastAsia"/>
          <w:sz w:val="24"/>
          <w:lang w:val="en-US" w:eastAsia="zh-CN"/>
        </w:rPr>
        <w:t>6</w:t>
      </w:r>
      <w:r>
        <w:rPr>
          <w:rStyle w:val="95"/>
          <w:sz w:val="24"/>
        </w:rPr>
        <w:t xml:space="preserve">.2 </w:t>
      </w:r>
      <w:r>
        <w:rPr>
          <w:rStyle w:val="95"/>
          <w:rFonts w:hint="eastAsia"/>
          <w:sz w:val="24"/>
        </w:rPr>
        <w:t>投标文件应当对招标文件有关工期、投标有效期、质量要求、技术标准和要求、招标范围等实质性内容作出响应。</w:t>
      </w:r>
    </w:p>
    <w:p w14:paraId="441F387C">
      <w:pPr>
        <w:spacing w:line="460" w:lineRule="exact"/>
        <w:ind w:firstLine="480" w:firstLineChars="200"/>
        <w:rPr>
          <w:rStyle w:val="95"/>
          <w:sz w:val="24"/>
        </w:rPr>
      </w:pPr>
      <w:r>
        <w:rPr>
          <w:rStyle w:val="95"/>
          <w:sz w:val="24"/>
        </w:rPr>
        <w:t>3.</w:t>
      </w:r>
      <w:r>
        <w:rPr>
          <w:rStyle w:val="95"/>
          <w:rFonts w:hint="eastAsia"/>
          <w:sz w:val="24"/>
          <w:lang w:val="en-US" w:eastAsia="zh-CN"/>
        </w:rPr>
        <w:t>6</w:t>
      </w:r>
      <w:r>
        <w:rPr>
          <w:rStyle w:val="95"/>
          <w:sz w:val="24"/>
        </w:rPr>
        <w:t>.3</w:t>
      </w:r>
      <w:r>
        <w:rPr>
          <w:rStyle w:val="95"/>
          <w:rFonts w:hint="eastAsia" w:ascii="Calibri" w:hAnsi="Calibri"/>
          <w:sz w:val="24"/>
        </w:rPr>
        <w:t>投标文件所附证书证件在相应位置加盖电子印章。</w:t>
      </w:r>
    </w:p>
    <w:p w14:paraId="27880C19">
      <w:pPr>
        <w:pStyle w:val="892"/>
        <w:spacing w:line="460" w:lineRule="exact"/>
        <w:rPr>
          <w:rStyle w:val="95"/>
          <w:rFonts w:eastAsia="宋体"/>
          <w:szCs w:val="24"/>
        </w:rPr>
      </w:pPr>
      <w:r>
        <w:rPr>
          <w:rStyle w:val="95"/>
          <w:rFonts w:eastAsia="宋体"/>
          <w:szCs w:val="24"/>
        </w:rPr>
        <w:t xml:space="preserve">4.2 </w:t>
      </w:r>
      <w:r>
        <w:rPr>
          <w:rStyle w:val="95"/>
          <w:rFonts w:hint="eastAsia" w:eastAsia="宋体"/>
          <w:szCs w:val="24"/>
        </w:rPr>
        <w:t>投标文件的上传</w:t>
      </w:r>
    </w:p>
    <w:p w14:paraId="1520D7FD">
      <w:pPr>
        <w:spacing w:line="460" w:lineRule="exact"/>
        <w:ind w:firstLine="480" w:firstLineChars="200"/>
        <w:rPr>
          <w:rStyle w:val="95"/>
          <w:sz w:val="24"/>
        </w:rPr>
      </w:pPr>
      <w:r>
        <w:rPr>
          <w:rStyle w:val="95"/>
          <w:sz w:val="24"/>
        </w:rPr>
        <w:t xml:space="preserve">4.2.1 </w:t>
      </w:r>
      <w:r>
        <w:rPr>
          <w:rStyle w:val="95"/>
          <w:rFonts w:hint="eastAsia"/>
          <w:sz w:val="24"/>
        </w:rPr>
        <w:t>投标人应在投标人须知前附表规定的投标截止时间前上传投标文件。</w:t>
      </w:r>
    </w:p>
    <w:p w14:paraId="3AF425E3">
      <w:pPr>
        <w:spacing w:line="460" w:lineRule="exact"/>
        <w:ind w:firstLine="480" w:firstLineChars="200"/>
        <w:rPr>
          <w:rStyle w:val="95"/>
          <w:sz w:val="24"/>
        </w:rPr>
      </w:pPr>
      <w:r>
        <w:rPr>
          <w:rStyle w:val="95"/>
          <w:sz w:val="24"/>
        </w:rPr>
        <w:t xml:space="preserve">4.2.2 </w:t>
      </w:r>
      <w:r>
        <w:rPr>
          <w:rStyle w:val="95"/>
          <w:rFonts w:hint="eastAsia"/>
          <w:sz w:val="24"/>
        </w:rPr>
        <w:t>投标人完成正式电子投标文件上传后，电子交易平台自动向投标人发送</w:t>
      </w:r>
      <w:r>
        <w:rPr>
          <w:rStyle w:val="95"/>
          <w:sz w:val="24"/>
        </w:rPr>
        <w:t>“</w:t>
      </w:r>
      <w:r>
        <w:rPr>
          <w:rStyle w:val="95"/>
          <w:rFonts w:hint="eastAsia"/>
          <w:sz w:val="24"/>
        </w:rPr>
        <w:t>上传成功</w:t>
      </w:r>
      <w:r>
        <w:rPr>
          <w:rStyle w:val="95"/>
          <w:sz w:val="24"/>
        </w:rPr>
        <w:t>”</w:t>
      </w:r>
      <w:r>
        <w:rPr>
          <w:rStyle w:val="95"/>
          <w:rFonts w:hint="eastAsia"/>
          <w:sz w:val="24"/>
        </w:rPr>
        <w:t>短信通知，以传输完成时间为准。</w:t>
      </w:r>
    </w:p>
    <w:p w14:paraId="32AB1A90">
      <w:pPr>
        <w:spacing w:line="460" w:lineRule="exact"/>
        <w:ind w:firstLine="480" w:firstLineChars="200"/>
        <w:rPr>
          <w:rStyle w:val="95"/>
          <w:sz w:val="24"/>
        </w:rPr>
      </w:pPr>
      <w:r>
        <w:rPr>
          <w:rStyle w:val="95"/>
          <w:sz w:val="24"/>
        </w:rPr>
        <w:t>4.2.3</w:t>
      </w:r>
      <w:r>
        <w:rPr>
          <w:rStyle w:val="95"/>
          <w:rFonts w:hint="eastAsia"/>
          <w:sz w:val="24"/>
        </w:rPr>
        <w:t>逾期上传的投标文件，电子交易平台将自动拒收并发送</w:t>
      </w:r>
      <w:r>
        <w:rPr>
          <w:rStyle w:val="95"/>
          <w:sz w:val="24"/>
        </w:rPr>
        <w:t>“</w:t>
      </w:r>
      <w:r>
        <w:rPr>
          <w:rStyle w:val="95"/>
          <w:rFonts w:hint="eastAsia"/>
          <w:sz w:val="24"/>
        </w:rPr>
        <w:t>逾期拒收</w:t>
      </w:r>
      <w:r>
        <w:rPr>
          <w:rStyle w:val="95"/>
          <w:sz w:val="24"/>
        </w:rPr>
        <w:t>”</w:t>
      </w:r>
      <w:r>
        <w:rPr>
          <w:rStyle w:val="95"/>
          <w:rFonts w:hint="eastAsia"/>
          <w:sz w:val="24"/>
        </w:rPr>
        <w:t>短信通知。</w:t>
      </w:r>
    </w:p>
    <w:p w14:paraId="493D1B4A">
      <w:pPr>
        <w:pStyle w:val="892"/>
        <w:spacing w:line="460" w:lineRule="exact"/>
        <w:rPr>
          <w:rStyle w:val="95"/>
          <w:rFonts w:eastAsia="宋体"/>
          <w:szCs w:val="24"/>
        </w:rPr>
      </w:pPr>
      <w:r>
        <w:rPr>
          <w:rStyle w:val="95"/>
          <w:rFonts w:eastAsia="宋体"/>
          <w:szCs w:val="24"/>
        </w:rPr>
        <w:t xml:space="preserve">4.3 </w:t>
      </w:r>
      <w:r>
        <w:rPr>
          <w:rStyle w:val="95"/>
          <w:rFonts w:hint="eastAsia" w:eastAsia="宋体"/>
          <w:szCs w:val="24"/>
        </w:rPr>
        <w:t>投标文件的修改与撤回</w:t>
      </w:r>
    </w:p>
    <w:p w14:paraId="4709BDB0">
      <w:pPr>
        <w:spacing w:line="460" w:lineRule="exact"/>
        <w:ind w:firstLine="480" w:firstLineChars="200"/>
        <w:rPr>
          <w:rStyle w:val="95"/>
          <w:sz w:val="24"/>
        </w:rPr>
      </w:pPr>
      <w:r>
        <w:rPr>
          <w:rStyle w:val="95"/>
          <w:sz w:val="24"/>
        </w:rPr>
        <w:t xml:space="preserve">4.3.1 </w:t>
      </w:r>
      <w:r>
        <w:rPr>
          <w:rStyle w:val="95"/>
          <w:rFonts w:hint="eastAsia"/>
          <w:sz w:val="24"/>
        </w:rPr>
        <w:t>在投标人须知前附表规定的投标截止时间前，投标人可以修改或撤回已递交的投标文件，上传成功后，电子交易平台自动向招标人、投标人发送</w:t>
      </w:r>
      <w:r>
        <w:rPr>
          <w:rStyle w:val="95"/>
          <w:sz w:val="24"/>
        </w:rPr>
        <w:t>“</w:t>
      </w:r>
      <w:r>
        <w:rPr>
          <w:rStyle w:val="95"/>
          <w:rFonts w:hint="eastAsia"/>
          <w:sz w:val="24"/>
        </w:rPr>
        <w:t>上传成功</w:t>
      </w:r>
      <w:r>
        <w:rPr>
          <w:rStyle w:val="95"/>
          <w:sz w:val="24"/>
        </w:rPr>
        <w:t>”</w:t>
      </w:r>
      <w:r>
        <w:rPr>
          <w:rStyle w:val="95"/>
          <w:rFonts w:hint="eastAsia"/>
          <w:sz w:val="24"/>
        </w:rPr>
        <w:t>短信通知。</w:t>
      </w:r>
    </w:p>
    <w:p w14:paraId="382B983A">
      <w:pPr>
        <w:spacing w:line="460" w:lineRule="exact"/>
        <w:ind w:firstLine="480" w:firstLineChars="200"/>
        <w:rPr>
          <w:rStyle w:val="95"/>
          <w:sz w:val="24"/>
        </w:rPr>
      </w:pPr>
      <w:r>
        <w:rPr>
          <w:rStyle w:val="95"/>
          <w:sz w:val="24"/>
        </w:rPr>
        <w:t xml:space="preserve">4.3.2 </w:t>
      </w:r>
      <w:r>
        <w:rPr>
          <w:rStyle w:val="95"/>
          <w:rFonts w:hint="eastAsia"/>
          <w:sz w:val="24"/>
        </w:rPr>
        <w:t>投标人撤回投标文件的，招标人自收到电子交易平台短信撤回通知之日起</w:t>
      </w:r>
      <w:r>
        <w:rPr>
          <w:rStyle w:val="95"/>
          <w:sz w:val="24"/>
        </w:rPr>
        <w:t>5</w:t>
      </w:r>
      <w:r>
        <w:rPr>
          <w:rStyle w:val="95"/>
          <w:rFonts w:hint="eastAsia"/>
          <w:sz w:val="24"/>
        </w:rPr>
        <w:t>日内退还已收取的投标保证金。</w:t>
      </w:r>
    </w:p>
    <w:p w14:paraId="2E03F1CC">
      <w:pPr>
        <w:spacing w:line="460" w:lineRule="exact"/>
        <w:ind w:firstLine="480" w:firstLineChars="200"/>
        <w:rPr>
          <w:rStyle w:val="95"/>
          <w:sz w:val="24"/>
        </w:rPr>
      </w:pPr>
      <w:r>
        <w:rPr>
          <w:rStyle w:val="95"/>
          <w:sz w:val="24"/>
        </w:rPr>
        <w:t xml:space="preserve">4.3.3 </w:t>
      </w:r>
      <w:r>
        <w:rPr>
          <w:rStyle w:val="95"/>
          <w:rFonts w:hint="eastAsia"/>
          <w:sz w:val="24"/>
        </w:rPr>
        <w:t>修改的内容为投标文件的组成部分。修改的投标文件应标明</w:t>
      </w:r>
      <w:r>
        <w:rPr>
          <w:rStyle w:val="95"/>
          <w:sz w:val="24"/>
        </w:rPr>
        <w:t>“</w:t>
      </w:r>
      <w:r>
        <w:rPr>
          <w:rStyle w:val="95"/>
          <w:rFonts w:hint="eastAsia"/>
          <w:sz w:val="24"/>
        </w:rPr>
        <w:t>修改</w:t>
      </w:r>
      <w:r>
        <w:rPr>
          <w:rStyle w:val="95"/>
          <w:sz w:val="24"/>
        </w:rPr>
        <w:t>”</w:t>
      </w:r>
      <w:r>
        <w:rPr>
          <w:rStyle w:val="95"/>
          <w:rFonts w:hint="eastAsia"/>
          <w:sz w:val="24"/>
        </w:rPr>
        <w:t>字样。</w:t>
      </w:r>
    </w:p>
    <w:p w14:paraId="132D6235">
      <w:pPr>
        <w:spacing w:line="460" w:lineRule="exact"/>
        <w:ind w:firstLine="480" w:firstLineChars="200"/>
        <w:rPr>
          <w:rStyle w:val="95"/>
          <w:rFonts w:ascii="Calibri" w:hAnsi="Calibri"/>
          <w:sz w:val="24"/>
        </w:rPr>
      </w:pPr>
      <w:r>
        <w:rPr>
          <w:rStyle w:val="95"/>
          <w:rFonts w:eastAsia="宋体"/>
          <w:sz w:val="24"/>
          <w:szCs w:val="24"/>
        </w:rPr>
        <w:t xml:space="preserve">5. </w:t>
      </w:r>
      <w:r>
        <w:rPr>
          <w:rStyle w:val="95"/>
          <w:rFonts w:hint="eastAsia" w:ascii="Calibri" w:hAnsi="Calibri"/>
          <w:sz w:val="24"/>
        </w:rPr>
        <w:t>开标</w:t>
      </w:r>
    </w:p>
    <w:p w14:paraId="6AF4FBE6">
      <w:pPr>
        <w:spacing w:line="460" w:lineRule="exact"/>
        <w:ind w:firstLine="480" w:firstLineChars="200"/>
        <w:rPr>
          <w:rStyle w:val="95"/>
          <w:rFonts w:hint="eastAsia" w:ascii="Calibri" w:hAnsi="Calibri"/>
          <w:sz w:val="24"/>
          <w:lang w:eastAsia="zh-CN"/>
        </w:rPr>
      </w:pPr>
      <w:r>
        <w:rPr>
          <w:rStyle w:val="95"/>
          <w:rFonts w:hint="eastAsia" w:ascii="Calibri" w:hAnsi="Calibri"/>
          <w:sz w:val="24"/>
        </w:rPr>
        <w:t>5.1</w:t>
      </w:r>
      <w:r>
        <w:rPr>
          <w:rStyle w:val="95"/>
          <w:rFonts w:hint="eastAsia" w:ascii="Calibri" w:hAnsi="Calibri"/>
          <w:sz w:val="24"/>
          <w:lang w:eastAsia="zh-CN"/>
        </w:rPr>
        <w:t>开标由招标代理机构主持，</w:t>
      </w:r>
      <w:r>
        <w:rPr>
          <w:rStyle w:val="95"/>
          <w:rFonts w:hint="eastAsia" w:ascii="Calibri" w:hAnsi="Calibri"/>
          <w:sz w:val="24"/>
        </w:rPr>
        <w:t>招标人</w:t>
      </w:r>
      <w:r>
        <w:rPr>
          <w:rStyle w:val="95"/>
          <w:rFonts w:hint="eastAsia" w:ascii="Calibri" w:hAnsi="Calibri"/>
          <w:sz w:val="24"/>
          <w:lang w:eastAsia="zh-CN"/>
        </w:rPr>
        <w:t>及评标委员会成员</w:t>
      </w:r>
      <w:r>
        <w:rPr>
          <w:rStyle w:val="95"/>
          <w:rFonts w:hint="eastAsia" w:ascii="Calibri" w:hAnsi="Calibri"/>
          <w:sz w:val="24"/>
        </w:rPr>
        <w:t>在规定的时间和地点,进入电子交易平台的开标大厅,线上开标</w:t>
      </w:r>
      <w:r>
        <w:rPr>
          <w:rStyle w:val="95"/>
          <w:rFonts w:hint="eastAsia" w:ascii="Calibri" w:hAnsi="Calibri"/>
          <w:sz w:val="24"/>
          <w:lang w:eastAsia="zh-CN"/>
        </w:rPr>
        <w:t>。</w:t>
      </w:r>
    </w:p>
    <w:p w14:paraId="7BF21747">
      <w:pPr>
        <w:spacing w:line="460" w:lineRule="exact"/>
        <w:ind w:firstLine="480" w:firstLineChars="200"/>
        <w:rPr>
          <w:rStyle w:val="95"/>
          <w:rFonts w:hint="eastAsia" w:ascii="Calibri" w:hAnsi="Calibri"/>
          <w:sz w:val="24"/>
        </w:rPr>
      </w:pPr>
      <w:r>
        <w:rPr>
          <w:rStyle w:val="95"/>
          <w:rFonts w:hint="eastAsia" w:ascii="Calibri" w:hAnsi="Calibri"/>
          <w:sz w:val="24"/>
          <w:lang w:val="en-US" w:eastAsia="zh-CN"/>
        </w:rPr>
        <w:t>5.2</w:t>
      </w:r>
      <w:r>
        <w:rPr>
          <w:rStyle w:val="95"/>
          <w:rFonts w:hint="eastAsia" w:ascii="Calibri" w:hAnsi="Calibri"/>
          <w:sz w:val="24"/>
        </w:rPr>
        <w:t>电子交易平台投屏下列内容：</w:t>
      </w:r>
    </w:p>
    <w:p w14:paraId="5EFE07E9">
      <w:pPr>
        <w:spacing w:line="460" w:lineRule="exact"/>
        <w:ind w:firstLine="480" w:firstLineChars="200"/>
        <w:rPr>
          <w:rStyle w:val="95"/>
          <w:rFonts w:hint="eastAsia" w:ascii="Calibri" w:hAnsi="Calibri"/>
          <w:sz w:val="24"/>
        </w:rPr>
      </w:pPr>
      <w:r>
        <w:rPr>
          <w:rStyle w:val="95"/>
          <w:rFonts w:hint="eastAsia" w:ascii="Calibri" w:hAnsi="Calibri"/>
          <w:sz w:val="24"/>
        </w:rPr>
        <w:t>（1）主持人姓名、单位、职务；</w:t>
      </w:r>
    </w:p>
    <w:p w14:paraId="155B1BE1">
      <w:pPr>
        <w:spacing w:line="460" w:lineRule="exact"/>
        <w:ind w:firstLine="480" w:firstLineChars="200"/>
        <w:rPr>
          <w:rStyle w:val="95"/>
          <w:rFonts w:hint="eastAsia" w:ascii="Calibri" w:hAnsi="Calibri"/>
          <w:sz w:val="24"/>
        </w:rPr>
      </w:pPr>
      <w:r>
        <w:rPr>
          <w:rStyle w:val="95"/>
          <w:rFonts w:hint="eastAsia" w:ascii="Calibri" w:hAnsi="Calibri"/>
          <w:sz w:val="24"/>
        </w:rPr>
        <w:t>（2）开标纪律；</w:t>
      </w:r>
    </w:p>
    <w:p w14:paraId="01D22933">
      <w:pPr>
        <w:spacing w:line="460" w:lineRule="exact"/>
        <w:ind w:firstLine="480" w:firstLineChars="200"/>
        <w:rPr>
          <w:rStyle w:val="95"/>
          <w:rFonts w:hint="eastAsia" w:ascii="Calibri" w:hAnsi="Calibri"/>
          <w:sz w:val="24"/>
        </w:rPr>
      </w:pPr>
      <w:r>
        <w:rPr>
          <w:rStyle w:val="95"/>
          <w:rFonts w:hint="eastAsia" w:ascii="Calibri" w:hAnsi="Calibri"/>
          <w:sz w:val="24"/>
        </w:rPr>
        <w:t>（3）在投标截止时间前上传投标文件的投标人名单；</w:t>
      </w:r>
    </w:p>
    <w:p w14:paraId="41513F92">
      <w:pPr>
        <w:spacing w:line="460" w:lineRule="exact"/>
        <w:ind w:firstLine="480" w:firstLineChars="200"/>
        <w:rPr>
          <w:rStyle w:val="95"/>
          <w:rFonts w:hint="eastAsia" w:ascii="Calibri" w:hAnsi="Calibri"/>
          <w:sz w:val="24"/>
        </w:rPr>
      </w:pPr>
      <w:r>
        <w:rPr>
          <w:rStyle w:val="95"/>
          <w:rFonts w:hint="eastAsia" w:ascii="Calibri" w:hAnsi="Calibri"/>
          <w:sz w:val="24"/>
        </w:rPr>
        <w:t>（4）参会人员名单包括招标人代表、投标人代表、代理机构代表、监督人员；</w:t>
      </w:r>
    </w:p>
    <w:p w14:paraId="2821BD00">
      <w:pPr>
        <w:spacing w:line="460" w:lineRule="exact"/>
        <w:ind w:firstLine="480" w:firstLineChars="200"/>
        <w:rPr>
          <w:rStyle w:val="95"/>
          <w:rFonts w:hint="eastAsia" w:ascii="Calibri" w:hAnsi="Calibri"/>
          <w:sz w:val="24"/>
        </w:rPr>
      </w:pPr>
      <w:r>
        <w:rPr>
          <w:rStyle w:val="95"/>
          <w:rFonts w:hint="eastAsia" w:ascii="Calibri" w:hAnsi="Calibri"/>
          <w:sz w:val="24"/>
        </w:rPr>
        <w:t>（4）招标控制价（含表-23）。</w:t>
      </w:r>
    </w:p>
    <w:p w14:paraId="0CA98713">
      <w:pPr>
        <w:spacing w:line="460" w:lineRule="exact"/>
        <w:ind w:firstLine="480" w:firstLineChars="200"/>
        <w:rPr>
          <w:rStyle w:val="95"/>
          <w:rFonts w:hint="eastAsia" w:ascii="Calibri" w:hAnsi="Calibri"/>
          <w:sz w:val="24"/>
        </w:rPr>
      </w:pPr>
      <w:r>
        <w:rPr>
          <w:rStyle w:val="95"/>
          <w:rFonts w:hint="eastAsia" w:ascii="Calibri" w:hAnsi="Calibri"/>
          <w:sz w:val="24"/>
        </w:rPr>
        <w:t xml:space="preserve"> 5.</w:t>
      </w:r>
      <w:r>
        <w:rPr>
          <w:rStyle w:val="95"/>
          <w:rFonts w:hint="eastAsia" w:ascii="Calibri" w:hAnsi="Calibri"/>
          <w:sz w:val="24"/>
          <w:lang w:val="en-US" w:eastAsia="zh-CN"/>
        </w:rPr>
        <w:t>3由主持人下达指令，</w:t>
      </w:r>
      <w:r>
        <w:rPr>
          <w:rStyle w:val="95"/>
          <w:rFonts w:hint="eastAsia" w:ascii="Calibri" w:hAnsi="Calibri"/>
          <w:sz w:val="24"/>
        </w:rPr>
        <w:t>投标人持CA证书</w:t>
      </w:r>
      <w:r>
        <w:rPr>
          <w:rStyle w:val="95"/>
          <w:rFonts w:hint="eastAsia" w:ascii="Calibri" w:hAnsi="Calibri"/>
          <w:sz w:val="24"/>
          <w:lang w:eastAsia="zh-CN"/>
        </w:rPr>
        <w:t>登录公共资源</w:t>
      </w:r>
      <w:r>
        <w:rPr>
          <w:rStyle w:val="95"/>
          <w:rFonts w:hint="eastAsia" w:ascii="Calibri" w:hAnsi="Calibri"/>
          <w:sz w:val="24"/>
        </w:rPr>
        <w:t>电子交易平台</w:t>
      </w:r>
      <w:r>
        <w:rPr>
          <w:rStyle w:val="95"/>
          <w:rFonts w:hint="eastAsia" w:ascii="Calibri" w:hAnsi="Calibri"/>
          <w:sz w:val="24"/>
          <w:lang w:eastAsia="zh-CN"/>
        </w:rPr>
        <w:t>，实时</w:t>
      </w:r>
      <w:r>
        <w:rPr>
          <w:rStyle w:val="95"/>
          <w:rFonts w:hint="eastAsia" w:ascii="Calibri" w:hAnsi="Calibri"/>
          <w:sz w:val="24"/>
        </w:rPr>
        <w:t>对电子投标文件进行解密，电子交易平台投屏投标人名称、投标保证金提交情况、投标报价、质量目标、工期</w:t>
      </w:r>
      <w:r>
        <w:rPr>
          <w:rStyle w:val="95"/>
          <w:rFonts w:hint="eastAsia" w:ascii="Calibri" w:hAnsi="Calibri"/>
          <w:sz w:val="24"/>
          <w:lang w:eastAsia="zh-CN"/>
        </w:rPr>
        <w:t>、建造师</w:t>
      </w:r>
      <w:r>
        <w:rPr>
          <w:rStyle w:val="95"/>
          <w:rFonts w:hint="eastAsia" w:ascii="Calibri" w:hAnsi="Calibri"/>
          <w:sz w:val="24"/>
        </w:rPr>
        <w:t>等内容列表。</w:t>
      </w:r>
    </w:p>
    <w:p w14:paraId="2BCD3FAA">
      <w:pPr>
        <w:spacing w:line="460" w:lineRule="exact"/>
        <w:ind w:firstLine="480" w:firstLineChars="200"/>
        <w:rPr>
          <w:rStyle w:val="95"/>
          <w:rFonts w:hint="default" w:ascii="Calibri" w:hAnsi="Calibri"/>
          <w:sz w:val="24"/>
          <w:lang w:val="en-US" w:eastAsia="zh-CN"/>
        </w:rPr>
      </w:pPr>
      <w:r>
        <w:rPr>
          <w:rStyle w:val="95"/>
          <w:rFonts w:hint="eastAsia" w:ascii="Calibri" w:hAnsi="Calibri"/>
          <w:sz w:val="24"/>
          <w:lang w:val="en-US" w:eastAsia="zh-CN"/>
        </w:rPr>
        <w:t>5.4开标记录投标人无异议确认；</w:t>
      </w:r>
    </w:p>
    <w:p w14:paraId="728A6A6B">
      <w:pPr>
        <w:spacing w:line="460" w:lineRule="exact"/>
        <w:ind w:firstLine="480" w:firstLineChars="200"/>
        <w:rPr>
          <w:rStyle w:val="95"/>
          <w:rFonts w:hint="eastAsia" w:ascii="Calibri" w:hAnsi="Calibri"/>
          <w:sz w:val="24"/>
          <w:lang w:val="en-US" w:eastAsia="zh-CN"/>
        </w:rPr>
      </w:pPr>
      <w:r>
        <w:rPr>
          <w:rStyle w:val="95"/>
          <w:rFonts w:hint="eastAsia" w:ascii="Calibri" w:hAnsi="Calibri"/>
          <w:sz w:val="24"/>
          <w:lang w:val="en-US" w:eastAsia="zh-CN"/>
        </w:rPr>
        <w:t>5.5开标结束，进入评标阶段；</w:t>
      </w:r>
    </w:p>
    <w:p w14:paraId="3E1C8E1E">
      <w:pPr>
        <w:spacing w:line="460" w:lineRule="exact"/>
        <w:ind w:firstLine="480" w:firstLineChars="200"/>
        <w:rPr>
          <w:rStyle w:val="95"/>
          <w:rFonts w:ascii="Calibri" w:hAnsi="Calibri"/>
          <w:sz w:val="24"/>
        </w:rPr>
      </w:pPr>
      <w:r>
        <w:rPr>
          <w:rStyle w:val="95"/>
          <w:rFonts w:hint="eastAsia" w:ascii="Calibri" w:hAnsi="Calibri"/>
          <w:sz w:val="24"/>
          <w:lang w:val="en-US" w:eastAsia="zh-CN"/>
        </w:rPr>
        <w:t>5.6开标过程应当记录，并存档备查。</w:t>
      </w:r>
    </w:p>
    <w:p w14:paraId="24ACE2B6">
      <w:pPr>
        <w:pStyle w:val="592"/>
        <w:spacing w:before="0" w:line="460" w:lineRule="exact"/>
        <w:rPr>
          <w:rStyle w:val="95"/>
          <w:rFonts w:eastAsia="宋体"/>
          <w:sz w:val="24"/>
          <w:szCs w:val="24"/>
        </w:rPr>
      </w:pPr>
      <w:r>
        <w:rPr>
          <w:rStyle w:val="95"/>
          <w:rFonts w:eastAsia="宋体"/>
          <w:sz w:val="24"/>
          <w:szCs w:val="24"/>
        </w:rPr>
        <w:t xml:space="preserve">6. </w:t>
      </w:r>
      <w:r>
        <w:rPr>
          <w:rStyle w:val="95"/>
          <w:rFonts w:hint="eastAsia" w:eastAsia="宋体"/>
          <w:sz w:val="24"/>
          <w:szCs w:val="24"/>
        </w:rPr>
        <w:t>评标</w:t>
      </w:r>
    </w:p>
    <w:p w14:paraId="624F2AA6">
      <w:pPr>
        <w:pStyle w:val="892"/>
        <w:spacing w:line="460" w:lineRule="exact"/>
        <w:rPr>
          <w:rStyle w:val="95"/>
          <w:rFonts w:eastAsia="宋体"/>
          <w:szCs w:val="24"/>
        </w:rPr>
      </w:pPr>
      <w:r>
        <w:rPr>
          <w:rStyle w:val="95"/>
          <w:rFonts w:eastAsia="宋体"/>
          <w:szCs w:val="24"/>
        </w:rPr>
        <w:t xml:space="preserve">6.1 </w:t>
      </w:r>
      <w:r>
        <w:rPr>
          <w:rStyle w:val="95"/>
          <w:rFonts w:hint="eastAsia" w:eastAsia="宋体"/>
          <w:szCs w:val="24"/>
        </w:rPr>
        <w:t>评标委员会</w:t>
      </w:r>
    </w:p>
    <w:p w14:paraId="723E4D3D">
      <w:pPr>
        <w:spacing w:line="460" w:lineRule="exact"/>
        <w:ind w:firstLine="480" w:firstLineChars="200"/>
        <w:rPr>
          <w:rStyle w:val="95"/>
          <w:sz w:val="24"/>
        </w:rPr>
      </w:pPr>
      <w:r>
        <w:rPr>
          <w:rStyle w:val="95"/>
          <w:sz w:val="24"/>
        </w:rPr>
        <w:t xml:space="preserve">6.1.1 </w:t>
      </w:r>
      <w:r>
        <w:rPr>
          <w:rStyle w:val="95"/>
          <w:rFonts w:hint="eastAsia"/>
          <w:sz w:val="24"/>
        </w:rPr>
        <w:t>评标由招标人依法组建的评标委员会负责。评标委员会成员人数以及技术标、经济标等专家的确定方式及人数见投标人须知前附表。</w:t>
      </w:r>
    </w:p>
    <w:p w14:paraId="1B5270D3">
      <w:pPr>
        <w:spacing w:line="460" w:lineRule="exact"/>
        <w:ind w:firstLine="480" w:firstLineChars="200"/>
        <w:rPr>
          <w:rStyle w:val="95"/>
          <w:sz w:val="24"/>
        </w:rPr>
      </w:pPr>
      <w:r>
        <w:rPr>
          <w:rStyle w:val="95"/>
          <w:sz w:val="24"/>
        </w:rPr>
        <w:t xml:space="preserve">6.1.2 </w:t>
      </w:r>
      <w:r>
        <w:rPr>
          <w:rStyle w:val="95"/>
          <w:rFonts w:hint="eastAsia"/>
          <w:sz w:val="24"/>
        </w:rPr>
        <w:t>评标委员会成员有下列情形之一的，应当回避：</w:t>
      </w:r>
    </w:p>
    <w:p w14:paraId="0B143E38">
      <w:pPr>
        <w:spacing w:line="460" w:lineRule="exact"/>
        <w:ind w:firstLine="480" w:firstLineChars="200"/>
        <w:rPr>
          <w:rStyle w:val="95"/>
          <w:sz w:val="24"/>
        </w:rPr>
      </w:pPr>
      <w:r>
        <w:rPr>
          <w:rStyle w:val="95"/>
          <w:rFonts w:hint="eastAsia"/>
          <w:sz w:val="24"/>
        </w:rPr>
        <w:t>（</w:t>
      </w:r>
      <w:r>
        <w:rPr>
          <w:rStyle w:val="95"/>
          <w:sz w:val="24"/>
        </w:rPr>
        <w:t>1</w:t>
      </w:r>
      <w:r>
        <w:rPr>
          <w:rStyle w:val="95"/>
          <w:rFonts w:hint="eastAsia"/>
          <w:sz w:val="24"/>
        </w:rPr>
        <w:t>）招标人或投标人的主要负责人的近亲属；</w:t>
      </w:r>
    </w:p>
    <w:p w14:paraId="25262E46">
      <w:pPr>
        <w:spacing w:line="460" w:lineRule="exact"/>
        <w:ind w:firstLine="480" w:firstLineChars="200"/>
        <w:rPr>
          <w:rStyle w:val="95"/>
          <w:sz w:val="24"/>
        </w:rPr>
      </w:pPr>
      <w:r>
        <w:rPr>
          <w:rStyle w:val="95"/>
          <w:rFonts w:hint="eastAsia"/>
          <w:sz w:val="24"/>
        </w:rPr>
        <w:t>（</w:t>
      </w:r>
      <w:r>
        <w:rPr>
          <w:rStyle w:val="95"/>
          <w:sz w:val="24"/>
        </w:rPr>
        <w:t>2</w:t>
      </w:r>
      <w:r>
        <w:rPr>
          <w:rStyle w:val="95"/>
          <w:rFonts w:hint="eastAsia"/>
          <w:sz w:val="24"/>
        </w:rPr>
        <w:t>）项目主管部门或者行政监督部门的人员；</w:t>
      </w:r>
    </w:p>
    <w:p w14:paraId="5B167FC0">
      <w:pPr>
        <w:spacing w:line="460" w:lineRule="exact"/>
        <w:ind w:firstLine="480" w:firstLineChars="200"/>
        <w:rPr>
          <w:rStyle w:val="95"/>
          <w:sz w:val="24"/>
        </w:rPr>
      </w:pPr>
      <w:r>
        <w:rPr>
          <w:rStyle w:val="95"/>
          <w:rFonts w:hint="eastAsia"/>
          <w:sz w:val="24"/>
        </w:rPr>
        <w:t>（</w:t>
      </w:r>
      <w:r>
        <w:rPr>
          <w:rStyle w:val="95"/>
          <w:sz w:val="24"/>
        </w:rPr>
        <w:t>3</w:t>
      </w:r>
      <w:r>
        <w:rPr>
          <w:rStyle w:val="95"/>
          <w:rFonts w:hint="eastAsia"/>
          <w:sz w:val="24"/>
        </w:rPr>
        <w:t>）与投标人有经济利益关系，可能影响对投标公正评审的；</w:t>
      </w:r>
    </w:p>
    <w:p w14:paraId="0A72C32A">
      <w:pPr>
        <w:spacing w:line="460" w:lineRule="exact"/>
        <w:ind w:firstLine="480" w:firstLineChars="200"/>
        <w:rPr>
          <w:rStyle w:val="95"/>
          <w:sz w:val="24"/>
        </w:rPr>
      </w:pPr>
      <w:r>
        <w:rPr>
          <w:rStyle w:val="95"/>
          <w:rFonts w:hint="eastAsia"/>
          <w:sz w:val="24"/>
        </w:rPr>
        <w:t>（</w:t>
      </w:r>
      <w:r>
        <w:rPr>
          <w:rStyle w:val="95"/>
          <w:sz w:val="24"/>
        </w:rPr>
        <w:t>4</w:t>
      </w:r>
      <w:r>
        <w:rPr>
          <w:rStyle w:val="95"/>
          <w:rFonts w:hint="eastAsia"/>
          <w:sz w:val="24"/>
        </w:rPr>
        <w:t>）曾因在招标、评标以及其他与招标投标有关活动中从事违法行为而受过行政处罚或刑事处罚的。</w:t>
      </w:r>
    </w:p>
    <w:p w14:paraId="01F6FA16">
      <w:pPr>
        <w:pStyle w:val="892"/>
        <w:tabs>
          <w:tab w:val="left" w:pos="2620"/>
        </w:tabs>
        <w:spacing w:line="460" w:lineRule="exact"/>
        <w:rPr>
          <w:rStyle w:val="95"/>
          <w:rFonts w:eastAsia="宋体"/>
          <w:szCs w:val="24"/>
        </w:rPr>
      </w:pPr>
      <w:r>
        <w:rPr>
          <w:rStyle w:val="95"/>
          <w:rFonts w:eastAsia="宋体"/>
          <w:szCs w:val="24"/>
        </w:rPr>
        <w:t xml:space="preserve">6.2 </w:t>
      </w:r>
      <w:r>
        <w:rPr>
          <w:rStyle w:val="95"/>
          <w:rFonts w:hint="eastAsia" w:eastAsia="宋体"/>
          <w:szCs w:val="24"/>
        </w:rPr>
        <w:t>评标原则</w:t>
      </w:r>
      <w:r>
        <w:rPr>
          <w:rStyle w:val="95"/>
          <w:rFonts w:eastAsia="宋体"/>
          <w:szCs w:val="24"/>
        </w:rPr>
        <w:tab/>
      </w:r>
    </w:p>
    <w:p w14:paraId="51ACE5CE">
      <w:pPr>
        <w:spacing w:line="460" w:lineRule="exact"/>
        <w:ind w:firstLine="480" w:firstLineChars="200"/>
        <w:rPr>
          <w:rStyle w:val="95"/>
          <w:sz w:val="24"/>
        </w:rPr>
      </w:pPr>
      <w:r>
        <w:rPr>
          <w:rStyle w:val="95"/>
          <w:rFonts w:hint="eastAsia"/>
          <w:sz w:val="24"/>
        </w:rPr>
        <w:t>评标活动遵循公平、公正、科学和择优的原则。</w:t>
      </w:r>
    </w:p>
    <w:p w14:paraId="344B92F5">
      <w:pPr>
        <w:pStyle w:val="892"/>
        <w:spacing w:line="460" w:lineRule="exact"/>
        <w:rPr>
          <w:rStyle w:val="95"/>
          <w:rFonts w:eastAsia="宋体"/>
          <w:szCs w:val="24"/>
        </w:rPr>
      </w:pPr>
      <w:r>
        <w:rPr>
          <w:rStyle w:val="95"/>
          <w:rFonts w:eastAsia="宋体"/>
          <w:szCs w:val="24"/>
        </w:rPr>
        <w:t xml:space="preserve">6.3 </w:t>
      </w:r>
      <w:r>
        <w:rPr>
          <w:rStyle w:val="95"/>
          <w:rFonts w:hint="eastAsia" w:eastAsia="宋体"/>
          <w:szCs w:val="24"/>
        </w:rPr>
        <w:t>评标</w:t>
      </w:r>
    </w:p>
    <w:p w14:paraId="1C8F34B8">
      <w:pPr>
        <w:spacing w:line="460" w:lineRule="exact"/>
        <w:ind w:firstLine="480" w:firstLineChars="200"/>
        <w:rPr>
          <w:rStyle w:val="95"/>
          <w:sz w:val="24"/>
        </w:rPr>
      </w:pPr>
      <w:r>
        <w:rPr>
          <w:rStyle w:val="95"/>
          <w:rFonts w:hint="eastAsia"/>
          <w:sz w:val="24"/>
        </w:rPr>
        <w:t>评标委员会按照第一卷第三章</w:t>
      </w:r>
      <w:r>
        <w:rPr>
          <w:rStyle w:val="95"/>
          <w:sz w:val="24"/>
        </w:rPr>
        <w:t>“</w:t>
      </w:r>
      <w:r>
        <w:rPr>
          <w:rStyle w:val="95"/>
          <w:rFonts w:hint="eastAsia"/>
          <w:sz w:val="24"/>
        </w:rPr>
        <w:t>评标办法和标准</w:t>
      </w:r>
      <w:r>
        <w:rPr>
          <w:rStyle w:val="95"/>
          <w:sz w:val="24"/>
        </w:rPr>
        <w:t>”</w:t>
      </w:r>
      <w:r>
        <w:rPr>
          <w:rStyle w:val="95"/>
          <w:rFonts w:hint="eastAsia"/>
          <w:sz w:val="24"/>
        </w:rPr>
        <w:t>规定的方法、评审因素、标准和程序对投标文件进行评审。第一卷第三章</w:t>
      </w:r>
      <w:r>
        <w:rPr>
          <w:rStyle w:val="95"/>
          <w:sz w:val="24"/>
        </w:rPr>
        <w:t>“</w:t>
      </w:r>
      <w:r>
        <w:rPr>
          <w:rStyle w:val="95"/>
          <w:rFonts w:hint="eastAsia"/>
          <w:sz w:val="24"/>
        </w:rPr>
        <w:t>评标办法和标准</w:t>
      </w:r>
      <w:r>
        <w:rPr>
          <w:rStyle w:val="95"/>
          <w:sz w:val="24"/>
        </w:rPr>
        <w:t>”</w:t>
      </w:r>
      <w:r>
        <w:rPr>
          <w:rStyle w:val="95"/>
          <w:rFonts w:hint="eastAsia"/>
          <w:sz w:val="24"/>
        </w:rPr>
        <w:t>没有规定的方法、评审因素和标准，不作为评标依据。</w:t>
      </w:r>
    </w:p>
    <w:p w14:paraId="4C82765D">
      <w:pPr>
        <w:pStyle w:val="592"/>
        <w:spacing w:before="0" w:line="460" w:lineRule="exact"/>
        <w:rPr>
          <w:rStyle w:val="95"/>
          <w:rFonts w:eastAsia="宋体"/>
          <w:sz w:val="24"/>
          <w:szCs w:val="24"/>
        </w:rPr>
      </w:pPr>
      <w:r>
        <w:rPr>
          <w:rStyle w:val="95"/>
          <w:rFonts w:eastAsia="宋体"/>
          <w:sz w:val="24"/>
          <w:szCs w:val="24"/>
        </w:rPr>
        <w:t xml:space="preserve">7. </w:t>
      </w:r>
      <w:r>
        <w:rPr>
          <w:rStyle w:val="95"/>
          <w:rFonts w:hint="eastAsia" w:eastAsia="宋体"/>
          <w:sz w:val="24"/>
          <w:szCs w:val="24"/>
        </w:rPr>
        <w:t>合同授予</w:t>
      </w:r>
    </w:p>
    <w:p w14:paraId="11E80159">
      <w:pPr>
        <w:spacing w:line="360" w:lineRule="auto"/>
        <w:ind w:firstLine="422" w:firstLineChars="200"/>
        <w:rPr>
          <w:rFonts w:hint="eastAsia" w:ascii="宋体" w:hAnsi="宋体" w:cs="宋体"/>
          <w:b/>
          <w:bCs/>
          <w:color w:val="FF0000"/>
          <w:szCs w:val="21"/>
        </w:rPr>
      </w:pPr>
      <w:r>
        <w:rPr>
          <w:rFonts w:hint="eastAsia" w:ascii="宋体" w:hAnsi="宋体" w:cs="宋体"/>
          <w:b/>
          <w:bCs/>
          <w:color w:val="FF0000"/>
          <w:szCs w:val="21"/>
          <w:lang w:val="en-US" w:eastAsia="zh-CN"/>
        </w:rPr>
        <w:t xml:space="preserve">7.1.1 </w:t>
      </w:r>
      <w:r>
        <w:rPr>
          <w:rFonts w:hint="eastAsia" w:ascii="宋体" w:hAnsi="宋体" w:cs="宋体"/>
          <w:b/>
          <w:bCs/>
          <w:color w:val="FF0000"/>
          <w:szCs w:val="21"/>
        </w:rPr>
        <w:t>评标完成后，评标委员会应当向招标人提交评标报告</w:t>
      </w:r>
      <w:r>
        <w:rPr>
          <w:rFonts w:hint="eastAsia" w:ascii="宋体" w:hAnsi="宋体" w:cs="宋体"/>
          <w:b/>
          <w:bCs/>
          <w:color w:val="FF0000"/>
          <w:szCs w:val="21"/>
          <w:lang w:val="en-US" w:eastAsia="zh-CN"/>
        </w:rPr>
        <w:t>,按得分从高到低的顺序向招标人</w:t>
      </w:r>
      <w:r>
        <w:rPr>
          <w:rFonts w:hint="eastAsia" w:ascii="宋体" w:hAnsi="宋体" w:cs="宋体"/>
          <w:b/>
          <w:bCs/>
          <w:color w:val="FF0000"/>
          <w:szCs w:val="21"/>
          <w:lang w:eastAsia="zh-CN"/>
        </w:rPr>
        <w:t>推荐不超过</w:t>
      </w:r>
      <w:r>
        <w:rPr>
          <w:rFonts w:hint="eastAsia" w:ascii="宋体" w:hAnsi="宋体" w:cs="宋体"/>
          <w:b/>
          <w:bCs/>
          <w:color w:val="FF0000"/>
          <w:szCs w:val="21"/>
          <w:lang w:val="en-US" w:eastAsia="zh-CN"/>
        </w:rPr>
        <w:t>3个的</w:t>
      </w:r>
      <w:r>
        <w:rPr>
          <w:rFonts w:hint="eastAsia" w:ascii="宋体" w:hAnsi="宋体" w:cs="宋体"/>
          <w:b/>
          <w:bCs/>
          <w:color w:val="FF0000"/>
          <w:szCs w:val="21"/>
        </w:rPr>
        <w:t>中标候选人。</w:t>
      </w:r>
    </w:p>
    <w:p w14:paraId="60B5EFD3">
      <w:pPr>
        <w:spacing w:line="360" w:lineRule="auto"/>
        <w:ind w:firstLine="422" w:firstLineChars="200"/>
        <w:rPr>
          <w:rFonts w:hint="eastAsia" w:eastAsia="宋体"/>
          <w:b/>
          <w:bCs/>
          <w:color w:val="FF0000"/>
          <w:sz w:val="21"/>
          <w:szCs w:val="24"/>
          <w:lang w:eastAsia="zh-CN"/>
        </w:rPr>
      </w:pPr>
      <w:r>
        <w:rPr>
          <w:rFonts w:hint="eastAsia" w:ascii="宋体" w:hAnsi="宋体" w:cs="宋体"/>
          <w:b/>
          <w:bCs/>
          <w:color w:val="FF0000"/>
          <w:szCs w:val="21"/>
          <w:lang w:val="en-US" w:eastAsia="zh-CN"/>
        </w:rPr>
        <w:t xml:space="preserve">7.1.2 </w:t>
      </w:r>
      <w:r>
        <w:rPr>
          <w:rFonts w:hint="eastAsia" w:ascii="宋体" w:hAnsi="宋体" w:cs="宋体"/>
          <w:b/>
          <w:bCs/>
          <w:color w:val="FF0000"/>
          <w:szCs w:val="21"/>
          <w:lang w:eastAsia="zh-CN"/>
        </w:rPr>
        <w:t>招标人</w:t>
      </w:r>
      <w:r>
        <w:rPr>
          <w:rFonts w:hint="eastAsia"/>
          <w:b/>
          <w:bCs/>
          <w:color w:val="FF0000"/>
          <w:sz w:val="21"/>
          <w:szCs w:val="24"/>
          <w:lang w:eastAsia="zh-CN"/>
        </w:rPr>
        <w:t>采用</w:t>
      </w:r>
      <w:r>
        <w:rPr>
          <w:rFonts w:hint="eastAsia"/>
          <w:b/>
          <w:bCs/>
          <w:color w:val="FF0000"/>
          <w:sz w:val="21"/>
          <w:szCs w:val="24"/>
          <w:u w:val="single"/>
          <w:lang w:val="en-US" w:eastAsia="zh-CN"/>
        </w:rPr>
        <w:t xml:space="preserve">        </w:t>
      </w:r>
      <w:r>
        <w:rPr>
          <w:rFonts w:hint="eastAsia"/>
          <w:b/>
          <w:bCs/>
          <w:color w:val="FF0000"/>
          <w:sz w:val="21"/>
          <w:szCs w:val="24"/>
          <w:u w:val="none"/>
          <w:lang w:val="en-US" w:eastAsia="zh-CN"/>
        </w:rPr>
        <w:t>方法确定</w:t>
      </w:r>
      <w:r>
        <w:rPr>
          <w:rFonts w:hint="eastAsia"/>
          <w:b/>
          <w:bCs/>
          <w:color w:val="FF0000"/>
          <w:sz w:val="21"/>
          <w:szCs w:val="24"/>
        </w:rPr>
        <w:t>中标人</w:t>
      </w:r>
      <w:r>
        <w:rPr>
          <w:rFonts w:hint="eastAsia"/>
          <w:b/>
          <w:bCs/>
          <w:color w:val="FF0000"/>
          <w:sz w:val="21"/>
          <w:szCs w:val="24"/>
          <w:lang w:eastAsia="zh-CN"/>
        </w:rPr>
        <w:t>，</w:t>
      </w:r>
      <w:r>
        <w:rPr>
          <w:rFonts w:hint="eastAsia" w:ascii="宋体" w:hAnsi="宋体" w:cs="宋体"/>
          <w:b/>
          <w:bCs/>
          <w:color w:val="FF0000"/>
          <w:szCs w:val="21"/>
        </w:rPr>
        <w:t>并</w:t>
      </w:r>
      <w:r>
        <w:rPr>
          <w:rFonts w:hint="eastAsia" w:ascii="宋体" w:hAnsi="宋体" w:cs="宋体"/>
          <w:b/>
          <w:bCs/>
          <w:color w:val="FF0000"/>
          <w:szCs w:val="21"/>
          <w:lang w:eastAsia="zh-CN"/>
        </w:rPr>
        <w:t>公布</w:t>
      </w:r>
      <w:r>
        <w:rPr>
          <w:rFonts w:hint="eastAsia" w:ascii="宋体" w:hAnsi="宋体" w:cs="宋体"/>
          <w:b/>
          <w:bCs/>
          <w:color w:val="FF0000"/>
          <w:szCs w:val="21"/>
        </w:rPr>
        <w:t>中标结果。投标人的投标报价即为中标价</w:t>
      </w:r>
      <w:r>
        <w:rPr>
          <w:rFonts w:hint="eastAsia" w:ascii="宋体" w:hAnsi="宋体" w:cs="宋体"/>
          <w:b/>
          <w:bCs/>
          <w:color w:val="FF0000"/>
          <w:szCs w:val="21"/>
          <w:lang w:eastAsia="zh-CN"/>
        </w:rPr>
        <w:t>。</w:t>
      </w:r>
    </w:p>
    <w:p w14:paraId="581DCE44">
      <w:pPr>
        <w:spacing w:line="360" w:lineRule="auto"/>
        <w:ind w:firstLine="422" w:firstLineChars="200"/>
        <w:rPr>
          <w:rFonts w:hint="eastAsia"/>
          <w:b/>
          <w:bCs/>
          <w:color w:val="FF0000"/>
          <w:sz w:val="21"/>
          <w:szCs w:val="24"/>
          <w:lang w:eastAsia="zh-CN"/>
        </w:rPr>
      </w:pPr>
      <w:r>
        <w:rPr>
          <w:rFonts w:hint="eastAsia"/>
          <w:b/>
          <w:bCs/>
          <w:color w:val="FF0000"/>
          <w:sz w:val="21"/>
          <w:szCs w:val="24"/>
          <w:lang w:eastAsia="zh-CN"/>
        </w:rPr>
        <w:t>第一种：授权评委会直接确定中标人，即评委会直接确定排名第一的中标候选人的中标人；</w:t>
      </w:r>
    </w:p>
    <w:p w14:paraId="1763089A">
      <w:pPr>
        <w:spacing w:line="360" w:lineRule="auto"/>
        <w:ind w:firstLine="422" w:firstLineChars="200"/>
        <w:rPr>
          <w:rFonts w:hint="eastAsia"/>
          <w:b/>
          <w:bCs/>
          <w:color w:val="FF0000"/>
          <w:sz w:val="21"/>
          <w:szCs w:val="24"/>
          <w:lang w:eastAsia="zh-CN"/>
        </w:rPr>
      </w:pPr>
      <w:r>
        <w:rPr>
          <w:rFonts w:hint="eastAsia"/>
          <w:b/>
          <w:bCs/>
          <w:color w:val="FF0000"/>
          <w:sz w:val="21"/>
          <w:szCs w:val="24"/>
          <w:lang w:eastAsia="zh-CN"/>
        </w:rPr>
        <w:t>第二种：招标人确定中标人，即招标人根据评委会推荐的中标候选人，确定排名第一的为中标人；</w:t>
      </w:r>
    </w:p>
    <w:p w14:paraId="2FC74147">
      <w:pPr>
        <w:spacing w:line="360" w:lineRule="auto"/>
        <w:ind w:firstLine="422" w:firstLineChars="200"/>
        <w:rPr>
          <w:rFonts w:hint="eastAsia"/>
          <w:b/>
          <w:bCs/>
          <w:color w:val="FF0000"/>
          <w:sz w:val="21"/>
          <w:szCs w:val="24"/>
          <w:lang w:eastAsia="zh-CN"/>
        </w:rPr>
      </w:pPr>
      <w:r>
        <w:rPr>
          <w:rFonts w:hint="eastAsia"/>
          <w:b/>
          <w:bCs/>
          <w:color w:val="FF0000"/>
          <w:sz w:val="21"/>
          <w:szCs w:val="24"/>
          <w:lang w:eastAsia="zh-CN"/>
        </w:rPr>
        <w:t>第三种：评定分离定标方法确定中标人，招标人应另行制订评定分离定标办法；</w:t>
      </w:r>
    </w:p>
    <w:p w14:paraId="5B6175B5">
      <w:pPr>
        <w:spacing w:line="360" w:lineRule="auto"/>
        <w:ind w:firstLine="422" w:firstLineChars="200"/>
        <w:rPr>
          <w:rFonts w:hint="eastAsia"/>
          <w:b/>
          <w:bCs/>
          <w:color w:val="FF0000"/>
          <w:sz w:val="21"/>
          <w:szCs w:val="24"/>
          <w:lang w:eastAsia="zh-CN"/>
        </w:rPr>
      </w:pPr>
      <w:r>
        <w:rPr>
          <w:rFonts w:hint="eastAsia"/>
          <w:b/>
          <w:bCs/>
          <w:color w:val="FF0000"/>
          <w:sz w:val="21"/>
          <w:szCs w:val="24"/>
          <w:lang w:eastAsia="zh-CN"/>
        </w:rPr>
        <w:t>第四种：招标人确定的其他方法。</w:t>
      </w:r>
    </w:p>
    <w:p w14:paraId="53E77411">
      <w:pPr>
        <w:widowControl/>
        <w:snapToGrid w:val="0"/>
        <w:spacing w:line="360" w:lineRule="auto"/>
        <w:ind w:firstLine="422" w:firstLineChars="200"/>
        <w:rPr>
          <w:rFonts w:hint="default"/>
          <w:b/>
          <w:bCs/>
          <w:color w:val="FF0000"/>
          <w:sz w:val="21"/>
          <w:szCs w:val="24"/>
          <w:lang w:val="en-US" w:eastAsia="zh-CN"/>
        </w:rPr>
      </w:pPr>
      <w:r>
        <w:rPr>
          <w:rFonts w:hint="eastAsia"/>
          <w:b/>
          <w:bCs/>
          <w:color w:val="FF0000"/>
          <w:sz w:val="21"/>
          <w:szCs w:val="24"/>
          <w:lang w:val="en-US" w:eastAsia="zh-CN"/>
        </w:rPr>
        <w:t>以上几种定标办法，当排名第一的中标候选人</w:t>
      </w:r>
      <w:r>
        <w:rPr>
          <w:rFonts w:hint="eastAsia" w:ascii="宋体" w:hAnsi="宋体" w:cs="宋体"/>
          <w:b/>
          <w:bCs/>
          <w:color w:val="FF0000"/>
          <w:szCs w:val="21"/>
        </w:rPr>
        <w:t>放弃中标、因不可抗力不能履行合同、不按招标文件要求提交履约保证金，或者被查实存在影响中标结果的违法行为等情形，不符合中标条件的</w:t>
      </w:r>
      <w:r>
        <w:rPr>
          <w:rFonts w:hint="eastAsia" w:ascii="宋体" w:hAnsi="宋体" w:cs="宋体"/>
          <w:b/>
          <w:bCs/>
          <w:color w:val="FF0000"/>
          <w:szCs w:val="21"/>
          <w:lang w:eastAsia="zh-CN"/>
        </w:rPr>
        <w:t>，招标人按照评标委员会提出的中标候选人名单顺序依次确定其他中标候选人为中标人，也可以重新招标。</w:t>
      </w:r>
    </w:p>
    <w:p w14:paraId="03A33D81">
      <w:pPr>
        <w:widowControl/>
        <w:snapToGrid w:val="0"/>
        <w:spacing w:line="360" w:lineRule="auto"/>
        <w:ind w:firstLine="422" w:firstLineChars="200"/>
        <w:rPr>
          <w:rFonts w:hint="eastAsia" w:ascii="宋体" w:hAnsi="宋体" w:cs="宋体"/>
          <w:szCs w:val="21"/>
        </w:rPr>
      </w:pPr>
      <w:r>
        <w:rPr>
          <w:rFonts w:hint="eastAsia" w:ascii="宋体" w:hAnsi="宋体" w:cs="宋体"/>
          <w:b/>
          <w:bCs/>
          <w:color w:val="FF0000"/>
          <w:szCs w:val="21"/>
          <w:lang w:val="en-US" w:eastAsia="zh-CN"/>
        </w:rPr>
        <w:t xml:space="preserve">7.1.3 </w:t>
      </w:r>
      <w:r>
        <w:rPr>
          <w:rFonts w:hint="eastAsia" w:ascii="宋体" w:hAnsi="宋体" w:cs="宋体"/>
          <w:szCs w:val="21"/>
        </w:rPr>
        <w:t>评标报告应当由评标委员会全体成员签字。对评标结果有不同意见的评标委员会成员应当以书面形式说明其不同意见和理由，评标报告应当注明该不同意见。评标委员会成员拒绝在评标报告上签字又不书面说明其不同意见和理由的，视为同意评标结果。</w:t>
      </w:r>
    </w:p>
    <w:p w14:paraId="78274F34">
      <w:pPr>
        <w:widowControl/>
        <w:snapToGrid w:val="0"/>
        <w:spacing w:line="360" w:lineRule="auto"/>
        <w:ind w:firstLine="420" w:firstLineChars="200"/>
        <w:rPr>
          <w:rFonts w:hint="eastAsia" w:ascii="宋体" w:hAnsi="宋体" w:cs="宋体"/>
          <w:szCs w:val="21"/>
        </w:rPr>
      </w:pPr>
      <w:r>
        <w:rPr>
          <w:rFonts w:hint="eastAsia" w:ascii="宋体" w:hAnsi="宋体" w:cs="宋体"/>
          <w:szCs w:val="21"/>
        </w:rPr>
        <w:t xml:space="preserve"> 依法必须进行招标的项目，招标人应当自收到评标报告之日起3日内公示中标候选人，公示期不得少于3日。投标人或者其他利害关系人对依法必须进行招标的项目的评标结果有异议的，应当在中标候选人公示期间提出。招标人应当自收到异议之日起3日内作出答复；作出答复前，应当暂停招标投标活动。</w:t>
      </w:r>
    </w:p>
    <w:p w14:paraId="7228E17E">
      <w:pPr>
        <w:widowControl/>
        <w:snapToGrid w:val="0"/>
        <w:spacing w:line="360" w:lineRule="auto"/>
        <w:ind w:firstLine="422" w:firstLineChars="200"/>
        <w:rPr>
          <w:rFonts w:hint="eastAsia" w:ascii="宋体" w:hAnsi="宋体" w:cs="宋体"/>
          <w:szCs w:val="21"/>
        </w:rPr>
      </w:pPr>
      <w:r>
        <w:rPr>
          <w:rFonts w:hint="eastAsia" w:ascii="宋体" w:hAnsi="宋体" w:cs="宋体"/>
          <w:b/>
          <w:bCs/>
          <w:color w:val="FF0000"/>
          <w:szCs w:val="21"/>
          <w:lang w:val="en-US" w:eastAsia="zh-CN"/>
        </w:rPr>
        <w:t xml:space="preserve">7.1.4 </w:t>
      </w:r>
      <w:r>
        <w:rPr>
          <w:rFonts w:hint="eastAsia" w:ascii="宋体" w:hAnsi="宋体" w:cs="宋体"/>
          <w:b/>
          <w:bCs/>
          <w:color w:val="FF0000"/>
          <w:szCs w:val="21"/>
        </w:rPr>
        <w:t>招标人应当自确定中标人之日起15日内向招标投标监管机构提交招标投标情况的书面报告</w:t>
      </w:r>
      <w:r>
        <w:rPr>
          <w:rFonts w:hint="eastAsia" w:ascii="宋体" w:hAnsi="宋体" w:cs="宋体"/>
          <w:szCs w:val="21"/>
        </w:rPr>
        <w:t>。</w:t>
      </w:r>
    </w:p>
    <w:p w14:paraId="110C9ADF">
      <w:pPr>
        <w:spacing w:line="360" w:lineRule="auto"/>
        <w:ind w:firstLine="422" w:firstLineChars="200"/>
        <w:rPr>
          <w:rFonts w:hint="eastAsia" w:ascii="宋体" w:hAnsi="宋体" w:cs="宋体"/>
          <w:b/>
          <w:bCs/>
          <w:color w:val="FF0000"/>
          <w:szCs w:val="21"/>
        </w:rPr>
      </w:pPr>
      <w:r>
        <w:rPr>
          <w:rFonts w:hint="eastAsia" w:ascii="宋体" w:hAnsi="宋体" w:cs="宋体"/>
          <w:b/>
          <w:bCs/>
          <w:color w:val="FF0000"/>
          <w:szCs w:val="21"/>
        </w:rPr>
        <w:t>7.2  中标通知</w:t>
      </w:r>
    </w:p>
    <w:p w14:paraId="1C48761B">
      <w:pPr>
        <w:spacing w:line="360" w:lineRule="auto"/>
        <w:ind w:firstLine="422" w:firstLineChars="200"/>
        <w:rPr>
          <w:rFonts w:hint="eastAsia" w:ascii="宋体" w:hAnsi="宋体" w:cs="宋体"/>
          <w:szCs w:val="21"/>
        </w:rPr>
      </w:pPr>
      <w:r>
        <w:rPr>
          <w:rFonts w:hint="eastAsia" w:ascii="宋体" w:hAnsi="宋体" w:cs="宋体"/>
          <w:b/>
          <w:bCs/>
          <w:color w:val="FF0000"/>
          <w:szCs w:val="21"/>
        </w:rPr>
        <w:t>招标人以书面形式向中标人发出</w:t>
      </w:r>
      <w:r>
        <w:rPr>
          <w:rFonts w:hint="eastAsia" w:ascii="宋体" w:hAnsi="宋体" w:cs="宋体"/>
          <w:b/>
          <w:bCs/>
          <w:color w:val="FF0000"/>
          <w:szCs w:val="21"/>
          <w:lang w:eastAsia="zh-CN"/>
        </w:rPr>
        <w:t>备案的</w:t>
      </w:r>
      <w:r>
        <w:rPr>
          <w:rFonts w:hint="eastAsia" w:ascii="宋体" w:hAnsi="宋体" w:cs="宋体"/>
          <w:b/>
          <w:bCs/>
          <w:color w:val="FF0000"/>
          <w:szCs w:val="21"/>
        </w:rPr>
        <w:t>中标通知书。</w:t>
      </w:r>
    </w:p>
    <w:p w14:paraId="5CEBCA00">
      <w:pPr>
        <w:pStyle w:val="892"/>
        <w:spacing w:line="460" w:lineRule="exact"/>
        <w:ind w:firstLine="480" w:firstLineChars="200"/>
        <w:rPr>
          <w:rStyle w:val="95"/>
          <w:rFonts w:eastAsia="宋体"/>
          <w:szCs w:val="24"/>
        </w:rPr>
      </w:pPr>
      <w:r>
        <w:rPr>
          <w:rStyle w:val="95"/>
          <w:rFonts w:eastAsia="宋体"/>
          <w:szCs w:val="24"/>
        </w:rPr>
        <w:t>7.</w:t>
      </w:r>
      <w:r>
        <w:rPr>
          <w:rStyle w:val="95"/>
          <w:rFonts w:hint="eastAsia" w:eastAsia="宋体"/>
          <w:szCs w:val="24"/>
          <w:lang w:val="en-US" w:eastAsia="zh-CN"/>
        </w:rPr>
        <w:t>3</w:t>
      </w:r>
      <w:r>
        <w:rPr>
          <w:rStyle w:val="95"/>
          <w:rFonts w:eastAsia="宋体"/>
          <w:szCs w:val="24"/>
        </w:rPr>
        <w:t xml:space="preserve"> </w:t>
      </w:r>
      <w:r>
        <w:rPr>
          <w:rStyle w:val="95"/>
          <w:rFonts w:hint="eastAsia" w:eastAsia="宋体"/>
          <w:szCs w:val="24"/>
        </w:rPr>
        <w:t>履约担保</w:t>
      </w:r>
    </w:p>
    <w:p w14:paraId="6A43AFBB">
      <w:pPr>
        <w:spacing w:line="460" w:lineRule="exact"/>
        <w:ind w:firstLine="480" w:firstLineChars="200"/>
        <w:rPr>
          <w:rStyle w:val="95"/>
          <w:sz w:val="24"/>
        </w:rPr>
      </w:pPr>
      <w:r>
        <w:rPr>
          <w:rStyle w:val="95"/>
          <w:sz w:val="24"/>
        </w:rPr>
        <w:t>7.</w:t>
      </w:r>
      <w:r>
        <w:rPr>
          <w:rStyle w:val="95"/>
          <w:rFonts w:hint="eastAsia"/>
          <w:sz w:val="24"/>
          <w:lang w:val="en-US" w:eastAsia="zh-CN"/>
        </w:rPr>
        <w:t>3</w:t>
      </w:r>
      <w:r>
        <w:rPr>
          <w:rStyle w:val="95"/>
          <w:sz w:val="24"/>
        </w:rPr>
        <w:t xml:space="preserve">.1 </w:t>
      </w:r>
      <w:r>
        <w:rPr>
          <w:rStyle w:val="95"/>
          <w:rFonts w:hint="eastAsia"/>
          <w:sz w:val="24"/>
        </w:rPr>
        <w:t>在签订合同前，中标人应按投标人须知前附表规定的金额、担保形式和招标文件第一卷第四章</w:t>
      </w:r>
      <w:r>
        <w:rPr>
          <w:rStyle w:val="95"/>
          <w:sz w:val="24"/>
        </w:rPr>
        <w:t>“</w:t>
      </w:r>
      <w:r>
        <w:rPr>
          <w:rStyle w:val="95"/>
          <w:rFonts w:hint="eastAsia"/>
          <w:sz w:val="24"/>
        </w:rPr>
        <w:t>合同条款及格式</w:t>
      </w:r>
      <w:r>
        <w:rPr>
          <w:rStyle w:val="95"/>
          <w:sz w:val="24"/>
        </w:rPr>
        <w:t>”</w:t>
      </w:r>
      <w:r>
        <w:rPr>
          <w:rStyle w:val="95"/>
          <w:rFonts w:hint="eastAsia"/>
          <w:sz w:val="24"/>
        </w:rPr>
        <w:t>规定的履约担保格式向招标人提交履约担保。联合体中标的，其履约担保由牵头人递交，并应符合投标人须知前附表规定的金额、担保形式和招标文件第一卷第四章</w:t>
      </w:r>
      <w:r>
        <w:rPr>
          <w:rStyle w:val="95"/>
          <w:sz w:val="24"/>
        </w:rPr>
        <w:t>“</w:t>
      </w:r>
      <w:r>
        <w:rPr>
          <w:rStyle w:val="95"/>
          <w:rFonts w:hint="eastAsia"/>
          <w:sz w:val="24"/>
        </w:rPr>
        <w:t>合同条款及格式</w:t>
      </w:r>
      <w:r>
        <w:rPr>
          <w:rStyle w:val="95"/>
          <w:sz w:val="24"/>
        </w:rPr>
        <w:t>”</w:t>
      </w:r>
      <w:r>
        <w:rPr>
          <w:rStyle w:val="95"/>
          <w:rFonts w:hint="eastAsia"/>
          <w:sz w:val="24"/>
        </w:rPr>
        <w:t>规定的履约担保格式要求。</w:t>
      </w:r>
    </w:p>
    <w:p w14:paraId="4087FA9F">
      <w:pPr>
        <w:spacing w:line="460" w:lineRule="exact"/>
        <w:ind w:firstLine="480" w:firstLineChars="200"/>
        <w:rPr>
          <w:rStyle w:val="95"/>
          <w:sz w:val="24"/>
        </w:rPr>
      </w:pPr>
      <w:r>
        <w:rPr>
          <w:rStyle w:val="95"/>
          <w:sz w:val="24"/>
        </w:rPr>
        <w:t>7.</w:t>
      </w:r>
      <w:r>
        <w:rPr>
          <w:rStyle w:val="95"/>
          <w:rFonts w:hint="eastAsia"/>
          <w:sz w:val="24"/>
          <w:lang w:val="en-US" w:eastAsia="zh-CN"/>
        </w:rPr>
        <w:t>3</w:t>
      </w:r>
      <w:r>
        <w:rPr>
          <w:rStyle w:val="95"/>
          <w:sz w:val="24"/>
        </w:rPr>
        <w:t xml:space="preserve">.2 </w:t>
      </w:r>
      <w:r>
        <w:rPr>
          <w:rStyle w:val="95"/>
          <w:rFonts w:hint="eastAsia"/>
          <w:sz w:val="24"/>
        </w:rPr>
        <w:t>中标人不能按本章第</w:t>
      </w:r>
      <w:r>
        <w:rPr>
          <w:rStyle w:val="95"/>
          <w:sz w:val="24"/>
        </w:rPr>
        <w:t>7.4.1</w:t>
      </w:r>
      <w:r>
        <w:rPr>
          <w:rStyle w:val="95"/>
          <w:rFonts w:hint="eastAsia"/>
          <w:sz w:val="24"/>
        </w:rPr>
        <w:t>项要求提交履约担保的，视为放弃中标，其投标保证金不予退还，给招标人造成的损失超过投标保证金数额的，中标人还应当对超过部分予以赔偿。</w:t>
      </w:r>
    </w:p>
    <w:p w14:paraId="00BBEDF6">
      <w:pPr>
        <w:pStyle w:val="892"/>
        <w:spacing w:line="460" w:lineRule="exact"/>
        <w:ind w:firstLine="480" w:firstLineChars="200"/>
        <w:rPr>
          <w:rStyle w:val="95"/>
          <w:rFonts w:eastAsia="宋体"/>
          <w:szCs w:val="24"/>
        </w:rPr>
      </w:pPr>
      <w:r>
        <w:rPr>
          <w:rStyle w:val="95"/>
          <w:rFonts w:eastAsia="宋体"/>
          <w:szCs w:val="24"/>
        </w:rPr>
        <w:t>7.</w:t>
      </w:r>
      <w:r>
        <w:rPr>
          <w:rStyle w:val="95"/>
          <w:rFonts w:hint="eastAsia" w:eastAsia="宋体"/>
          <w:szCs w:val="24"/>
          <w:lang w:val="en-US" w:eastAsia="zh-CN"/>
        </w:rPr>
        <w:t>4</w:t>
      </w:r>
      <w:r>
        <w:rPr>
          <w:rStyle w:val="95"/>
          <w:rFonts w:eastAsia="宋体"/>
          <w:szCs w:val="24"/>
        </w:rPr>
        <w:t xml:space="preserve"> </w:t>
      </w:r>
      <w:r>
        <w:rPr>
          <w:rStyle w:val="95"/>
          <w:rFonts w:hint="eastAsia" w:eastAsia="宋体"/>
          <w:szCs w:val="24"/>
        </w:rPr>
        <w:t>签订合同</w:t>
      </w:r>
    </w:p>
    <w:p w14:paraId="7F2DE376">
      <w:pPr>
        <w:spacing w:line="460" w:lineRule="exact"/>
        <w:ind w:firstLine="480" w:firstLineChars="200"/>
        <w:rPr>
          <w:rStyle w:val="95"/>
          <w:bCs/>
          <w:sz w:val="24"/>
        </w:rPr>
      </w:pPr>
      <w:r>
        <w:rPr>
          <w:rStyle w:val="95"/>
          <w:sz w:val="24"/>
        </w:rPr>
        <w:t>7.</w:t>
      </w:r>
      <w:r>
        <w:rPr>
          <w:rStyle w:val="95"/>
          <w:rFonts w:hint="eastAsia"/>
          <w:sz w:val="24"/>
          <w:lang w:val="en-US" w:eastAsia="zh-CN"/>
        </w:rPr>
        <w:t>4</w:t>
      </w:r>
      <w:r>
        <w:rPr>
          <w:rStyle w:val="95"/>
          <w:sz w:val="24"/>
        </w:rPr>
        <w:t xml:space="preserve">.1 </w:t>
      </w:r>
      <w:r>
        <w:rPr>
          <w:rStyle w:val="95"/>
          <w:rFonts w:hint="eastAsia"/>
          <w:sz w:val="24"/>
        </w:rPr>
        <w:t>招标人和中标人应当自中标通知书发出之日起</w:t>
      </w:r>
      <w:r>
        <w:rPr>
          <w:rStyle w:val="95"/>
          <w:sz w:val="24"/>
        </w:rPr>
        <w:t>30</w:t>
      </w:r>
      <w:r>
        <w:rPr>
          <w:rStyle w:val="95"/>
          <w:rFonts w:hint="eastAsia"/>
          <w:sz w:val="24"/>
        </w:rPr>
        <w:t>天内，根据招标文件和中标人的投标文件订立书面合同</w:t>
      </w:r>
      <w:r>
        <w:rPr>
          <w:rStyle w:val="95"/>
          <w:rFonts w:hint="eastAsia"/>
          <w:bCs/>
          <w:sz w:val="24"/>
        </w:rPr>
        <w:t>并提交规定的履约保证金（另有约定除外）。招标人和中标人不得再行订立背离合同实质性内容的其他协议。</w:t>
      </w:r>
    </w:p>
    <w:p w14:paraId="7CAA141F">
      <w:pPr>
        <w:spacing w:line="460" w:lineRule="exact"/>
        <w:ind w:firstLine="480" w:firstLineChars="200"/>
        <w:rPr>
          <w:rStyle w:val="95"/>
          <w:bCs/>
          <w:sz w:val="24"/>
        </w:rPr>
      </w:pPr>
      <w:r>
        <w:rPr>
          <w:rStyle w:val="95"/>
          <w:bCs/>
          <w:sz w:val="24"/>
        </w:rPr>
        <w:t>7.</w:t>
      </w:r>
      <w:r>
        <w:rPr>
          <w:rStyle w:val="95"/>
          <w:rFonts w:hint="eastAsia"/>
          <w:bCs/>
          <w:sz w:val="24"/>
          <w:lang w:val="en-US" w:eastAsia="zh-CN"/>
        </w:rPr>
        <w:t>4</w:t>
      </w:r>
      <w:r>
        <w:rPr>
          <w:rStyle w:val="95"/>
          <w:bCs/>
          <w:sz w:val="24"/>
        </w:rPr>
        <w:t xml:space="preserve">.2 </w:t>
      </w:r>
      <w:r>
        <w:rPr>
          <w:rStyle w:val="95"/>
          <w:rFonts w:hint="eastAsia"/>
          <w:bCs/>
          <w:sz w:val="24"/>
        </w:rPr>
        <w:t>中标人无正当理由拒签合同的，招标人取消其中标资格，其投标保证金不予退还；给招标人造成的损失超过投标保证金数额的，中标人还应当对超过部分予以赔偿。</w:t>
      </w:r>
    </w:p>
    <w:p w14:paraId="4890752F">
      <w:pPr>
        <w:spacing w:line="460" w:lineRule="exact"/>
        <w:ind w:firstLine="480" w:firstLineChars="200"/>
        <w:rPr>
          <w:rStyle w:val="95"/>
          <w:bCs/>
          <w:color w:val="000000"/>
          <w:sz w:val="24"/>
        </w:rPr>
      </w:pPr>
      <w:r>
        <w:rPr>
          <w:rStyle w:val="95"/>
          <w:bCs/>
          <w:color w:val="000000"/>
          <w:sz w:val="24"/>
        </w:rPr>
        <w:t>7.</w:t>
      </w:r>
      <w:r>
        <w:rPr>
          <w:rStyle w:val="95"/>
          <w:rFonts w:hint="eastAsia"/>
          <w:bCs/>
          <w:color w:val="000000"/>
          <w:sz w:val="24"/>
          <w:lang w:val="en-US" w:eastAsia="zh-CN"/>
        </w:rPr>
        <w:t>4</w:t>
      </w:r>
      <w:r>
        <w:rPr>
          <w:rStyle w:val="95"/>
          <w:bCs/>
          <w:color w:val="000000"/>
          <w:sz w:val="24"/>
        </w:rPr>
        <w:t xml:space="preserve">.3 </w:t>
      </w:r>
      <w:r>
        <w:rPr>
          <w:rStyle w:val="95"/>
          <w:rFonts w:hint="eastAsia"/>
          <w:bCs/>
          <w:color w:val="000000"/>
          <w:sz w:val="24"/>
        </w:rPr>
        <w:t>招标人无正当理由拒签合同的，招标人向中标人退还投标保证金；给中标人造成损失的，还应当赔偿损失。</w:t>
      </w:r>
    </w:p>
    <w:p w14:paraId="3519CA8A">
      <w:pPr>
        <w:spacing w:line="460" w:lineRule="exact"/>
        <w:ind w:firstLine="480" w:firstLineChars="200"/>
        <w:rPr>
          <w:rStyle w:val="95"/>
          <w:bCs/>
          <w:color w:val="000000"/>
          <w:sz w:val="24"/>
          <w:szCs w:val="22"/>
        </w:rPr>
      </w:pPr>
      <w:r>
        <w:rPr>
          <w:rStyle w:val="95"/>
          <w:bCs/>
          <w:color w:val="000000"/>
          <w:sz w:val="24"/>
          <w:szCs w:val="22"/>
        </w:rPr>
        <w:t>7.</w:t>
      </w:r>
      <w:r>
        <w:rPr>
          <w:rStyle w:val="95"/>
          <w:rFonts w:hint="eastAsia"/>
          <w:bCs/>
          <w:color w:val="000000"/>
          <w:sz w:val="24"/>
          <w:szCs w:val="22"/>
          <w:lang w:val="en-US" w:eastAsia="zh-CN"/>
        </w:rPr>
        <w:t>4</w:t>
      </w:r>
      <w:r>
        <w:rPr>
          <w:rStyle w:val="95"/>
          <w:bCs/>
          <w:color w:val="000000"/>
          <w:sz w:val="24"/>
          <w:szCs w:val="22"/>
        </w:rPr>
        <w:t xml:space="preserve">.4 </w:t>
      </w:r>
      <w:r>
        <w:rPr>
          <w:rStyle w:val="95"/>
          <w:rFonts w:hint="eastAsia"/>
          <w:bCs/>
          <w:color w:val="000000"/>
          <w:sz w:val="24"/>
          <w:szCs w:val="22"/>
        </w:rPr>
        <w:t>企业投资项目的工程总承包宜采用总价合同，政府投资项目的工程总承包应当合理确定合同价格形式。采用总价合同的，除合同约定可以调整的情形外，合同总价一般不予调整。本项目合同采用</w:t>
      </w:r>
      <w:r>
        <w:rPr>
          <w:rStyle w:val="95"/>
          <w:rFonts w:hint="eastAsia"/>
          <w:bCs/>
          <w:color w:val="000000"/>
          <w:sz w:val="24"/>
          <w:szCs w:val="22"/>
          <w:u w:val="single"/>
        </w:rPr>
        <w:t>总价</w:t>
      </w:r>
      <w:r>
        <w:rPr>
          <w:rStyle w:val="95"/>
          <w:rFonts w:hint="eastAsia"/>
          <w:bCs/>
          <w:color w:val="000000"/>
          <w:sz w:val="24"/>
          <w:szCs w:val="22"/>
        </w:rPr>
        <w:t>合同，中标价即为签约合同价。</w:t>
      </w:r>
    </w:p>
    <w:p w14:paraId="68558BF5">
      <w:pPr>
        <w:spacing w:line="460" w:lineRule="exact"/>
        <w:ind w:firstLine="480" w:firstLineChars="200"/>
        <w:rPr>
          <w:rStyle w:val="95"/>
          <w:bCs/>
          <w:color w:val="000000"/>
          <w:sz w:val="24"/>
          <w:szCs w:val="22"/>
        </w:rPr>
      </w:pPr>
      <w:r>
        <w:rPr>
          <w:rStyle w:val="95"/>
          <w:bCs/>
          <w:color w:val="000000"/>
          <w:sz w:val="24"/>
          <w:szCs w:val="22"/>
        </w:rPr>
        <w:t>7.</w:t>
      </w:r>
      <w:r>
        <w:rPr>
          <w:rStyle w:val="95"/>
          <w:rFonts w:hint="eastAsia"/>
          <w:bCs/>
          <w:color w:val="000000"/>
          <w:sz w:val="24"/>
          <w:szCs w:val="22"/>
          <w:lang w:val="en-US" w:eastAsia="zh-CN"/>
        </w:rPr>
        <w:t>4</w:t>
      </w:r>
      <w:r>
        <w:rPr>
          <w:rStyle w:val="95"/>
          <w:bCs/>
          <w:color w:val="000000"/>
          <w:sz w:val="24"/>
          <w:szCs w:val="22"/>
        </w:rPr>
        <w:t xml:space="preserve">.5 </w:t>
      </w:r>
      <w:r>
        <w:rPr>
          <w:rStyle w:val="95"/>
          <w:rFonts w:hint="eastAsia"/>
          <w:bCs/>
          <w:color w:val="000000"/>
          <w:sz w:val="24"/>
          <w:szCs w:val="22"/>
        </w:rPr>
        <w:t>中标人不得随意更换项目班子人员配备，确需更换须征得业主书面同意，且更换后项目负责人的资格与业绩不得低于更换前项目负责人的资格与业绩。</w:t>
      </w:r>
    </w:p>
    <w:p w14:paraId="26AFDC8B">
      <w:pPr>
        <w:pStyle w:val="19"/>
        <w:spacing w:after="0" w:line="540" w:lineRule="exact"/>
        <w:rPr>
          <w:rStyle w:val="95"/>
          <w:bCs/>
          <w:color w:val="000000"/>
          <w:sz w:val="24"/>
          <w:szCs w:val="22"/>
        </w:rPr>
      </w:pPr>
      <w:r>
        <w:rPr>
          <w:rStyle w:val="95"/>
          <w:bCs/>
          <w:color w:val="000000"/>
          <w:sz w:val="24"/>
          <w:szCs w:val="22"/>
        </w:rPr>
        <w:t xml:space="preserve">    7.</w:t>
      </w:r>
      <w:r>
        <w:rPr>
          <w:rStyle w:val="95"/>
          <w:rFonts w:hint="eastAsia"/>
          <w:bCs/>
          <w:color w:val="000000"/>
          <w:sz w:val="24"/>
          <w:szCs w:val="22"/>
          <w:lang w:val="en-US" w:eastAsia="zh-CN"/>
        </w:rPr>
        <w:t>4</w:t>
      </w:r>
      <w:r>
        <w:rPr>
          <w:rStyle w:val="95"/>
          <w:bCs/>
          <w:color w:val="000000"/>
          <w:sz w:val="24"/>
          <w:szCs w:val="22"/>
        </w:rPr>
        <w:t>.6</w:t>
      </w:r>
      <w:r>
        <w:rPr>
          <w:rStyle w:val="95"/>
          <w:rFonts w:hint="eastAsia"/>
          <w:bCs/>
          <w:color w:val="000000"/>
          <w:sz w:val="24"/>
          <w:szCs w:val="22"/>
        </w:rPr>
        <w:t>设计合同应当按照《山西省住房和城乡建设厅关于进一步深化施工图审查制度改革加强勘察设计质量管理的意见》（晋建办字</w:t>
      </w:r>
      <w:r>
        <w:rPr>
          <w:rStyle w:val="95"/>
          <w:bCs/>
          <w:color w:val="000000"/>
          <w:sz w:val="24"/>
          <w:szCs w:val="22"/>
        </w:rPr>
        <w:t>{2019}155</w:t>
      </w:r>
      <w:r>
        <w:rPr>
          <w:rStyle w:val="95"/>
          <w:rFonts w:hint="eastAsia"/>
          <w:bCs/>
          <w:color w:val="000000"/>
          <w:sz w:val="24"/>
          <w:szCs w:val="22"/>
        </w:rPr>
        <w:t>号）文件要求，明确设计单位及单位技术负责人、项目负责人、专业技术负责人等主要设计人员终身职责，并签订设计质量承诺书。</w:t>
      </w:r>
    </w:p>
    <w:p w14:paraId="19339B48">
      <w:pPr>
        <w:pStyle w:val="592"/>
        <w:spacing w:before="0" w:line="540" w:lineRule="exact"/>
        <w:rPr>
          <w:rStyle w:val="95"/>
          <w:rFonts w:eastAsia="宋体"/>
          <w:sz w:val="24"/>
          <w:szCs w:val="24"/>
        </w:rPr>
      </w:pPr>
      <w:r>
        <w:rPr>
          <w:rStyle w:val="95"/>
          <w:rFonts w:eastAsia="宋体"/>
          <w:sz w:val="24"/>
          <w:szCs w:val="24"/>
        </w:rPr>
        <w:t xml:space="preserve">8. </w:t>
      </w:r>
      <w:r>
        <w:rPr>
          <w:rStyle w:val="95"/>
          <w:rFonts w:hint="eastAsia" w:eastAsia="宋体"/>
          <w:sz w:val="24"/>
          <w:szCs w:val="24"/>
        </w:rPr>
        <w:t>重新招标和不再招标</w:t>
      </w:r>
    </w:p>
    <w:p w14:paraId="3A6256D3">
      <w:pPr>
        <w:pStyle w:val="892"/>
        <w:spacing w:line="540" w:lineRule="exact"/>
        <w:rPr>
          <w:rStyle w:val="95"/>
          <w:rFonts w:eastAsia="宋体"/>
          <w:szCs w:val="24"/>
        </w:rPr>
      </w:pPr>
      <w:r>
        <w:rPr>
          <w:rStyle w:val="95"/>
          <w:rFonts w:eastAsia="宋体"/>
          <w:szCs w:val="24"/>
        </w:rPr>
        <w:t xml:space="preserve">8.1 </w:t>
      </w:r>
      <w:r>
        <w:rPr>
          <w:rStyle w:val="95"/>
          <w:rFonts w:hint="eastAsia" w:eastAsia="宋体"/>
          <w:szCs w:val="24"/>
        </w:rPr>
        <w:t>重新招标</w:t>
      </w:r>
    </w:p>
    <w:p w14:paraId="0775C40E">
      <w:pPr>
        <w:spacing w:line="540" w:lineRule="exact"/>
        <w:ind w:firstLine="480" w:firstLineChars="200"/>
        <w:rPr>
          <w:rStyle w:val="95"/>
          <w:sz w:val="24"/>
        </w:rPr>
      </w:pPr>
      <w:r>
        <w:rPr>
          <w:rStyle w:val="95"/>
          <w:rFonts w:hint="eastAsia"/>
          <w:sz w:val="24"/>
        </w:rPr>
        <w:t>有下列情形之一的，招标人将重新招标：</w:t>
      </w:r>
    </w:p>
    <w:p w14:paraId="6BEFEDA3">
      <w:pPr>
        <w:spacing w:line="460" w:lineRule="exact"/>
        <w:ind w:firstLine="410" w:firstLineChars="171"/>
        <w:rPr>
          <w:rStyle w:val="95"/>
          <w:sz w:val="24"/>
        </w:rPr>
      </w:pPr>
      <w:r>
        <w:rPr>
          <w:rStyle w:val="95"/>
          <w:rFonts w:hint="eastAsia"/>
          <w:sz w:val="24"/>
        </w:rPr>
        <w:t>（</w:t>
      </w:r>
      <w:r>
        <w:rPr>
          <w:rStyle w:val="95"/>
          <w:sz w:val="24"/>
        </w:rPr>
        <w:t>1</w:t>
      </w:r>
      <w:r>
        <w:rPr>
          <w:rStyle w:val="95"/>
          <w:rFonts w:hint="eastAsia"/>
          <w:sz w:val="24"/>
        </w:rPr>
        <w:t>）投标截止时间止，投标人少于</w:t>
      </w:r>
      <w:r>
        <w:rPr>
          <w:rStyle w:val="95"/>
          <w:sz w:val="24"/>
        </w:rPr>
        <w:t>3</w:t>
      </w:r>
      <w:r>
        <w:rPr>
          <w:rStyle w:val="95"/>
          <w:rFonts w:hint="eastAsia"/>
          <w:sz w:val="24"/>
        </w:rPr>
        <w:t>个的；</w:t>
      </w:r>
    </w:p>
    <w:p w14:paraId="0D5CE17B">
      <w:pPr>
        <w:spacing w:line="460" w:lineRule="exact"/>
        <w:ind w:firstLine="410" w:firstLineChars="171"/>
        <w:rPr>
          <w:sz w:val="24"/>
        </w:rPr>
      </w:pPr>
      <w:r>
        <w:rPr>
          <w:rStyle w:val="95"/>
          <w:rFonts w:hint="eastAsia"/>
          <w:sz w:val="24"/>
        </w:rPr>
        <w:t>（</w:t>
      </w:r>
      <w:r>
        <w:rPr>
          <w:rStyle w:val="95"/>
          <w:sz w:val="24"/>
        </w:rPr>
        <w:t>2</w:t>
      </w:r>
      <w:r>
        <w:rPr>
          <w:rStyle w:val="95"/>
          <w:rFonts w:hint="eastAsia"/>
          <w:sz w:val="24"/>
        </w:rPr>
        <w:t>）</w:t>
      </w:r>
      <w:r>
        <w:rPr>
          <w:rFonts w:hint="eastAsia"/>
          <w:sz w:val="24"/>
        </w:rPr>
        <w:t>招标人要延长投标有效期的，若有投标人拒绝延长后，投标人少于</w:t>
      </w:r>
      <w:r>
        <w:rPr>
          <w:sz w:val="24"/>
        </w:rPr>
        <w:t>3</w:t>
      </w:r>
      <w:r>
        <w:rPr>
          <w:rFonts w:hint="eastAsia"/>
          <w:sz w:val="24"/>
        </w:rPr>
        <w:t>个的；</w:t>
      </w:r>
    </w:p>
    <w:p w14:paraId="08CA3DD0">
      <w:pPr>
        <w:spacing w:line="460" w:lineRule="exact"/>
        <w:ind w:firstLine="410" w:firstLineChars="171"/>
        <w:rPr>
          <w:rStyle w:val="95"/>
          <w:sz w:val="24"/>
        </w:rPr>
      </w:pPr>
      <w:r>
        <w:rPr>
          <w:rFonts w:hint="eastAsia"/>
          <w:sz w:val="24"/>
        </w:rPr>
        <w:t>（</w:t>
      </w:r>
      <w:r>
        <w:rPr>
          <w:sz w:val="24"/>
        </w:rPr>
        <w:t>3</w:t>
      </w:r>
      <w:r>
        <w:rPr>
          <w:rFonts w:hint="eastAsia"/>
          <w:sz w:val="24"/>
        </w:rPr>
        <w:t>）</w:t>
      </w:r>
      <w:r>
        <w:rPr>
          <w:rStyle w:val="95"/>
          <w:rFonts w:hint="eastAsia"/>
          <w:sz w:val="24"/>
        </w:rPr>
        <w:t>经评标委员会评审后否决所有投标的；</w:t>
      </w:r>
    </w:p>
    <w:p w14:paraId="3F9A46E0">
      <w:pPr>
        <w:spacing w:line="460" w:lineRule="exact"/>
        <w:ind w:firstLine="410" w:firstLineChars="171"/>
        <w:rPr>
          <w:rStyle w:val="95"/>
          <w:sz w:val="24"/>
        </w:rPr>
      </w:pPr>
      <w:r>
        <w:rPr>
          <w:rStyle w:val="95"/>
          <w:rFonts w:hint="eastAsia"/>
          <w:sz w:val="24"/>
        </w:rPr>
        <w:t>（</w:t>
      </w:r>
      <w:r>
        <w:rPr>
          <w:rStyle w:val="95"/>
          <w:sz w:val="24"/>
        </w:rPr>
        <w:t>4</w:t>
      </w:r>
      <w:r>
        <w:rPr>
          <w:rStyle w:val="95"/>
          <w:rFonts w:hint="eastAsia"/>
          <w:sz w:val="24"/>
        </w:rPr>
        <w:t>）</w:t>
      </w:r>
      <w:r>
        <w:rPr>
          <w:rFonts w:hint="eastAsia"/>
          <w:sz w:val="24"/>
        </w:rPr>
        <w:t>在投标人须知前附表</w:t>
      </w:r>
      <w:r>
        <w:rPr>
          <w:sz w:val="24"/>
        </w:rPr>
        <w:t>7.2</w:t>
      </w:r>
      <w:r>
        <w:rPr>
          <w:rFonts w:hint="eastAsia"/>
          <w:sz w:val="24"/>
        </w:rPr>
        <w:t>中，招标人选定的重新招标项</w:t>
      </w:r>
      <w:r>
        <w:rPr>
          <w:rStyle w:val="95"/>
          <w:rFonts w:hint="eastAsia"/>
          <w:sz w:val="24"/>
        </w:rPr>
        <w:t>。</w:t>
      </w:r>
    </w:p>
    <w:p w14:paraId="35B72575">
      <w:pPr>
        <w:pStyle w:val="892"/>
        <w:spacing w:line="460" w:lineRule="exact"/>
        <w:rPr>
          <w:rStyle w:val="95"/>
          <w:rFonts w:eastAsia="宋体"/>
          <w:szCs w:val="24"/>
        </w:rPr>
      </w:pPr>
      <w:r>
        <w:rPr>
          <w:rStyle w:val="95"/>
          <w:rFonts w:eastAsia="宋体"/>
          <w:szCs w:val="24"/>
        </w:rPr>
        <w:t xml:space="preserve">8.2 </w:t>
      </w:r>
      <w:r>
        <w:rPr>
          <w:rStyle w:val="95"/>
          <w:rFonts w:hint="eastAsia" w:eastAsia="宋体"/>
          <w:szCs w:val="24"/>
        </w:rPr>
        <w:t>不再招标</w:t>
      </w:r>
    </w:p>
    <w:p w14:paraId="1DC55E0B">
      <w:pPr>
        <w:spacing w:line="460" w:lineRule="exact"/>
        <w:ind w:firstLine="480" w:firstLineChars="200"/>
        <w:rPr>
          <w:rStyle w:val="95"/>
          <w:sz w:val="24"/>
        </w:rPr>
      </w:pPr>
      <w:r>
        <w:rPr>
          <w:rStyle w:val="95"/>
          <w:rFonts w:hint="eastAsia"/>
          <w:sz w:val="24"/>
        </w:rPr>
        <w:t>重新招标后，符合条件的投标人仍少于</w:t>
      </w:r>
      <w:r>
        <w:rPr>
          <w:rStyle w:val="95"/>
          <w:sz w:val="24"/>
        </w:rPr>
        <w:t>3</w:t>
      </w:r>
      <w:r>
        <w:rPr>
          <w:rStyle w:val="95"/>
          <w:rFonts w:hint="eastAsia"/>
          <w:sz w:val="24"/>
        </w:rPr>
        <w:t>个的，属于必须审批或核准的工程建设项目，经原招标方案核准部门批准，可以改变招标方式或者不再进行招标。</w:t>
      </w:r>
    </w:p>
    <w:p w14:paraId="4094D889">
      <w:pPr>
        <w:pStyle w:val="592"/>
        <w:spacing w:before="0" w:line="460" w:lineRule="exact"/>
        <w:rPr>
          <w:rStyle w:val="95"/>
          <w:rFonts w:eastAsia="宋体"/>
          <w:sz w:val="24"/>
          <w:szCs w:val="24"/>
        </w:rPr>
      </w:pPr>
      <w:r>
        <w:rPr>
          <w:rStyle w:val="95"/>
          <w:rFonts w:eastAsia="宋体"/>
          <w:sz w:val="24"/>
          <w:szCs w:val="24"/>
        </w:rPr>
        <w:t xml:space="preserve">9. </w:t>
      </w:r>
      <w:r>
        <w:rPr>
          <w:rStyle w:val="95"/>
          <w:rFonts w:hint="eastAsia" w:eastAsia="宋体"/>
          <w:sz w:val="24"/>
          <w:szCs w:val="24"/>
        </w:rPr>
        <w:t>纪律和监督</w:t>
      </w:r>
    </w:p>
    <w:p w14:paraId="0AF2B443">
      <w:pPr>
        <w:pStyle w:val="892"/>
        <w:spacing w:line="460" w:lineRule="exact"/>
        <w:rPr>
          <w:rStyle w:val="95"/>
          <w:rFonts w:eastAsia="宋体"/>
          <w:szCs w:val="24"/>
        </w:rPr>
      </w:pPr>
      <w:r>
        <w:rPr>
          <w:rStyle w:val="95"/>
          <w:rFonts w:eastAsia="宋体"/>
          <w:szCs w:val="24"/>
        </w:rPr>
        <w:t xml:space="preserve">9.1 </w:t>
      </w:r>
      <w:r>
        <w:rPr>
          <w:rStyle w:val="95"/>
          <w:rFonts w:hint="eastAsia" w:eastAsia="宋体"/>
          <w:szCs w:val="24"/>
        </w:rPr>
        <w:t>对招标人的纪律要求</w:t>
      </w:r>
    </w:p>
    <w:p w14:paraId="64CDFB3B">
      <w:pPr>
        <w:spacing w:line="460" w:lineRule="exact"/>
        <w:ind w:firstLine="480" w:firstLineChars="200"/>
        <w:rPr>
          <w:rStyle w:val="95"/>
          <w:sz w:val="24"/>
        </w:rPr>
      </w:pPr>
      <w:r>
        <w:rPr>
          <w:rStyle w:val="95"/>
          <w:rFonts w:hint="eastAsia"/>
          <w:sz w:val="24"/>
        </w:rPr>
        <w:t>招标人不得泄漏招标投标活动中应当保密的情况和资料，不得与投标人串通损害国家利益、社会公共利益或者他人合法权益。</w:t>
      </w:r>
    </w:p>
    <w:p w14:paraId="65B9635A">
      <w:pPr>
        <w:pStyle w:val="892"/>
        <w:spacing w:line="460" w:lineRule="exact"/>
        <w:rPr>
          <w:rStyle w:val="95"/>
          <w:rFonts w:eastAsia="宋体"/>
          <w:szCs w:val="24"/>
        </w:rPr>
      </w:pPr>
      <w:r>
        <w:rPr>
          <w:rStyle w:val="95"/>
          <w:rFonts w:eastAsia="宋体"/>
          <w:szCs w:val="24"/>
        </w:rPr>
        <w:t xml:space="preserve">9.2 </w:t>
      </w:r>
      <w:r>
        <w:rPr>
          <w:rStyle w:val="95"/>
          <w:rFonts w:hint="eastAsia" w:eastAsia="宋体"/>
          <w:szCs w:val="24"/>
        </w:rPr>
        <w:t>对投标人的纪律要求</w:t>
      </w:r>
    </w:p>
    <w:p w14:paraId="2CE0516F">
      <w:pPr>
        <w:spacing w:line="460" w:lineRule="exact"/>
        <w:ind w:firstLine="480" w:firstLineChars="200"/>
        <w:rPr>
          <w:rStyle w:val="95"/>
          <w:sz w:val="24"/>
        </w:rPr>
      </w:pPr>
      <w:r>
        <w:rPr>
          <w:rStyle w:val="95"/>
          <w:rFonts w:hint="eastAsia"/>
          <w:sz w:val="24"/>
        </w:rPr>
        <w:t>投标人不得相互串通投标或者与招标人串通投标，不得向招标人或者评标委员会成员行贿谋取中标，不得以他人名义投标或者以其他方式弄虚作假骗取中标；投标人不得以任何方式干扰、影响评标工作。</w:t>
      </w:r>
    </w:p>
    <w:p w14:paraId="61CBE48F">
      <w:pPr>
        <w:pStyle w:val="892"/>
        <w:spacing w:line="460" w:lineRule="exact"/>
        <w:rPr>
          <w:rStyle w:val="95"/>
          <w:rFonts w:eastAsia="宋体"/>
          <w:szCs w:val="24"/>
        </w:rPr>
      </w:pPr>
      <w:r>
        <w:rPr>
          <w:rStyle w:val="95"/>
          <w:rFonts w:eastAsia="宋体"/>
          <w:szCs w:val="24"/>
        </w:rPr>
        <w:t xml:space="preserve">9.3 </w:t>
      </w:r>
      <w:r>
        <w:rPr>
          <w:rStyle w:val="95"/>
          <w:rFonts w:hint="eastAsia" w:eastAsia="宋体"/>
          <w:szCs w:val="24"/>
        </w:rPr>
        <w:t>对评标委员会成员的纪律要求</w:t>
      </w:r>
    </w:p>
    <w:p w14:paraId="20B0BB40">
      <w:pPr>
        <w:spacing w:line="460" w:lineRule="exact"/>
        <w:ind w:firstLine="480" w:firstLineChars="200"/>
        <w:rPr>
          <w:rStyle w:val="95"/>
          <w:sz w:val="24"/>
        </w:rPr>
      </w:pPr>
      <w:r>
        <w:rPr>
          <w:rStyle w:val="95"/>
          <w:rFonts w:hint="eastAsia"/>
          <w:sz w:val="24"/>
        </w:rPr>
        <w:t>评标委员会成员不得收受他人的财物或者其他好处，不得向他人透漏对投标文件的评审和比较、中标候选人的推荐情况以及评标有关的其他情况。在评标活动中，评标委员会成员不得擅离职守，影响评标程序正常进行，不得使用第一卷第三章</w:t>
      </w:r>
      <w:r>
        <w:rPr>
          <w:rStyle w:val="95"/>
          <w:sz w:val="24"/>
        </w:rPr>
        <w:t>“</w:t>
      </w:r>
      <w:r>
        <w:rPr>
          <w:rStyle w:val="95"/>
          <w:rFonts w:hint="eastAsia"/>
          <w:sz w:val="24"/>
        </w:rPr>
        <w:t>评标办法和标准</w:t>
      </w:r>
      <w:r>
        <w:rPr>
          <w:rStyle w:val="95"/>
          <w:sz w:val="24"/>
        </w:rPr>
        <w:t>”</w:t>
      </w:r>
      <w:r>
        <w:rPr>
          <w:rStyle w:val="95"/>
          <w:rFonts w:hint="eastAsia"/>
          <w:sz w:val="24"/>
        </w:rPr>
        <w:t>没有规定的评审因素和标准进行评标。</w:t>
      </w:r>
    </w:p>
    <w:p w14:paraId="52008F15">
      <w:pPr>
        <w:pStyle w:val="892"/>
        <w:spacing w:line="460" w:lineRule="exact"/>
        <w:rPr>
          <w:rStyle w:val="95"/>
          <w:rFonts w:eastAsia="宋体"/>
          <w:szCs w:val="24"/>
        </w:rPr>
      </w:pPr>
      <w:r>
        <w:rPr>
          <w:rStyle w:val="95"/>
          <w:rFonts w:eastAsia="宋体"/>
          <w:szCs w:val="24"/>
        </w:rPr>
        <w:t xml:space="preserve">9.4 </w:t>
      </w:r>
      <w:r>
        <w:rPr>
          <w:rStyle w:val="95"/>
          <w:rFonts w:hint="eastAsia" w:eastAsia="宋体"/>
          <w:szCs w:val="24"/>
        </w:rPr>
        <w:t>对与评标活动有关的工作人员的纪律要求</w:t>
      </w:r>
    </w:p>
    <w:p w14:paraId="57CABA96">
      <w:pPr>
        <w:spacing w:line="460" w:lineRule="exact"/>
        <w:ind w:firstLine="480" w:firstLineChars="200"/>
        <w:rPr>
          <w:rStyle w:val="95"/>
          <w:sz w:val="24"/>
        </w:rPr>
      </w:pPr>
      <w:r>
        <w:rPr>
          <w:rStyle w:val="95"/>
          <w:rFonts w:hint="eastAsia"/>
          <w:sz w:val="24"/>
        </w:rPr>
        <w:t>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p>
    <w:p w14:paraId="106271C8">
      <w:pPr>
        <w:pStyle w:val="892"/>
        <w:spacing w:line="460" w:lineRule="exact"/>
        <w:rPr>
          <w:rStyle w:val="95"/>
          <w:rFonts w:eastAsia="宋体"/>
          <w:szCs w:val="24"/>
        </w:rPr>
      </w:pPr>
      <w:r>
        <w:rPr>
          <w:rStyle w:val="95"/>
          <w:rFonts w:eastAsia="宋体"/>
          <w:szCs w:val="24"/>
        </w:rPr>
        <w:t xml:space="preserve">9.5 </w:t>
      </w:r>
      <w:r>
        <w:rPr>
          <w:rStyle w:val="95"/>
          <w:rFonts w:hint="eastAsia" w:eastAsia="宋体"/>
          <w:szCs w:val="24"/>
        </w:rPr>
        <w:t>投诉</w:t>
      </w:r>
    </w:p>
    <w:p w14:paraId="3EC4EDAA">
      <w:pPr>
        <w:spacing w:line="460" w:lineRule="exact"/>
        <w:ind w:firstLine="480" w:firstLineChars="200"/>
        <w:rPr>
          <w:rStyle w:val="95"/>
          <w:sz w:val="24"/>
        </w:rPr>
      </w:pPr>
      <w:r>
        <w:rPr>
          <w:rStyle w:val="95"/>
          <w:rFonts w:hint="eastAsia"/>
          <w:sz w:val="24"/>
        </w:rPr>
        <w:t>投标人和其他利害关系人认为本次招标活动不符合法律、法规和规章规定的，可以自知道或者应当知道之日起</w:t>
      </w:r>
      <w:r>
        <w:rPr>
          <w:rStyle w:val="95"/>
          <w:sz w:val="24"/>
        </w:rPr>
        <w:t>10</w:t>
      </w:r>
      <w:r>
        <w:rPr>
          <w:rStyle w:val="95"/>
          <w:rFonts w:hint="eastAsia"/>
          <w:sz w:val="24"/>
        </w:rPr>
        <w:t>日内向有关行政监督部门投诉，投诉应当有明确的请求和必要的证明材料。</w:t>
      </w:r>
    </w:p>
    <w:p w14:paraId="3C78CE89">
      <w:pPr>
        <w:keepNext/>
        <w:keepLines/>
        <w:spacing w:line="460" w:lineRule="exact"/>
        <w:rPr>
          <w:rStyle w:val="95"/>
          <w:sz w:val="24"/>
        </w:rPr>
      </w:pPr>
      <w:r>
        <w:rPr>
          <w:rStyle w:val="95"/>
          <w:sz w:val="24"/>
        </w:rPr>
        <w:t xml:space="preserve">10. </w:t>
      </w:r>
      <w:r>
        <w:rPr>
          <w:rStyle w:val="95"/>
          <w:rFonts w:hint="eastAsia"/>
          <w:sz w:val="24"/>
        </w:rPr>
        <w:t>其他事项</w:t>
      </w:r>
    </w:p>
    <w:p w14:paraId="50AABB50">
      <w:pPr>
        <w:keepNext/>
        <w:keepLines/>
        <w:spacing w:line="460" w:lineRule="exact"/>
        <w:rPr>
          <w:rStyle w:val="95"/>
          <w:sz w:val="24"/>
        </w:rPr>
      </w:pPr>
      <w:r>
        <w:rPr>
          <w:rStyle w:val="95"/>
          <w:sz w:val="24"/>
        </w:rPr>
        <w:t xml:space="preserve">10.1 </w:t>
      </w:r>
      <w:r>
        <w:rPr>
          <w:rStyle w:val="95"/>
          <w:rFonts w:hint="eastAsia"/>
          <w:sz w:val="24"/>
        </w:rPr>
        <w:t>中标人在本项目完成过程中产生的新的专项技术、专项成果等的专利申请权归招标人所有。</w:t>
      </w:r>
    </w:p>
    <w:p w14:paraId="64E1D82C">
      <w:pPr>
        <w:spacing w:line="460" w:lineRule="exact"/>
        <w:rPr>
          <w:rStyle w:val="95"/>
          <w:color w:val="000000"/>
          <w:sz w:val="24"/>
        </w:rPr>
      </w:pPr>
      <w:r>
        <w:rPr>
          <w:rStyle w:val="95"/>
          <w:color w:val="000000"/>
          <w:sz w:val="24"/>
        </w:rPr>
        <w:t xml:space="preserve">10.2 </w:t>
      </w:r>
      <w:r>
        <w:rPr>
          <w:rStyle w:val="95"/>
          <w:rFonts w:hint="eastAsia"/>
          <w:color w:val="000000"/>
          <w:sz w:val="24"/>
        </w:rPr>
        <w:t>工程总承包管理方案：见投标人须知前附表。</w:t>
      </w:r>
    </w:p>
    <w:p w14:paraId="35475637">
      <w:pPr>
        <w:pStyle w:val="85"/>
        <w:spacing w:line="460" w:lineRule="exact"/>
        <w:rPr>
          <w:rStyle w:val="95"/>
          <w:rFonts w:ascii="Times New Roman" w:hAnsi="Times New Roman"/>
        </w:rPr>
      </w:pPr>
      <w:r>
        <w:rPr>
          <w:rStyle w:val="95"/>
          <w:rFonts w:ascii="Times New Roman" w:hAnsi="Times New Roman"/>
        </w:rPr>
        <w:t xml:space="preserve">10.3 </w:t>
      </w:r>
      <w:r>
        <w:rPr>
          <w:rStyle w:val="95"/>
          <w:rFonts w:hint="eastAsia" w:ascii="Times New Roman" w:hAnsi="Times New Roman"/>
        </w:rPr>
        <w:t>招标代理服务费：见投标人须知前附表。</w:t>
      </w:r>
    </w:p>
    <w:p w14:paraId="0A7D7C65">
      <w:pPr>
        <w:keepNext/>
        <w:keepLines/>
        <w:spacing w:line="460" w:lineRule="exact"/>
        <w:rPr>
          <w:rStyle w:val="95"/>
          <w:sz w:val="24"/>
        </w:rPr>
      </w:pPr>
      <w:r>
        <w:rPr>
          <w:rStyle w:val="95"/>
          <w:sz w:val="24"/>
        </w:rPr>
        <w:t xml:space="preserve">11. </w:t>
      </w:r>
      <w:r>
        <w:rPr>
          <w:rStyle w:val="95"/>
          <w:rFonts w:hint="eastAsia"/>
          <w:sz w:val="24"/>
        </w:rPr>
        <w:t>需要补充的其它内容</w:t>
      </w:r>
    </w:p>
    <w:p w14:paraId="43F08F91">
      <w:pPr>
        <w:keepNext/>
        <w:keepLines/>
        <w:spacing w:line="460" w:lineRule="exact"/>
        <w:ind w:firstLine="480" w:firstLineChars="200"/>
        <w:rPr>
          <w:rFonts w:hint="eastAsia" w:ascii="黑体" w:hAnsi="Arial" w:eastAsia="黑体" w:cs="Times New Roman"/>
          <w:b/>
          <w:bCs/>
          <w:kern w:val="2"/>
          <w:sz w:val="28"/>
          <w:szCs w:val="28"/>
          <w:lang w:val="en-US" w:eastAsia="zh-CN" w:bidi="ar-SA"/>
        </w:rPr>
      </w:pPr>
      <w:r>
        <w:rPr>
          <w:rStyle w:val="95"/>
          <w:rFonts w:hint="eastAsia"/>
          <w:sz w:val="24"/>
        </w:rPr>
        <w:t>需要补充的其它内容：见投标人须知前附表。</w:t>
      </w:r>
    </w:p>
    <w:p w14:paraId="08AE7AD4">
      <w:pPr>
        <w:spacing w:line="360" w:lineRule="auto"/>
        <w:rPr>
          <w:rFonts w:hint="eastAsia" w:ascii="黑体" w:hAnsi="Arial" w:eastAsia="黑体" w:cs="Times New Roman"/>
          <w:b/>
          <w:bCs/>
          <w:kern w:val="2"/>
          <w:sz w:val="28"/>
          <w:szCs w:val="28"/>
          <w:lang w:val="en-US" w:eastAsia="zh-CN" w:bidi="ar-SA"/>
        </w:rPr>
      </w:pPr>
    </w:p>
    <w:p w14:paraId="56511474">
      <w:pPr>
        <w:spacing w:line="360" w:lineRule="auto"/>
        <w:rPr>
          <w:rFonts w:hint="eastAsia" w:ascii="黑体" w:hAnsi="Arial" w:eastAsia="黑体" w:cs="Times New Roman"/>
          <w:b/>
          <w:bCs/>
          <w:kern w:val="2"/>
          <w:sz w:val="28"/>
          <w:szCs w:val="28"/>
          <w:lang w:val="en-US" w:eastAsia="zh-CN" w:bidi="ar-SA"/>
        </w:rPr>
      </w:pPr>
    </w:p>
    <w:p w14:paraId="2A09D9CD">
      <w:pPr>
        <w:spacing w:line="360" w:lineRule="auto"/>
        <w:rPr>
          <w:rFonts w:hint="eastAsia" w:ascii="黑体" w:hAnsi="Arial" w:eastAsia="黑体" w:cs="Times New Roman"/>
          <w:b/>
          <w:bCs/>
          <w:kern w:val="2"/>
          <w:sz w:val="28"/>
          <w:szCs w:val="28"/>
          <w:lang w:val="en-US" w:eastAsia="zh-CN" w:bidi="ar-SA"/>
        </w:rPr>
      </w:pPr>
    </w:p>
    <w:p w14:paraId="5E70A7B9">
      <w:pPr>
        <w:spacing w:line="360" w:lineRule="auto"/>
        <w:rPr>
          <w:rFonts w:hint="eastAsia" w:ascii="黑体" w:hAnsi="Arial" w:eastAsia="黑体" w:cs="Times New Roman"/>
          <w:b/>
          <w:bCs/>
          <w:kern w:val="2"/>
          <w:sz w:val="28"/>
          <w:szCs w:val="28"/>
          <w:lang w:val="en-US" w:eastAsia="zh-CN" w:bidi="ar-SA"/>
        </w:rPr>
      </w:pPr>
    </w:p>
    <w:p w14:paraId="12BC59C0">
      <w:pPr>
        <w:spacing w:line="360" w:lineRule="auto"/>
        <w:rPr>
          <w:rFonts w:hint="eastAsia" w:ascii="黑体" w:hAnsi="Arial" w:eastAsia="黑体" w:cs="Times New Roman"/>
          <w:b/>
          <w:bCs/>
          <w:kern w:val="2"/>
          <w:sz w:val="28"/>
          <w:szCs w:val="28"/>
          <w:lang w:val="en-US" w:eastAsia="zh-CN" w:bidi="ar-SA"/>
        </w:rPr>
      </w:pPr>
    </w:p>
    <w:p w14:paraId="1CD4309E">
      <w:pPr>
        <w:spacing w:line="360" w:lineRule="auto"/>
        <w:rPr>
          <w:rFonts w:hint="eastAsia" w:ascii="黑体" w:hAnsi="Arial" w:eastAsia="黑体" w:cs="Times New Roman"/>
          <w:b/>
          <w:bCs/>
          <w:kern w:val="2"/>
          <w:sz w:val="28"/>
          <w:szCs w:val="28"/>
          <w:lang w:val="en-US" w:eastAsia="zh-CN" w:bidi="ar-SA"/>
        </w:rPr>
      </w:pPr>
    </w:p>
    <w:p w14:paraId="5F906791">
      <w:pPr>
        <w:spacing w:line="360" w:lineRule="auto"/>
        <w:rPr>
          <w:rFonts w:hint="eastAsia" w:ascii="黑体" w:hAnsi="Arial" w:eastAsia="黑体" w:cs="Times New Roman"/>
          <w:b/>
          <w:bCs/>
          <w:kern w:val="2"/>
          <w:sz w:val="28"/>
          <w:szCs w:val="28"/>
          <w:lang w:val="en-US" w:eastAsia="zh-CN" w:bidi="ar-SA"/>
        </w:rPr>
      </w:pPr>
    </w:p>
    <w:p w14:paraId="498870C4">
      <w:pPr>
        <w:spacing w:line="360" w:lineRule="auto"/>
        <w:rPr>
          <w:rFonts w:hint="eastAsia" w:ascii="黑体" w:hAnsi="Arial" w:eastAsia="黑体" w:cs="Times New Roman"/>
          <w:b/>
          <w:bCs/>
          <w:kern w:val="2"/>
          <w:sz w:val="28"/>
          <w:szCs w:val="28"/>
          <w:lang w:val="en-US" w:eastAsia="zh-CN" w:bidi="ar-SA"/>
        </w:rPr>
      </w:pPr>
    </w:p>
    <w:p w14:paraId="7A8E5ADE">
      <w:pPr>
        <w:spacing w:line="360" w:lineRule="auto"/>
        <w:rPr>
          <w:rFonts w:hint="eastAsia" w:ascii="黑体" w:hAnsi="Arial" w:eastAsia="黑体" w:cs="Times New Roman"/>
          <w:b/>
          <w:bCs/>
          <w:kern w:val="2"/>
          <w:sz w:val="28"/>
          <w:szCs w:val="28"/>
          <w:lang w:val="en-US" w:eastAsia="zh-CN" w:bidi="ar-SA"/>
        </w:rPr>
      </w:pPr>
    </w:p>
    <w:p w14:paraId="4023B7DE">
      <w:pPr>
        <w:spacing w:line="360" w:lineRule="auto"/>
        <w:rPr>
          <w:rFonts w:hint="eastAsia" w:ascii="黑体" w:hAnsi="Arial" w:eastAsia="黑体" w:cs="Times New Roman"/>
          <w:b/>
          <w:bCs/>
          <w:kern w:val="2"/>
          <w:sz w:val="28"/>
          <w:szCs w:val="28"/>
          <w:lang w:val="en-US" w:eastAsia="zh-CN" w:bidi="ar-SA"/>
        </w:rPr>
      </w:pPr>
    </w:p>
    <w:p w14:paraId="302CB952">
      <w:pPr>
        <w:spacing w:line="360" w:lineRule="auto"/>
        <w:rPr>
          <w:rFonts w:hint="eastAsia" w:ascii="黑体" w:hAnsi="Arial" w:eastAsia="黑体" w:cs="Times New Roman"/>
          <w:b/>
          <w:bCs/>
          <w:kern w:val="2"/>
          <w:sz w:val="28"/>
          <w:szCs w:val="28"/>
          <w:lang w:val="en-US" w:eastAsia="zh-CN" w:bidi="ar-SA"/>
        </w:rPr>
      </w:pPr>
    </w:p>
    <w:p w14:paraId="47B5E437">
      <w:pPr>
        <w:spacing w:line="360" w:lineRule="auto"/>
        <w:rPr>
          <w:rFonts w:hint="eastAsia" w:ascii="黑体" w:hAnsi="Arial" w:eastAsia="黑体" w:cs="Times New Roman"/>
          <w:b/>
          <w:bCs/>
          <w:kern w:val="2"/>
          <w:sz w:val="28"/>
          <w:szCs w:val="28"/>
          <w:lang w:val="en-US" w:eastAsia="zh-CN" w:bidi="ar-SA"/>
        </w:rPr>
      </w:pPr>
    </w:p>
    <w:p w14:paraId="6D9BAD09">
      <w:pPr>
        <w:spacing w:line="360" w:lineRule="auto"/>
        <w:rPr>
          <w:rFonts w:hint="eastAsia" w:ascii="黑体" w:hAnsi="Arial" w:eastAsia="黑体" w:cs="Times New Roman"/>
          <w:b/>
          <w:bCs/>
          <w:kern w:val="2"/>
          <w:sz w:val="28"/>
          <w:szCs w:val="28"/>
          <w:lang w:val="en-US" w:eastAsia="zh-CN" w:bidi="ar-SA"/>
        </w:rPr>
      </w:pPr>
    </w:p>
    <w:p w14:paraId="7B38914C">
      <w:pPr>
        <w:spacing w:line="360" w:lineRule="auto"/>
        <w:rPr>
          <w:rFonts w:hint="eastAsia" w:ascii="黑体" w:hAnsi="Arial" w:eastAsia="黑体" w:cs="Times New Roman"/>
          <w:b/>
          <w:bCs/>
          <w:kern w:val="2"/>
          <w:sz w:val="28"/>
          <w:szCs w:val="28"/>
          <w:lang w:val="en-US" w:eastAsia="zh-CN" w:bidi="ar-SA"/>
        </w:rPr>
      </w:pPr>
      <w:r>
        <w:rPr>
          <w:rFonts w:hint="eastAsia" w:ascii="黑体" w:hAnsi="Arial" w:eastAsia="黑体" w:cs="Times New Roman"/>
          <w:b/>
          <w:bCs/>
          <w:kern w:val="2"/>
          <w:sz w:val="28"/>
          <w:szCs w:val="28"/>
          <w:lang w:val="en-US" w:eastAsia="zh-CN" w:bidi="ar-SA"/>
        </w:rPr>
        <w:t>三、开、评、定标程序</w:t>
      </w:r>
    </w:p>
    <w:p w14:paraId="5D4E363B">
      <w:pPr>
        <w:spacing w:line="336" w:lineRule="auto"/>
        <w:ind w:firstLine="420" w:firstLineChars="200"/>
        <w:rPr>
          <w:rFonts w:hint="eastAsia" w:ascii="宋体" w:hAnsi="宋体" w:eastAsia="宋体" w:cs="宋体"/>
          <w:szCs w:val="21"/>
          <w:lang w:eastAsia="zh-CN"/>
        </w:rPr>
      </w:pPr>
      <w:r>
        <w:rPr>
          <w:rFonts w:hint="eastAsia" w:ascii="宋体" w:hAnsi="宋体" w:eastAsia="宋体" w:cs="宋体"/>
          <w:szCs w:val="21"/>
          <w:lang w:eastAsia="zh-CN"/>
        </w:rPr>
        <w:t>（一）开标</w:t>
      </w:r>
    </w:p>
    <w:p w14:paraId="752B7BD8">
      <w:pPr>
        <w:spacing w:line="336" w:lineRule="auto"/>
        <w:ind w:firstLine="420" w:firstLineChars="200"/>
        <w:rPr>
          <w:rFonts w:hint="eastAsia" w:ascii="宋体" w:hAnsi="宋体" w:eastAsia="宋体" w:cs="宋体"/>
          <w:szCs w:val="21"/>
          <w:lang w:val="en-US" w:eastAsia="zh-CN"/>
        </w:rPr>
      </w:pPr>
      <w:r>
        <w:rPr>
          <w:rFonts w:hint="eastAsia" w:ascii="宋体" w:hAnsi="宋体" w:eastAsia="宋体" w:cs="宋体"/>
          <w:szCs w:val="21"/>
          <w:lang w:val="en-US" w:eastAsia="zh-CN"/>
        </w:rPr>
        <w:t>1、开标由招标代理机构主持，线上开标；</w:t>
      </w:r>
    </w:p>
    <w:p w14:paraId="12D2F77D">
      <w:pPr>
        <w:spacing w:line="336" w:lineRule="auto"/>
        <w:ind w:firstLine="420" w:firstLineChars="200"/>
        <w:rPr>
          <w:rFonts w:hint="default" w:ascii="宋体" w:hAnsi="宋体" w:eastAsia="宋体" w:cs="宋体"/>
          <w:szCs w:val="21"/>
          <w:lang w:val="en-US" w:eastAsia="zh-CN"/>
        </w:rPr>
      </w:pPr>
      <w:r>
        <w:rPr>
          <w:rFonts w:hint="eastAsia" w:ascii="宋体" w:hAnsi="宋体" w:eastAsia="宋体" w:cs="宋体"/>
          <w:szCs w:val="21"/>
          <w:lang w:val="en-US" w:eastAsia="zh-CN"/>
        </w:rPr>
        <w:t>2、解密投标文件；</w:t>
      </w:r>
    </w:p>
    <w:p w14:paraId="5C65A08A">
      <w:pPr>
        <w:spacing w:line="336" w:lineRule="auto"/>
        <w:ind w:firstLine="420" w:firstLineChars="200"/>
        <w:rPr>
          <w:rFonts w:hint="default" w:ascii="宋体" w:hAnsi="宋体" w:eastAsia="宋体" w:cs="宋体"/>
          <w:szCs w:val="21"/>
          <w:lang w:val="en-US" w:eastAsia="zh-CN"/>
        </w:rPr>
      </w:pPr>
      <w:r>
        <w:rPr>
          <w:rFonts w:hint="eastAsia" w:ascii="宋体" w:hAnsi="宋体" w:cs="宋体"/>
          <w:szCs w:val="21"/>
          <w:lang w:val="en-US" w:eastAsia="zh-CN"/>
        </w:rPr>
        <w:t>3</w:t>
      </w:r>
      <w:r>
        <w:rPr>
          <w:rFonts w:hint="eastAsia" w:ascii="宋体" w:hAnsi="宋体" w:eastAsia="宋体" w:cs="宋体"/>
          <w:szCs w:val="21"/>
          <w:lang w:val="en-US" w:eastAsia="zh-CN"/>
        </w:rPr>
        <w:t>、开标记录投标人无异议确认；</w:t>
      </w:r>
    </w:p>
    <w:p w14:paraId="698FBE4F">
      <w:pPr>
        <w:spacing w:line="336" w:lineRule="auto"/>
        <w:ind w:firstLine="420" w:firstLineChars="200"/>
        <w:rPr>
          <w:rFonts w:hint="default" w:ascii="宋体" w:hAnsi="宋体" w:eastAsia="宋体" w:cs="宋体"/>
          <w:szCs w:val="21"/>
          <w:lang w:val="en-US" w:eastAsia="zh-CN"/>
        </w:rPr>
      </w:pPr>
      <w:r>
        <w:rPr>
          <w:rFonts w:hint="eastAsia" w:ascii="宋体" w:hAnsi="宋体" w:cs="宋体"/>
          <w:szCs w:val="21"/>
          <w:lang w:val="en-US" w:eastAsia="zh-CN"/>
        </w:rPr>
        <w:t>4</w:t>
      </w:r>
      <w:r>
        <w:rPr>
          <w:rFonts w:hint="eastAsia" w:ascii="宋体" w:hAnsi="宋体" w:eastAsia="宋体" w:cs="宋体"/>
          <w:szCs w:val="21"/>
          <w:lang w:val="en-US" w:eastAsia="zh-CN"/>
        </w:rPr>
        <w:t>、开标结束，进入评标阶段。</w:t>
      </w:r>
    </w:p>
    <w:p w14:paraId="4E1CCF3C">
      <w:pPr>
        <w:spacing w:line="336" w:lineRule="auto"/>
        <w:ind w:firstLine="420" w:firstLineChars="200"/>
        <w:rPr>
          <w:rFonts w:hint="eastAsia" w:ascii="宋体" w:hAnsi="宋体" w:eastAsia="宋体" w:cs="宋体"/>
          <w:szCs w:val="21"/>
          <w:lang w:eastAsia="zh-CN"/>
        </w:rPr>
      </w:pPr>
      <w:r>
        <w:rPr>
          <w:rFonts w:hint="eastAsia" w:ascii="宋体" w:hAnsi="宋体" w:eastAsia="宋体" w:cs="宋体"/>
          <w:szCs w:val="21"/>
          <w:lang w:eastAsia="zh-CN"/>
        </w:rPr>
        <w:t>（二）评标</w:t>
      </w:r>
    </w:p>
    <w:p w14:paraId="15CBAC6E">
      <w:pPr>
        <w:spacing w:line="336" w:lineRule="auto"/>
        <w:ind w:firstLine="420" w:firstLineChars="200"/>
        <w:rPr>
          <w:rFonts w:hint="eastAsia" w:ascii="宋体" w:hAnsi="宋体" w:eastAsia="宋体" w:cs="宋体"/>
          <w:szCs w:val="21"/>
          <w:lang w:val="en-US" w:eastAsia="zh-CN"/>
        </w:rPr>
      </w:pPr>
      <w:r>
        <w:rPr>
          <w:rFonts w:hint="eastAsia" w:ascii="宋体" w:hAnsi="宋体" w:eastAsia="宋体" w:cs="宋体"/>
          <w:szCs w:val="21"/>
          <w:lang w:val="en-US" w:eastAsia="zh-CN"/>
        </w:rPr>
        <w:t>1、评标准备；</w:t>
      </w:r>
    </w:p>
    <w:p w14:paraId="0146C407">
      <w:pPr>
        <w:spacing w:line="336" w:lineRule="auto"/>
        <w:ind w:firstLine="420" w:firstLineChars="200"/>
        <w:rPr>
          <w:rFonts w:hint="default" w:ascii="宋体" w:hAnsi="宋体" w:eastAsia="宋体" w:cs="宋体"/>
          <w:szCs w:val="21"/>
          <w:lang w:val="en-US" w:eastAsia="zh-CN"/>
        </w:rPr>
      </w:pPr>
      <w:r>
        <w:rPr>
          <w:rFonts w:hint="eastAsia" w:ascii="宋体" w:hAnsi="宋体" w:eastAsia="宋体" w:cs="宋体"/>
          <w:szCs w:val="21"/>
          <w:lang w:val="en-US" w:eastAsia="zh-CN"/>
        </w:rPr>
        <w:t>2、初步评审；</w:t>
      </w:r>
    </w:p>
    <w:p w14:paraId="173AAF4D">
      <w:pPr>
        <w:spacing w:line="336" w:lineRule="auto"/>
        <w:ind w:firstLine="420" w:firstLineChars="200"/>
        <w:rPr>
          <w:rFonts w:hint="default" w:ascii="宋体" w:hAnsi="宋体" w:eastAsia="宋体" w:cs="宋体"/>
          <w:szCs w:val="21"/>
          <w:lang w:val="en-US" w:eastAsia="zh-CN"/>
        </w:rPr>
      </w:pPr>
      <w:r>
        <w:rPr>
          <w:rFonts w:hint="eastAsia" w:ascii="宋体" w:hAnsi="宋体" w:eastAsia="宋体" w:cs="宋体"/>
          <w:szCs w:val="21"/>
          <w:lang w:val="en-US" w:eastAsia="zh-CN"/>
        </w:rPr>
        <w:t>（1）形式评审；</w:t>
      </w:r>
    </w:p>
    <w:p w14:paraId="3F54C5B2">
      <w:pPr>
        <w:spacing w:line="336" w:lineRule="auto"/>
        <w:ind w:firstLine="420" w:firstLineChars="200"/>
        <w:rPr>
          <w:rFonts w:hint="default" w:ascii="宋体" w:hAnsi="宋体" w:eastAsia="宋体" w:cs="宋体"/>
          <w:szCs w:val="21"/>
          <w:lang w:val="en-US" w:eastAsia="zh-CN"/>
        </w:rPr>
      </w:pPr>
      <w:r>
        <w:rPr>
          <w:rFonts w:hint="eastAsia" w:ascii="宋体" w:hAnsi="宋体" w:eastAsia="宋体" w:cs="宋体"/>
          <w:szCs w:val="21"/>
          <w:lang w:val="en-US" w:eastAsia="zh-CN"/>
        </w:rPr>
        <w:t>（2）资格评审；</w:t>
      </w:r>
    </w:p>
    <w:p w14:paraId="09BBDDD9">
      <w:pPr>
        <w:spacing w:line="336" w:lineRule="auto"/>
        <w:ind w:firstLine="420" w:firstLineChars="200"/>
        <w:rPr>
          <w:rFonts w:hint="default" w:ascii="宋体" w:hAnsi="宋体" w:eastAsia="宋体" w:cs="宋体"/>
          <w:szCs w:val="21"/>
          <w:lang w:val="en-US" w:eastAsia="zh-CN"/>
        </w:rPr>
      </w:pPr>
      <w:r>
        <w:rPr>
          <w:rFonts w:hint="eastAsia" w:ascii="宋体" w:hAnsi="宋体" w:eastAsia="宋体" w:cs="宋体"/>
          <w:szCs w:val="21"/>
          <w:lang w:val="en-US" w:eastAsia="zh-CN"/>
        </w:rPr>
        <w:t>（3）响应性评审；</w:t>
      </w:r>
    </w:p>
    <w:p w14:paraId="6C25C84A">
      <w:pPr>
        <w:spacing w:line="336" w:lineRule="auto"/>
        <w:ind w:firstLine="420" w:firstLineChars="200"/>
        <w:rPr>
          <w:rFonts w:hint="default" w:ascii="宋体" w:hAnsi="宋体" w:eastAsia="宋体" w:cs="宋体"/>
          <w:szCs w:val="21"/>
          <w:lang w:val="en-US" w:eastAsia="zh-CN"/>
        </w:rPr>
      </w:pPr>
      <w:r>
        <w:rPr>
          <w:rFonts w:hint="eastAsia" w:ascii="宋体" w:hAnsi="宋体" w:eastAsia="宋体" w:cs="宋体"/>
          <w:szCs w:val="21"/>
          <w:lang w:val="en-US" w:eastAsia="zh-CN"/>
        </w:rPr>
        <w:t>（4）清标评审；</w:t>
      </w:r>
    </w:p>
    <w:p w14:paraId="5DEF8E24">
      <w:pPr>
        <w:spacing w:line="336" w:lineRule="auto"/>
        <w:ind w:firstLine="420" w:firstLineChars="200"/>
        <w:rPr>
          <w:rFonts w:hint="default" w:ascii="宋体" w:hAnsi="宋体" w:eastAsia="宋体" w:cs="宋体"/>
          <w:szCs w:val="21"/>
          <w:lang w:val="en-US" w:eastAsia="zh-CN"/>
        </w:rPr>
      </w:pPr>
      <w:r>
        <w:rPr>
          <w:rFonts w:hint="eastAsia" w:ascii="宋体" w:hAnsi="宋体" w:eastAsia="宋体" w:cs="宋体"/>
          <w:szCs w:val="21"/>
          <w:lang w:val="en-US" w:eastAsia="zh-CN"/>
        </w:rPr>
        <w:t>3、详细评审；</w:t>
      </w:r>
    </w:p>
    <w:p w14:paraId="5BD9C86B">
      <w:pPr>
        <w:spacing w:line="336" w:lineRule="auto"/>
        <w:ind w:firstLine="420" w:firstLineChars="200"/>
        <w:rPr>
          <w:rFonts w:hint="default" w:ascii="宋体" w:hAnsi="宋体" w:eastAsia="宋体" w:cs="宋体"/>
          <w:b w:val="0"/>
          <w:bCs w:val="0"/>
          <w:color w:val="FF0000"/>
          <w:szCs w:val="21"/>
          <w:lang w:val="en-US" w:eastAsia="zh-CN"/>
        </w:rPr>
      </w:pPr>
      <w:r>
        <w:rPr>
          <w:rFonts w:hint="eastAsia" w:ascii="宋体" w:hAnsi="宋体" w:eastAsia="宋体" w:cs="宋体"/>
          <w:b w:val="0"/>
          <w:bCs w:val="0"/>
          <w:color w:val="FF0000"/>
          <w:szCs w:val="21"/>
          <w:lang w:val="en-US" w:eastAsia="zh-CN"/>
        </w:rPr>
        <w:t>4、澄清说明或补正。；</w:t>
      </w:r>
    </w:p>
    <w:p w14:paraId="34C117FC">
      <w:pPr>
        <w:spacing w:line="336" w:lineRule="auto"/>
        <w:ind w:firstLine="420" w:firstLineChars="200"/>
        <w:rPr>
          <w:rFonts w:hint="eastAsia" w:ascii="宋体" w:hAnsi="宋体" w:eastAsia="宋体" w:cs="宋体"/>
          <w:b w:val="0"/>
          <w:bCs w:val="0"/>
          <w:color w:val="FF0000"/>
          <w:szCs w:val="21"/>
          <w:lang w:val="en-US" w:eastAsia="zh-CN"/>
        </w:rPr>
      </w:pPr>
      <w:r>
        <w:rPr>
          <w:rFonts w:hint="eastAsia" w:ascii="宋体" w:hAnsi="宋体" w:eastAsia="宋体" w:cs="宋体"/>
          <w:b w:val="0"/>
          <w:bCs w:val="0"/>
          <w:color w:val="FF0000"/>
          <w:szCs w:val="21"/>
          <w:lang w:val="en-US" w:eastAsia="zh-CN"/>
        </w:rPr>
        <w:t>5、形成评审意见和结论。</w:t>
      </w:r>
    </w:p>
    <w:p w14:paraId="40087AB5">
      <w:pPr>
        <w:spacing w:line="336" w:lineRule="auto"/>
        <w:ind w:firstLine="420" w:firstLineChars="200"/>
        <w:rPr>
          <w:rFonts w:hint="default" w:ascii="宋体" w:hAnsi="宋体" w:eastAsia="宋体" w:cs="宋体"/>
          <w:szCs w:val="21"/>
          <w:lang w:val="en-US" w:eastAsia="zh-CN"/>
        </w:rPr>
      </w:pPr>
      <w:r>
        <w:rPr>
          <w:rFonts w:hint="eastAsia" w:ascii="宋体" w:hAnsi="宋体" w:eastAsia="宋体" w:cs="宋体"/>
          <w:b w:val="0"/>
          <w:bCs w:val="0"/>
          <w:color w:val="FF0000"/>
          <w:szCs w:val="21"/>
          <w:lang w:val="en-US" w:eastAsia="zh-CN"/>
        </w:rPr>
        <w:t>6、向招标人提交评标报告并推荐中标候选人</w:t>
      </w:r>
    </w:p>
    <w:p w14:paraId="6172C88A">
      <w:pPr>
        <w:spacing w:line="336" w:lineRule="auto"/>
        <w:ind w:firstLine="420" w:firstLineChars="200"/>
        <w:rPr>
          <w:rFonts w:hint="eastAsia" w:ascii="宋体" w:hAnsi="宋体" w:eastAsia="宋体" w:cs="宋体"/>
          <w:szCs w:val="21"/>
          <w:lang w:eastAsia="zh-CN"/>
        </w:rPr>
      </w:pPr>
      <w:r>
        <w:rPr>
          <w:rFonts w:hint="eastAsia" w:ascii="宋体" w:hAnsi="宋体" w:eastAsia="宋体" w:cs="宋体"/>
          <w:szCs w:val="21"/>
          <w:lang w:eastAsia="zh-CN"/>
        </w:rPr>
        <w:t>（三）定标</w:t>
      </w:r>
    </w:p>
    <w:p w14:paraId="3ACC1DBD">
      <w:pPr>
        <w:spacing w:line="336" w:lineRule="auto"/>
        <w:ind w:firstLine="420" w:firstLineChars="200"/>
        <w:rPr>
          <w:rFonts w:hint="default" w:ascii="宋体" w:hAnsi="宋体" w:eastAsia="宋体" w:cs="宋体"/>
          <w:szCs w:val="21"/>
          <w:lang w:val="en-US" w:eastAsia="zh-CN"/>
        </w:rPr>
      </w:pPr>
      <w:r>
        <w:rPr>
          <w:rFonts w:hint="eastAsia" w:ascii="宋体" w:hAnsi="宋体" w:eastAsia="宋体" w:cs="宋体"/>
          <w:szCs w:val="21"/>
          <w:lang w:val="en-US" w:eastAsia="zh-CN"/>
        </w:rPr>
        <w:t>1.</w:t>
      </w:r>
      <w:r>
        <w:rPr>
          <w:rFonts w:hint="eastAsia" w:ascii="宋体" w:hAnsi="宋体" w:eastAsia="宋体" w:cs="宋体"/>
          <w:szCs w:val="21"/>
        </w:rPr>
        <w:t>中标候选人公示</w:t>
      </w:r>
      <w:r>
        <w:rPr>
          <w:rFonts w:hint="eastAsia" w:ascii="宋体" w:hAnsi="宋体" w:eastAsia="宋体" w:cs="宋体"/>
          <w:szCs w:val="21"/>
          <w:lang w:val="en-US" w:eastAsia="zh-CN"/>
        </w:rPr>
        <w:t>；</w:t>
      </w:r>
    </w:p>
    <w:p w14:paraId="2A60273B">
      <w:pPr>
        <w:spacing w:line="336" w:lineRule="auto"/>
        <w:ind w:firstLine="420" w:firstLineChars="200"/>
        <w:rPr>
          <w:rFonts w:hint="eastAsia" w:ascii="宋体" w:hAnsi="宋体" w:eastAsia="宋体" w:cs="宋体"/>
          <w:szCs w:val="21"/>
        </w:rPr>
      </w:pPr>
      <w:r>
        <w:rPr>
          <w:rFonts w:hint="eastAsia" w:ascii="宋体" w:hAnsi="宋体" w:eastAsia="宋体" w:cs="宋体"/>
          <w:szCs w:val="21"/>
          <w:lang w:val="en-US" w:eastAsia="zh-CN"/>
        </w:rPr>
        <w:t>2.确定中标人</w:t>
      </w:r>
      <w:r>
        <w:rPr>
          <w:rFonts w:hint="eastAsia" w:ascii="宋体" w:hAnsi="宋体" w:eastAsia="宋体" w:cs="宋体"/>
          <w:szCs w:val="21"/>
        </w:rPr>
        <w:t>。</w:t>
      </w:r>
    </w:p>
    <w:p w14:paraId="32ABAB19">
      <w:pPr>
        <w:pStyle w:val="42"/>
        <w:numPr>
          <w:ilvl w:val="0"/>
          <w:numId w:val="0"/>
        </w:numPr>
        <w:spacing w:line="700" w:lineRule="exact"/>
        <w:jc w:val="both"/>
        <w:rPr>
          <w:rStyle w:val="95"/>
          <w:rFonts w:ascii="Times New Roman" w:hAnsi="Times New Roman" w:cs="Times New Roman"/>
          <w:b w:val="0"/>
          <w:bCs w:val="0"/>
          <w:sz w:val="36"/>
          <w:szCs w:val="36"/>
        </w:rPr>
      </w:pPr>
      <w:r>
        <w:rPr>
          <w:rStyle w:val="95"/>
          <w:rFonts w:ascii="Times New Roman" w:hAnsi="Times New Roman" w:cs="Times New Roman"/>
        </w:rPr>
        <w:br w:type="page"/>
      </w:r>
      <w:r>
        <w:rPr>
          <w:rStyle w:val="95"/>
          <w:rFonts w:hint="eastAsia" w:ascii="Times New Roman" w:hAnsi="Times New Roman" w:cs="Times New Roman"/>
          <w:sz w:val="44"/>
          <w:szCs w:val="44"/>
        </w:rPr>
        <w:t>第三章</w:t>
      </w:r>
      <w:r>
        <w:rPr>
          <w:rStyle w:val="95"/>
          <w:rFonts w:ascii="Times New Roman" w:hAnsi="Times New Roman" w:cs="Times New Roman"/>
          <w:sz w:val="44"/>
          <w:szCs w:val="44"/>
        </w:rPr>
        <w:t xml:space="preserve">  </w:t>
      </w:r>
      <w:r>
        <w:rPr>
          <w:rStyle w:val="95"/>
          <w:rFonts w:hint="eastAsia" w:ascii="Times New Roman" w:hAnsi="Times New Roman" w:cs="Times New Roman"/>
          <w:sz w:val="44"/>
          <w:szCs w:val="44"/>
        </w:rPr>
        <w:t>评标办法和标准（综合评估法）</w:t>
      </w:r>
    </w:p>
    <w:p w14:paraId="73EFFC55">
      <w:pPr>
        <w:pStyle w:val="87"/>
        <w:spacing w:before="0" w:after="120" w:line="600" w:lineRule="exact"/>
        <w:jc w:val="center"/>
        <w:rPr>
          <w:rStyle w:val="95"/>
          <w:rFonts w:ascii="Times New Roman" w:hAnsi="Times New Roman" w:eastAsia="宋体"/>
          <w:sz w:val="28"/>
          <w:szCs w:val="28"/>
        </w:rPr>
      </w:pPr>
      <w:r>
        <w:rPr>
          <w:rStyle w:val="95"/>
          <w:rFonts w:hint="eastAsia" w:ascii="Times New Roman" w:hAnsi="Times New Roman" w:eastAsia="宋体"/>
          <w:sz w:val="28"/>
          <w:szCs w:val="28"/>
        </w:rPr>
        <w:t>一、评标办法前附表</w:t>
      </w:r>
    </w:p>
    <w:tbl>
      <w:tblPr>
        <w:tblStyle w:val="45"/>
        <w:tblW w:w="9845" w:type="dxa"/>
        <w:tblInd w:w="-278"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851"/>
        <w:gridCol w:w="1564"/>
        <w:gridCol w:w="2482"/>
        <w:gridCol w:w="4692"/>
        <w:gridCol w:w="256"/>
      </w:tblGrid>
      <w:tr w14:paraId="06EDE73D">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471" w:hRule="atLeast"/>
        </w:trPr>
        <w:tc>
          <w:tcPr>
            <w:tcW w:w="2415" w:type="dxa"/>
            <w:gridSpan w:val="2"/>
            <w:tcBorders>
              <w:top w:val="single" w:color="000000" w:sz="4" w:space="0"/>
              <w:bottom w:val="single" w:color="000000" w:sz="4" w:space="0"/>
              <w:right w:val="single" w:color="000000" w:sz="4" w:space="0"/>
            </w:tcBorders>
            <w:vAlign w:val="center"/>
          </w:tcPr>
          <w:p w14:paraId="381363B5">
            <w:pPr>
              <w:spacing w:line="360" w:lineRule="exact"/>
              <w:jc w:val="center"/>
              <w:rPr>
                <w:rStyle w:val="95"/>
                <w:b/>
                <w:szCs w:val="21"/>
              </w:rPr>
            </w:pPr>
            <w:r>
              <w:rPr>
                <w:rStyle w:val="95"/>
                <w:rFonts w:hint="eastAsia"/>
                <w:b/>
                <w:szCs w:val="21"/>
              </w:rPr>
              <w:t>条款号</w:t>
            </w:r>
          </w:p>
        </w:tc>
        <w:tc>
          <w:tcPr>
            <w:tcW w:w="2482" w:type="dxa"/>
            <w:tcBorders>
              <w:top w:val="single" w:color="000000" w:sz="4" w:space="0"/>
              <w:left w:val="single" w:color="000000" w:sz="4" w:space="0"/>
              <w:bottom w:val="single" w:color="000000" w:sz="4" w:space="0"/>
              <w:right w:val="single" w:color="000000" w:sz="4" w:space="0"/>
            </w:tcBorders>
            <w:vAlign w:val="center"/>
          </w:tcPr>
          <w:p w14:paraId="729630EE">
            <w:pPr>
              <w:spacing w:line="360" w:lineRule="exact"/>
              <w:jc w:val="center"/>
              <w:rPr>
                <w:rStyle w:val="95"/>
                <w:b/>
                <w:szCs w:val="21"/>
              </w:rPr>
            </w:pPr>
            <w:r>
              <w:rPr>
                <w:rStyle w:val="95"/>
                <w:rFonts w:hint="eastAsia"/>
                <w:b/>
                <w:szCs w:val="21"/>
              </w:rPr>
              <w:t>评审因素</w:t>
            </w:r>
          </w:p>
        </w:tc>
        <w:tc>
          <w:tcPr>
            <w:tcW w:w="4948" w:type="dxa"/>
            <w:gridSpan w:val="2"/>
            <w:tcBorders>
              <w:top w:val="single" w:color="000000" w:sz="4" w:space="0"/>
              <w:left w:val="single" w:color="000000" w:sz="4" w:space="0"/>
              <w:bottom w:val="single" w:color="000000" w:sz="4" w:space="0"/>
            </w:tcBorders>
            <w:vAlign w:val="center"/>
          </w:tcPr>
          <w:p w14:paraId="44466BA0">
            <w:pPr>
              <w:spacing w:line="360" w:lineRule="exact"/>
              <w:jc w:val="center"/>
              <w:rPr>
                <w:rStyle w:val="95"/>
                <w:b/>
                <w:szCs w:val="21"/>
              </w:rPr>
            </w:pPr>
            <w:r>
              <w:rPr>
                <w:rStyle w:val="95"/>
                <w:rFonts w:hint="eastAsia"/>
                <w:b/>
                <w:szCs w:val="21"/>
              </w:rPr>
              <w:t>评审标准</w:t>
            </w:r>
          </w:p>
        </w:tc>
      </w:tr>
      <w:tr w14:paraId="1E9759FC">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471" w:hRule="atLeast"/>
        </w:trPr>
        <w:tc>
          <w:tcPr>
            <w:tcW w:w="851" w:type="dxa"/>
            <w:vMerge w:val="restart"/>
            <w:tcBorders>
              <w:top w:val="single" w:color="000000" w:sz="4" w:space="0"/>
              <w:bottom w:val="single" w:color="000000" w:sz="4" w:space="0"/>
              <w:right w:val="single" w:color="000000" w:sz="4" w:space="0"/>
            </w:tcBorders>
            <w:vAlign w:val="center"/>
          </w:tcPr>
          <w:p w14:paraId="2917181E">
            <w:pPr>
              <w:spacing w:line="360" w:lineRule="exact"/>
              <w:jc w:val="center"/>
              <w:rPr>
                <w:rStyle w:val="95"/>
                <w:szCs w:val="21"/>
              </w:rPr>
            </w:pPr>
            <w:r>
              <w:rPr>
                <w:rStyle w:val="95"/>
                <w:szCs w:val="21"/>
              </w:rPr>
              <w:t>1.1.1</w:t>
            </w:r>
          </w:p>
        </w:tc>
        <w:tc>
          <w:tcPr>
            <w:tcW w:w="1564" w:type="dxa"/>
            <w:vMerge w:val="restart"/>
            <w:tcBorders>
              <w:top w:val="single" w:color="000000" w:sz="4" w:space="0"/>
              <w:left w:val="nil"/>
              <w:bottom w:val="single" w:color="000000" w:sz="4" w:space="0"/>
              <w:right w:val="single" w:color="000000" w:sz="4" w:space="0"/>
            </w:tcBorders>
            <w:vAlign w:val="center"/>
          </w:tcPr>
          <w:p w14:paraId="650D2EFB">
            <w:pPr>
              <w:spacing w:line="360" w:lineRule="exact"/>
              <w:jc w:val="center"/>
              <w:rPr>
                <w:rStyle w:val="95"/>
                <w:szCs w:val="21"/>
              </w:rPr>
            </w:pPr>
            <w:r>
              <w:rPr>
                <w:rStyle w:val="95"/>
                <w:rFonts w:hint="eastAsia"/>
                <w:szCs w:val="21"/>
              </w:rPr>
              <w:t>形式评审标准</w:t>
            </w:r>
          </w:p>
        </w:tc>
        <w:tc>
          <w:tcPr>
            <w:tcW w:w="2482" w:type="dxa"/>
            <w:tcBorders>
              <w:top w:val="single" w:color="000000" w:sz="4" w:space="0"/>
              <w:left w:val="single" w:color="000000" w:sz="4" w:space="0"/>
              <w:bottom w:val="single" w:color="000000" w:sz="4" w:space="0"/>
              <w:right w:val="single" w:color="000000" w:sz="4" w:space="0"/>
            </w:tcBorders>
            <w:vAlign w:val="center"/>
          </w:tcPr>
          <w:p w14:paraId="1C85BE97">
            <w:pPr>
              <w:spacing w:line="360" w:lineRule="exact"/>
              <w:jc w:val="center"/>
              <w:rPr>
                <w:rStyle w:val="95"/>
                <w:szCs w:val="21"/>
              </w:rPr>
            </w:pPr>
            <w:r>
              <w:rPr>
                <w:rStyle w:val="95"/>
                <w:rFonts w:hint="eastAsia"/>
                <w:szCs w:val="21"/>
              </w:rPr>
              <w:t>投标人名称</w:t>
            </w:r>
          </w:p>
        </w:tc>
        <w:tc>
          <w:tcPr>
            <w:tcW w:w="4948" w:type="dxa"/>
            <w:gridSpan w:val="2"/>
            <w:tcBorders>
              <w:top w:val="single" w:color="000000" w:sz="4" w:space="0"/>
              <w:left w:val="single" w:color="000000" w:sz="4" w:space="0"/>
              <w:bottom w:val="single" w:color="000000" w:sz="4" w:space="0"/>
            </w:tcBorders>
            <w:vAlign w:val="center"/>
          </w:tcPr>
          <w:p w14:paraId="28D60306">
            <w:pPr>
              <w:spacing w:line="360" w:lineRule="exact"/>
              <w:rPr>
                <w:rStyle w:val="95"/>
                <w:szCs w:val="21"/>
              </w:rPr>
            </w:pPr>
            <w:r>
              <w:rPr>
                <w:rStyle w:val="95"/>
                <w:rFonts w:hint="eastAsia"/>
                <w:szCs w:val="21"/>
              </w:rPr>
              <w:t>与营业执照、资质证书、安全生产许可证一致</w:t>
            </w:r>
          </w:p>
        </w:tc>
      </w:tr>
      <w:tr w14:paraId="3E1CBA89">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471" w:hRule="atLeast"/>
        </w:trPr>
        <w:tc>
          <w:tcPr>
            <w:tcW w:w="851" w:type="dxa"/>
            <w:vMerge w:val="continue"/>
            <w:tcBorders>
              <w:top w:val="nil"/>
              <w:bottom w:val="single" w:color="000000" w:sz="4" w:space="0"/>
              <w:right w:val="single" w:color="000000" w:sz="4" w:space="0"/>
            </w:tcBorders>
            <w:vAlign w:val="center"/>
          </w:tcPr>
          <w:p w14:paraId="6F72CB55">
            <w:pPr>
              <w:spacing w:line="360" w:lineRule="exact"/>
              <w:jc w:val="center"/>
              <w:rPr>
                <w:rStyle w:val="95"/>
                <w:szCs w:val="21"/>
              </w:rPr>
            </w:pPr>
          </w:p>
        </w:tc>
        <w:tc>
          <w:tcPr>
            <w:tcW w:w="1564" w:type="dxa"/>
            <w:vMerge w:val="continue"/>
            <w:tcBorders>
              <w:top w:val="nil"/>
              <w:left w:val="nil"/>
              <w:bottom w:val="single" w:color="000000" w:sz="4" w:space="0"/>
              <w:right w:val="single" w:color="000000" w:sz="4" w:space="0"/>
            </w:tcBorders>
            <w:vAlign w:val="center"/>
          </w:tcPr>
          <w:p w14:paraId="027DF6DC">
            <w:pPr>
              <w:spacing w:line="360" w:lineRule="exact"/>
              <w:jc w:val="center"/>
              <w:rPr>
                <w:rStyle w:val="95"/>
                <w:szCs w:val="21"/>
              </w:rPr>
            </w:pPr>
          </w:p>
        </w:tc>
        <w:tc>
          <w:tcPr>
            <w:tcW w:w="2482" w:type="dxa"/>
            <w:tcBorders>
              <w:top w:val="single" w:color="000000" w:sz="4" w:space="0"/>
              <w:left w:val="single" w:color="000000" w:sz="4" w:space="0"/>
              <w:bottom w:val="single" w:color="000000" w:sz="4" w:space="0"/>
              <w:right w:val="single" w:color="000000" w:sz="4" w:space="0"/>
            </w:tcBorders>
            <w:vAlign w:val="center"/>
          </w:tcPr>
          <w:p w14:paraId="5F23DEBC">
            <w:pPr>
              <w:spacing w:line="360" w:lineRule="exact"/>
              <w:jc w:val="center"/>
              <w:rPr>
                <w:rStyle w:val="95"/>
                <w:szCs w:val="21"/>
              </w:rPr>
            </w:pPr>
            <w:r>
              <w:rPr>
                <w:rStyle w:val="95"/>
                <w:rFonts w:hint="eastAsia"/>
                <w:szCs w:val="21"/>
              </w:rPr>
              <w:t>投标函签字盖章</w:t>
            </w:r>
          </w:p>
        </w:tc>
        <w:tc>
          <w:tcPr>
            <w:tcW w:w="4948" w:type="dxa"/>
            <w:gridSpan w:val="2"/>
            <w:tcBorders>
              <w:top w:val="single" w:color="000000" w:sz="4" w:space="0"/>
              <w:left w:val="single" w:color="000000" w:sz="4" w:space="0"/>
              <w:bottom w:val="single" w:color="000000" w:sz="4" w:space="0"/>
            </w:tcBorders>
            <w:vAlign w:val="center"/>
          </w:tcPr>
          <w:p w14:paraId="78DF5E59">
            <w:pPr>
              <w:spacing w:line="360" w:lineRule="exact"/>
              <w:rPr>
                <w:rStyle w:val="95"/>
                <w:szCs w:val="21"/>
              </w:rPr>
            </w:pPr>
            <w:r>
              <w:rPr>
                <w:rStyle w:val="95"/>
                <w:rFonts w:hint="eastAsia"/>
                <w:szCs w:val="21"/>
              </w:rPr>
              <w:t>有法定代表人或其委托代理人签字或加盖单位章</w:t>
            </w:r>
          </w:p>
        </w:tc>
      </w:tr>
      <w:tr w14:paraId="4F6C7771">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471" w:hRule="atLeast"/>
        </w:trPr>
        <w:tc>
          <w:tcPr>
            <w:tcW w:w="851" w:type="dxa"/>
            <w:vMerge w:val="continue"/>
            <w:tcBorders>
              <w:top w:val="nil"/>
              <w:bottom w:val="single" w:color="000000" w:sz="4" w:space="0"/>
              <w:right w:val="single" w:color="000000" w:sz="4" w:space="0"/>
            </w:tcBorders>
            <w:vAlign w:val="center"/>
          </w:tcPr>
          <w:p w14:paraId="2E0E3D39">
            <w:pPr>
              <w:spacing w:line="360" w:lineRule="exact"/>
              <w:jc w:val="center"/>
              <w:rPr>
                <w:rStyle w:val="95"/>
                <w:szCs w:val="21"/>
              </w:rPr>
            </w:pPr>
          </w:p>
        </w:tc>
        <w:tc>
          <w:tcPr>
            <w:tcW w:w="1564" w:type="dxa"/>
            <w:vMerge w:val="continue"/>
            <w:tcBorders>
              <w:top w:val="nil"/>
              <w:left w:val="nil"/>
              <w:bottom w:val="single" w:color="000000" w:sz="4" w:space="0"/>
              <w:right w:val="single" w:color="000000" w:sz="4" w:space="0"/>
            </w:tcBorders>
            <w:vAlign w:val="center"/>
          </w:tcPr>
          <w:p w14:paraId="1466046B">
            <w:pPr>
              <w:spacing w:line="360" w:lineRule="exact"/>
              <w:jc w:val="center"/>
              <w:rPr>
                <w:rStyle w:val="95"/>
                <w:szCs w:val="21"/>
              </w:rPr>
            </w:pPr>
          </w:p>
        </w:tc>
        <w:tc>
          <w:tcPr>
            <w:tcW w:w="2482" w:type="dxa"/>
            <w:tcBorders>
              <w:top w:val="single" w:color="000000" w:sz="4" w:space="0"/>
              <w:left w:val="single" w:color="000000" w:sz="4" w:space="0"/>
              <w:bottom w:val="single" w:color="000000" w:sz="4" w:space="0"/>
              <w:right w:val="single" w:color="000000" w:sz="4" w:space="0"/>
            </w:tcBorders>
            <w:vAlign w:val="center"/>
          </w:tcPr>
          <w:p w14:paraId="5D6C6859">
            <w:pPr>
              <w:spacing w:line="360" w:lineRule="exact"/>
              <w:jc w:val="center"/>
              <w:rPr>
                <w:rStyle w:val="95"/>
                <w:szCs w:val="21"/>
              </w:rPr>
            </w:pPr>
            <w:r>
              <w:rPr>
                <w:rStyle w:val="95"/>
                <w:rFonts w:hint="eastAsia"/>
                <w:szCs w:val="21"/>
              </w:rPr>
              <w:t>投标文件格式</w:t>
            </w:r>
          </w:p>
        </w:tc>
        <w:tc>
          <w:tcPr>
            <w:tcW w:w="4948" w:type="dxa"/>
            <w:gridSpan w:val="2"/>
            <w:tcBorders>
              <w:top w:val="single" w:color="000000" w:sz="4" w:space="0"/>
              <w:left w:val="single" w:color="000000" w:sz="4" w:space="0"/>
              <w:bottom w:val="single" w:color="000000" w:sz="4" w:space="0"/>
            </w:tcBorders>
            <w:vAlign w:val="center"/>
          </w:tcPr>
          <w:p w14:paraId="1C9EB02A">
            <w:pPr>
              <w:spacing w:line="360" w:lineRule="exact"/>
              <w:rPr>
                <w:rStyle w:val="95"/>
                <w:szCs w:val="21"/>
              </w:rPr>
            </w:pPr>
            <w:r>
              <w:rPr>
                <w:rStyle w:val="95"/>
                <w:rFonts w:hint="eastAsia"/>
                <w:szCs w:val="21"/>
              </w:rPr>
              <w:t>符合第一卷第五章</w:t>
            </w:r>
            <w:r>
              <w:rPr>
                <w:rStyle w:val="95"/>
                <w:szCs w:val="21"/>
              </w:rPr>
              <w:t>“</w:t>
            </w:r>
            <w:r>
              <w:rPr>
                <w:rStyle w:val="95"/>
                <w:rFonts w:hint="eastAsia"/>
                <w:szCs w:val="21"/>
              </w:rPr>
              <w:t>投标文件格式</w:t>
            </w:r>
            <w:r>
              <w:rPr>
                <w:rStyle w:val="95"/>
                <w:szCs w:val="21"/>
              </w:rPr>
              <w:t>”</w:t>
            </w:r>
            <w:r>
              <w:rPr>
                <w:rStyle w:val="95"/>
                <w:rFonts w:hint="eastAsia"/>
                <w:szCs w:val="21"/>
              </w:rPr>
              <w:t>的要求</w:t>
            </w:r>
          </w:p>
        </w:tc>
      </w:tr>
      <w:tr w14:paraId="18D95910">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471" w:hRule="atLeast"/>
        </w:trPr>
        <w:tc>
          <w:tcPr>
            <w:tcW w:w="851" w:type="dxa"/>
            <w:vMerge w:val="continue"/>
            <w:tcBorders>
              <w:top w:val="nil"/>
              <w:bottom w:val="single" w:color="000000" w:sz="4" w:space="0"/>
              <w:right w:val="single" w:color="000000" w:sz="4" w:space="0"/>
            </w:tcBorders>
            <w:vAlign w:val="center"/>
          </w:tcPr>
          <w:p w14:paraId="56554227">
            <w:pPr>
              <w:spacing w:line="360" w:lineRule="exact"/>
              <w:jc w:val="center"/>
              <w:rPr>
                <w:rStyle w:val="95"/>
                <w:szCs w:val="21"/>
              </w:rPr>
            </w:pPr>
          </w:p>
        </w:tc>
        <w:tc>
          <w:tcPr>
            <w:tcW w:w="1564" w:type="dxa"/>
            <w:vMerge w:val="continue"/>
            <w:tcBorders>
              <w:top w:val="nil"/>
              <w:left w:val="nil"/>
              <w:bottom w:val="single" w:color="000000" w:sz="4" w:space="0"/>
              <w:right w:val="single" w:color="000000" w:sz="4" w:space="0"/>
            </w:tcBorders>
            <w:vAlign w:val="center"/>
          </w:tcPr>
          <w:p w14:paraId="6638E500">
            <w:pPr>
              <w:spacing w:line="360" w:lineRule="exact"/>
              <w:jc w:val="center"/>
              <w:rPr>
                <w:rStyle w:val="95"/>
                <w:szCs w:val="21"/>
              </w:rPr>
            </w:pPr>
          </w:p>
        </w:tc>
        <w:tc>
          <w:tcPr>
            <w:tcW w:w="2482" w:type="dxa"/>
            <w:tcBorders>
              <w:top w:val="single" w:color="000000" w:sz="4" w:space="0"/>
              <w:left w:val="single" w:color="000000" w:sz="4" w:space="0"/>
              <w:bottom w:val="single" w:color="000000" w:sz="4" w:space="0"/>
              <w:right w:val="single" w:color="000000" w:sz="4" w:space="0"/>
            </w:tcBorders>
            <w:vAlign w:val="center"/>
          </w:tcPr>
          <w:p w14:paraId="68AC672B">
            <w:pPr>
              <w:spacing w:line="360" w:lineRule="exact"/>
              <w:jc w:val="center"/>
              <w:rPr>
                <w:rStyle w:val="95"/>
                <w:szCs w:val="21"/>
              </w:rPr>
            </w:pPr>
            <w:r>
              <w:rPr>
                <w:rStyle w:val="95"/>
                <w:rFonts w:hint="eastAsia"/>
                <w:szCs w:val="21"/>
              </w:rPr>
              <w:t>联合体投标人（如有）</w:t>
            </w:r>
          </w:p>
        </w:tc>
        <w:tc>
          <w:tcPr>
            <w:tcW w:w="4948" w:type="dxa"/>
            <w:gridSpan w:val="2"/>
            <w:tcBorders>
              <w:top w:val="single" w:color="000000" w:sz="4" w:space="0"/>
              <w:left w:val="single" w:color="000000" w:sz="4" w:space="0"/>
              <w:bottom w:val="single" w:color="000000" w:sz="4" w:space="0"/>
            </w:tcBorders>
            <w:vAlign w:val="center"/>
          </w:tcPr>
          <w:p w14:paraId="346509E6">
            <w:pPr>
              <w:spacing w:line="280" w:lineRule="exact"/>
              <w:rPr>
                <w:rStyle w:val="95"/>
                <w:szCs w:val="21"/>
              </w:rPr>
            </w:pPr>
            <w:r>
              <w:rPr>
                <w:rFonts w:hint="eastAsia"/>
                <w:b/>
                <w:bCs/>
                <w:color w:val="FF0000"/>
              </w:rPr>
              <w:t>提交</w:t>
            </w:r>
            <w:r>
              <w:rPr>
                <w:rFonts w:hint="eastAsia"/>
                <w:b/>
                <w:bCs/>
                <w:color w:val="FF0000"/>
                <w:lang w:eastAsia="zh-CN"/>
              </w:rPr>
              <w:t>联合体各方共同签订的共同投标协议，明确联合体牵头人和各方拟承担的工作和责任</w:t>
            </w:r>
          </w:p>
        </w:tc>
      </w:tr>
      <w:tr w14:paraId="338D097B">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471" w:hRule="atLeast"/>
        </w:trPr>
        <w:tc>
          <w:tcPr>
            <w:tcW w:w="851" w:type="dxa"/>
            <w:vMerge w:val="continue"/>
            <w:tcBorders>
              <w:top w:val="nil"/>
              <w:bottom w:val="single" w:color="000000" w:sz="4" w:space="0"/>
              <w:right w:val="single" w:color="000000" w:sz="4" w:space="0"/>
            </w:tcBorders>
            <w:vAlign w:val="center"/>
          </w:tcPr>
          <w:p w14:paraId="3610E4E4">
            <w:pPr>
              <w:spacing w:line="360" w:lineRule="exact"/>
              <w:jc w:val="center"/>
              <w:rPr>
                <w:rStyle w:val="95"/>
                <w:szCs w:val="21"/>
              </w:rPr>
            </w:pPr>
          </w:p>
        </w:tc>
        <w:tc>
          <w:tcPr>
            <w:tcW w:w="1564" w:type="dxa"/>
            <w:vMerge w:val="continue"/>
            <w:tcBorders>
              <w:top w:val="nil"/>
              <w:left w:val="nil"/>
              <w:bottom w:val="single" w:color="000000" w:sz="4" w:space="0"/>
              <w:right w:val="single" w:color="000000" w:sz="4" w:space="0"/>
            </w:tcBorders>
            <w:vAlign w:val="center"/>
          </w:tcPr>
          <w:p w14:paraId="7AB4EC26">
            <w:pPr>
              <w:spacing w:line="360" w:lineRule="exact"/>
              <w:jc w:val="center"/>
              <w:rPr>
                <w:rStyle w:val="95"/>
                <w:szCs w:val="21"/>
              </w:rPr>
            </w:pPr>
          </w:p>
        </w:tc>
        <w:tc>
          <w:tcPr>
            <w:tcW w:w="2482" w:type="dxa"/>
            <w:tcBorders>
              <w:top w:val="single" w:color="000000" w:sz="4" w:space="0"/>
              <w:left w:val="single" w:color="000000" w:sz="4" w:space="0"/>
              <w:bottom w:val="single" w:color="000000" w:sz="4" w:space="0"/>
              <w:right w:val="single" w:color="000000" w:sz="4" w:space="0"/>
            </w:tcBorders>
            <w:vAlign w:val="center"/>
          </w:tcPr>
          <w:p w14:paraId="267B6BFC">
            <w:pPr>
              <w:spacing w:line="360" w:lineRule="exact"/>
              <w:jc w:val="center"/>
              <w:rPr>
                <w:rStyle w:val="95"/>
                <w:szCs w:val="21"/>
              </w:rPr>
            </w:pPr>
            <w:r>
              <w:rPr>
                <w:rStyle w:val="95"/>
                <w:rFonts w:hint="eastAsia"/>
                <w:szCs w:val="21"/>
              </w:rPr>
              <w:t>报价唯一</w:t>
            </w:r>
          </w:p>
        </w:tc>
        <w:tc>
          <w:tcPr>
            <w:tcW w:w="4948" w:type="dxa"/>
            <w:gridSpan w:val="2"/>
            <w:tcBorders>
              <w:top w:val="single" w:color="000000" w:sz="4" w:space="0"/>
              <w:left w:val="single" w:color="000000" w:sz="4" w:space="0"/>
              <w:bottom w:val="single" w:color="000000" w:sz="4" w:space="0"/>
            </w:tcBorders>
            <w:vAlign w:val="center"/>
          </w:tcPr>
          <w:p w14:paraId="1C7885A8">
            <w:pPr>
              <w:spacing w:line="360" w:lineRule="exact"/>
              <w:rPr>
                <w:rStyle w:val="95"/>
                <w:szCs w:val="21"/>
              </w:rPr>
            </w:pPr>
            <w:r>
              <w:rPr>
                <w:rFonts w:hint="eastAsia" w:ascii="宋体" w:hAnsi="宋体"/>
                <w:szCs w:val="21"/>
              </w:rPr>
              <w:t>只能有一个有效报价</w:t>
            </w:r>
            <w:r>
              <w:rPr>
                <w:rFonts w:hint="eastAsia" w:ascii="宋体" w:hAnsi="宋体"/>
                <w:b/>
                <w:bCs/>
                <w:color w:val="FF0000"/>
                <w:szCs w:val="21"/>
                <w:lang w:eastAsia="zh-CN"/>
              </w:rPr>
              <w:t>（招标文件要求提交备选投标的除外）</w:t>
            </w:r>
          </w:p>
        </w:tc>
      </w:tr>
      <w:tr w14:paraId="2C56A471">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471" w:hRule="atLeast"/>
        </w:trPr>
        <w:tc>
          <w:tcPr>
            <w:tcW w:w="851" w:type="dxa"/>
            <w:vMerge w:val="restart"/>
            <w:tcBorders>
              <w:top w:val="single" w:color="000000" w:sz="4" w:space="0"/>
              <w:bottom w:val="single" w:color="000000" w:sz="4" w:space="0"/>
              <w:right w:val="single" w:color="000000" w:sz="4" w:space="0"/>
            </w:tcBorders>
            <w:vAlign w:val="center"/>
          </w:tcPr>
          <w:p w14:paraId="6C3B23D0">
            <w:pPr>
              <w:spacing w:line="360" w:lineRule="exact"/>
              <w:jc w:val="center"/>
              <w:rPr>
                <w:rStyle w:val="95"/>
                <w:szCs w:val="21"/>
              </w:rPr>
            </w:pPr>
            <w:r>
              <w:rPr>
                <w:rStyle w:val="95"/>
                <w:szCs w:val="21"/>
              </w:rPr>
              <w:t>1.1.2</w:t>
            </w:r>
          </w:p>
        </w:tc>
        <w:tc>
          <w:tcPr>
            <w:tcW w:w="1564" w:type="dxa"/>
            <w:vMerge w:val="restart"/>
            <w:tcBorders>
              <w:top w:val="single" w:color="000000" w:sz="4" w:space="0"/>
              <w:left w:val="nil"/>
              <w:bottom w:val="single" w:color="000000" w:sz="4" w:space="0"/>
              <w:right w:val="single" w:color="000000" w:sz="4" w:space="0"/>
            </w:tcBorders>
            <w:vAlign w:val="center"/>
          </w:tcPr>
          <w:p w14:paraId="16588A1C">
            <w:pPr>
              <w:spacing w:line="360" w:lineRule="exact"/>
              <w:jc w:val="center"/>
              <w:rPr>
                <w:rStyle w:val="95"/>
                <w:szCs w:val="21"/>
              </w:rPr>
            </w:pPr>
            <w:r>
              <w:rPr>
                <w:rStyle w:val="95"/>
                <w:rFonts w:hint="eastAsia"/>
                <w:szCs w:val="21"/>
              </w:rPr>
              <w:t>资格评审标准（可按招标公告资格要求</w:t>
            </w:r>
          </w:p>
          <w:p w14:paraId="0E8D90C9">
            <w:pPr>
              <w:spacing w:line="360" w:lineRule="exact"/>
              <w:jc w:val="center"/>
              <w:rPr>
                <w:rStyle w:val="95"/>
                <w:szCs w:val="21"/>
              </w:rPr>
            </w:pPr>
            <w:r>
              <w:rPr>
                <w:rStyle w:val="95"/>
                <w:rFonts w:hint="eastAsia"/>
                <w:szCs w:val="21"/>
              </w:rPr>
              <w:t>相应调整）</w:t>
            </w:r>
          </w:p>
        </w:tc>
        <w:tc>
          <w:tcPr>
            <w:tcW w:w="2482" w:type="dxa"/>
            <w:tcBorders>
              <w:top w:val="single" w:color="000000" w:sz="4" w:space="0"/>
              <w:left w:val="single" w:color="000000" w:sz="4" w:space="0"/>
              <w:bottom w:val="single" w:color="000000" w:sz="4" w:space="0"/>
              <w:right w:val="single" w:color="000000" w:sz="4" w:space="0"/>
            </w:tcBorders>
            <w:vAlign w:val="center"/>
          </w:tcPr>
          <w:p w14:paraId="0E090CC1">
            <w:pPr>
              <w:spacing w:line="360" w:lineRule="exact"/>
              <w:jc w:val="center"/>
              <w:rPr>
                <w:rStyle w:val="95"/>
                <w:szCs w:val="21"/>
              </w:rPr>
            </w:pPr>
            <w:r>
              <w:rPr>
                <w:rStyle w:val="95"/>
                <w:rFonts w:hint="eastAsia"/>
                <w:szCs w:val="21"/>
              </w:rPr>
              <w:t>营业执照</w:t>
            </w:r>
          </w:p>
        </w:tc>
        <w:tc>
          <w:tcPr>
            <w:tcW w:w="4948" w:type="dxa"/>
            <w:gridSpan w:val="2"/>
            <w:tcBorders>
              <w:top w:val="single" w:color="000000" w:sz="4" w:space="0"/>
              <w:left w:val="single" w:color="000000" w:sz="4" w:space="0"/>
              <w:bottom w:val="single" w:color="000000" w:sz="4" w:space="0"/>
            </w:tcBorders>
            <w:vAlign w:val="center"/>
          </w:tcPr>
          <w:p w14:paraId="5B177F34">
            <w:pPr>
              <w:spacing w:line="360" w:lineRule="exact"/>
              <w:rPr>
                <w:rStyle w:val="95"/>
                <w:szCs w:val="21"/>
              </w:rPr>
            </w:pPr>
            <w:r>
              <w:rPr>
                <w:rStyle w:val="95"/>
                <w:rFonts w:hint="eastAsia"/>
                <w:szCs w:val="21"/>
              </w:rPr>
              <w:t>有效且符合招标文件要求</w:t>
            </w:r>
          </w:p>
        </w:tc>
      </w:tr>
      <w:tr w14:paraId="4FDA903D">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471" w:hRule="atLeast"/>
        </w:trPr>
        <w:tc>
          <w:tcPr>
            <w:tcW w:w="851" w:type="dxa"/>
            <w:vMerge w:val="continue"/>
            <w:tcBorders>
              <w:right w:val="single" w:color="000000" w:sz="4" w:space="0"/>
            </w:tcBorders>
            <w:vAlign w:val="center"/>
          </w:tcPr>
          <w:p w14:paraId="054A051B">
            <w:pPr>
              <w:spacing w:line="360" w:lineRule="exact"/>
              <w:jc w:val="center"/>
              <w:rPr>
                <w:rStyle w:val="95"/>
                <w:szCs w:val="21"/>
              </w:rPr>
            </w:pPr>
          </w:p>
        </w:tc>
        <w:tc>
          <w:tcPr>
            <w:tcW w:w="1564" w:type="dxa"/>
            <w:vMerge w:val="continue"/>
            <w:tcBorders>
              <w:left w:val="nil"/>
              <w:right w:val="single" w:color="000000" w:sz="4" w:space="0"/>
            </w:tcBorders>
            <w:vAlign w:val="center"/>
          </w:tcPr>
          <w:p w14:paraId="0093118F">
            <w:pPr>
              <w:spacing w:line="360" w:lineRule="exact"/>
              <w:jc w:val="center"/>
              <w:rPr>
                <w:rStyle w:val="95"/>
                <w:szCs w:val="21"/>
              </w:rPr>
            </w:pPr>
          </w:p>
        </w:tc>
        <w:tc>
          <w:tcPr>
            <w:tcW w:w="2482" w:type="dxa"/>
            <w:tcBorders>
              <w:top w:val="single" w:color="000000" w:sz="4" w:space="0"/>
              <w:left w:val="single" w:color="000000" w:sz="4" w:space="0"/>
              <w:bottom w:val="single" w:color="000000" w:sz="4" w:space="0"/>
              <w:right w:val="single" w:color="000000" w:sz="4" w:space="0"/>
            </w:tcBorders>
            <w:vAlign w:val="center"/>
          </w:tcPr>
          <w:p w14:paraId="62D55A26">
            <w:pPr>
              <w:spacing w:line="360" w:lineRule="exact"/>
              <w:jc w:val="center"/>
              <w:rPr>
                <w:rStyle w:val="95"/>
                <w:szCs w:val="21"/>
              </w:rPr>
            </w:pPr>
            <w:r>
              <w:rPr>
                <w:rStyle w:val="95"/>
                <w:rFonts w:hint="eastAsia"/>
                <w:szCs w:val="21"/>
              </w:rPr>
              <w:t>安全生产许可证</w:t>
            </w:r>
          </w:p>
        </w:tc>
        <w:tc>
          <w:tcPr>
            <w:tcW w:w="4948" w:type="dxa"/>
            <w:gridSpan w:val="2"/>
            <w:tcBorders>
              <w:top w:val="single" w:color="000000" w:sz="4" w:space="0"/>
              <w:left w:val="single" w:color="000000" w:sz="4" w:space="0"/>
              <w:bottom w:val="single" w:color="000000" w:sz="4" w:space="0"/>
            </w:tcBorders>
            <w:vAlign w:val="center"/>
          </w:tcPr>
          <w:p w14:paraId="67AD5A8B">
            <w:pPr>
              <w:spacing w:line="360" w:lineRule="exact"/>
              <w:rPr>
                <w:rStyle w:val="95"/>
                <w:szCs w:val="21"/>
              </w:rPr>
            </w:pPr>
            <w:r>
              <w:rPr>
                <w:rStyle w:val="95"/>
                <w:rFonts w:hint="eastAsia"/>
                <w:szCs w:val="21"/>
              </w:rPr>
              <w:t>有效且符合招标文件要求</w:t>
            </w:r>
          </w:p>
        </w:tc>
      </w:tr>
      <w:tr w14:paraId="78D54185">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471" w:hRule="atLeast"/>
        </w:trPr>
        <w:tc>
          <w:tcPr>
            <w:tcW w:w="851" w:type="dxa"/>
            <w:vMerge w:val="continue"/>
            <w:tcBorders>
              <w:top w:val="nil"/>
              <w:bottom w:val="single" w:color="000000" w:sz="4" w:space="0"/>
              <w:right w:val="single" w:color="000000" w:sz="4" w:space="0"/>
            </w:tcBorders>
            <w:vAlign w:val="center"/>
          </w:tcPr>
          <w:p w14:paraId="2D8C938B">
            <w:pPr>
              <w:spacing w:line="360" w:lineRule="exact"/>
              <w:jc w:val="center"/>
              <w:rPr>
                <w:rStyle w:val="95"/>
                <w:szCs w:val="21"/>
              </w:rPr>
            </w:pPr>
          </w:p>
        </w:tc>
        <w:tc>
          <w:tcPr>
            <w:tcW w:w="1564" w:type="dxa"/>
            <w:vMerge w:val="continue"/>
            <w:tcBorders>
              <w:top w:val="nil"/>
              <w:left w:val="nil"/>
              <w:bottom w:val="single" w:color="000000" w:sz="4" w:space="0"/>
              <w:right w:val="single" w:color="000000" w:sz="4" w:space="0"/>
            </w:tcBorders>
            <w:vAlign w:val="center"/>
          </w:tcPr>
          <w:p w14:paraId="44CD80C7">
            <w:pPr>
              <w:spacing w:line="360" w:lineRule="exact"/>
              <w:jc w:val="center"/>
              <w:rPr>
                <w:rStyle w:val="95"/>
                <w:szCs w:val="21"/>
              </w:rPr>
            </w:pPr>
          </w:p>
        </w:tc>
        <w:tc>
          <w:tcPr>
            <w:tcW w:w="2482" w:type="dxa"/>
            <w:tcBorders>
              <w:top w:val="single" w:color="000000" w:sz="4" w:space="0"/>
              <w:left w:val="single" w:color="000000" w:sz="4" w:space="0"/>
              <w:bottom w:val="single" w:color="000000" w:sz="4" w:space="0"/>
              <w:right w:val="single" w:color="000000" w:sz="4" w:space="0"/>
            </w:tcBorders>
            <w:vAlign w:val="center"/>
          </w:tcPr>
          <w:p w14:paraId="193F154B">
            <w:pPr>
              <w:spacing w:line="360" w:lineRule="exact"/>
              <w:jc w:val="center"/>
              <w:rPr>
                <w:rStyle w:val="95"/>
                <w:szCs w:val="21"/>
              </w:rPr>
            </w:pPr>
            <w:r>
              <w:rPr>
                <w:rStyle w:val="95"/>
                <w:rFonts w:hint="eastAsia"/>
                <w:szCs w:val="21"/>
              </w:rPr>
              <w:t>资质等级</w:t>
            </w:r>
          </w:p>
        </w:tc>
        <w:tc>
          <w:tcPr>
            <w:tcW w:w="4948" w:type="dxa"/>
            <w:gridSpan w:val="2"/>
            <w:tcBorders>
              <w:top w:val="single" w:color="000000" w:sz="4" w:space="0"/>
              <w:left w:val="single" w:color="000000" w:sz="4" w:space="0"/>
              <w:bottom w:val="single" w:color="000000" w:sz="4" w:space="0"/>
            </w:tcBorders>
            <w:vAlign w:val="center"/>
          </w:tcPr>
          <w:p w14:paraId="607B0035">
            <w:pPr>
              <w:spacing w:line="360" w:lineRule="exact"/>
              <w:rPr>
                <w:rStyle w:val="95"/>
                <w:szCs w:val="21"/>
              </w:rPr>
            </w:pPr>
            <w:r>
              <w:rPr>
                <w:rStyle w:val="95"/>
                <w:rFonts w:hint="eastAsia"/>
                <w:szCs w:val="21"/>
              </w:rPr>
              <w:t>符合第一卷第二章</w:t>
            </w:r>
            <w:r>
              <w:rPr>
                <w:rStyle w:val="95"/>
                <w:szCs w:val="21"/>
              </w:rPr>
              <w:t>“</w:t>
            </w:r>
            <w:r>
              <w:rPr>
                <w:rStyle w:val="95"/>
                <w:rFonts w:hint="eastAsia"/>
                <w:szCs w:val="21"/>
              </w:rPr>
              <w:t>投标人须知</w:t>
            </w:r>
            <w:r>
              <w:rPr>
                <w:rStyle w:val="95"/>
                <w:szCs w:val="21"/>
              </w:rPr>
              <w:t>”</w:t>
            </w:r>
            <w:r>
              <w:rPr>
                <w:rStyle w:val="95"/>
                <w:rFonts w:hint="eastAsia"/>
                <w:szCs w:val="21"/>
              </w:rPr>
              <w:t>第</w:t>
            </w:r>
            <w:r>
              <w:rPr>
                <w:rStyle w:val="95"/>
                <w:szCs w:val="21"/>
              </w:rPr>
              <w:t>1.4.1</w:t>
            </w:r>
            <w:r>
              <w:rPr>
                <w:rStyle w:val="95"/>
                <w:rFonts w:hint="eastAsia"/>
                <w:szCs w:val="21"/>
              </w:rPr>
              <w:t>项规定</w:t>
            </w:r>
          </w:p>
        </w:tc>
      </w:tr>
      <w:tr w14:paraId="5B94F9BB">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471" w:hRule="atLeast"/>
        </w:trPr>
        <w:tc>
          <w:tcPr>
            <w:tcW w:w="851" w:type="dxa"/>
            <w:vMerge w:val="continue"/>
            <w:tcBorders>
              <w:top w:val="nil"/>
              <w:bottom w:val="single" w:color="000000" w:sz="4" w:space="0"/>
              <w:right w:val="single" w:color="000000" w:sz="4" w:space="0"/>
            </w:tcBorders>
            <w:vAlign w:val="center"/>
          </w:tcPr>
          <w:p w14:paraId="32EAE0F1">
            <w:pPr>
              <w:spacing w:line="360" w:lineRule="exact"/>
              <w:jc w:val="center"/>
              <w:rPr>
                <w:rStyle w:val="95"/>
                <w:szCs w:val="21"/>
              </w:rPr>
            </w:pPr>
          </w:p>
        </w:tc>
        <w:tc>
          <w:tcPr>
            <w:tcW w:w="1564" w:type="dxa"/>
            <w:vMerge w:val="continue"/>
            <w:tcBorders>
              <w:top w:val="nil"/>
              <w:left w:val="nil"/>
              <w:bottom w:val="single" w:color="000000" w:sz="4" w:space="0"/>
              <w:right w:val="single" w:color="000000" w:sz="4" w:space="0"/>
            </w:tcBorders>
            <w:vAlign w:val="center"/>
          </w:tcPr>
          <w:p w14:paraId="5CBD3126">
            <w:pPr>
              <w:spacing w:line="360" w:lineRule="exact"/>
              <w:jc w:val="center"/>
              <w:rPr>
                <w:rStyle w:val="95"/>
                <w:szCs w:val="21"/>
              </w:rPr>
            </w:pPr>
          </w:p>
        </w:tc>
        <w:tc>
          <w:tcPr>
            <w:tcW w:w="2482" w:type="dxa"/>
            <w:tcBorders>
              <w:top w:val="single" w:color="000000" w:sz="4" w:space="0"/>
              <w:left w:val="single" w:color="000000" w:sz="4" w:space="0"/>
              <w:bottom w:val="single" w:color="000000" w:sz="4" w:space="0"/>
              <w:right w:val="single" w:color="000000" w:sz="4" w:space="0"/>
            </w:tcBorders>
            <w:vAlign w:val="center"/>
          </w:tcPr>
          <w:p w14:paraId="6EA18B6D">
            <w:pPr>
              <w:spacing w:line="360" w:lineRule="exact"/>
              <w:jc w:val="center"/>
              <w:rPr>
                <w:rStyle w:val="95"/>
                <w:szCs w:val="21"/>
              </w:rPr>
            </w:pPr>
            <w:r>
              <w:rPr>
                <w:rStyle w:val="95"/>
                <w:rFonts w:hint="eastAsia"/>
                <w:szCs w:val="21"/>
              </w:rPr>
              <w:t>类似项目业绩</w:t>
            </w:r>
          </w:p>
        </w:tc>
        <w:tc>
          <w:tcPr>
            <w:tcW w:w="4948" w:type="dxa"/>
            <w:gridSpan w:val="2"/>
            <w:tcBorders>
              <w:top w:val="single" w:color="000000" w:sz="4" w:space="0"/>
              <w:left w:val="single" w:color="000000" w:sz="4" w:space="0"/>
              <w:bottom w:val="single" w:color="000000" w:sz="4" w:space="0"/>
            </w:tcBorders>
            <w:vAlign w:val="center"/>
          </w:tcPr>
          <w:p w14:paraId="5646AB04">
            <w:pPr>
              <w:spacing w:line="360" w:lineRule="exact"/>
              <w:rPr>
                <w:rStyle w:val="95"/>
                <w:szCs w:val="21"/>
              </w:rPr>
            </w:pPr>
            <w:r>
              <w:rPr>
                <w:rStyle w:val="95"/>
                <w:rFonts w:hint="eastAsia"/>
                <w:szCs w:val="21"/>
              </w:rPr>
              <w:t>符合第一卷第二章</w:t>
            </w:r>
            <w:r>
              <w:rPr>
                <w:rStyle w:val="95"/>
                <w:szCs w:val="21"/>
              </w:rPr>
              <w:t>“</w:t>
            </w:r>
            <w:r>
              <w:rPr>
                <w:rStyle w:val="95"/>
                <w:rFonts w:hint="eastAsia"/>
                <w:szCs w:val="21"/>
              </w:rPr>
              <w:t>投标人须知</w:t>
            </w:r>
            <w:r>
              <w:rPr>
                <w:rStyle w:val="95"/>
                <w:szCs w:val="21"/>
              </w:rPr>
              <w:t>”</w:t>
            </w:r>
            <w:r>
              <w:rPr>
                <w:rStyle w:val="95"/>
                <w:rFonts w:hint="eastAsia"/>
                <w:szCs w:val="21"/>
              </w:rPr>
              <w:t>第</w:t>
            </w:r>
            <w:r>
              <w:rPr>
                <w:rStyle w:val="95"/>
                <w:szCs w:val="21"/>
              </w:rPr>
              <w:t>1.4.1</w:t>
            </w:r>
            <w:r>
              <w:rPr>
                <w:rStyle w:val="95"/>
                <w:rFonts w:hint="eastAsia"/>
                <w:szCs w:val="21"/>
              </w:rPr>
              <w:t>项规定</w:t>
            </w:r>
          </w:p>
        </w:tc>
      </w:tr>
      <w:tr w14:paraId="0973F831">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471" w:hRule="atLeast"/>
        </w:trPr>
        <w:tc>
          <w:tcPr>
            <w:tcW w:w="851" w:type="dxa"/>
            <w:vMerge w:val="continue"/>
            <w:tcBorders>
              <w:top w:val="nil"/>
              <w:bottom w:val="single" w:color="000000" w:sz="4" w:space="0"/>
              <w:right w:val="single" w:color="000000" w:sz="4" w:space="0"/>
            </w:tcBorders>
            <w:vAlign w:val="center"/>
          </w:tcPr>
          <w:p w14:paraId="43CC6329">
            <w:pPr>
              <w:spacing w:line="360" w:lineRule="exact"/>
              <w:jc w:val="center"/>
              <w:rPr>
                <w:rStyle w:val="95"/>
                <w:szCs w:val="21"/>
              </w:rPr>
            </w:pPr>
          </w:p>
        </w:tc>
        <w:tc>
          <w:tcPr>
            <w:tcW w:w="1564" w:type="dxa"/>
            <w:vMerge w:val="continue"/>
            <w:tcBorders>
              <w:top w:val="nil"/>
              <w:left w:val="nil"/>
              <w:bottom w:val="single" w:color="000000" w:sz="4" w:space="0"/>
              <w:right w:val="single" w:color="000000" w:sz="4" w:space="0"/>
            </w:tcBorders>
            <w:vAlign w:val="center"/>
          </w:tcPr>
          <w:p w14:paraId="46B26AAF">
            <w:pPr>
              <w:spacing w:line="360" w:lineRule="exact"/>
              <w:jc w:val="center"/>
              <w:rPr>
                <w:rStyle w:val="95"/>
                <w:szCs w:val="21"/>
              </w:rPr>
            </w:pPr>
          </w:p>
        </w:tc>
        <w:tc>
          <w:tcPr>
            <w:tcW w:w="2482" w:type="dxa"/>
            <w:tcBorders>
              <w:top w:val="single" w:color="000000" w:sz="4" w:space="0"/>
              <w:left w:val="single" w:color="000000" w:sz="4" w:space="0"/>
              <w:bottom w:val="single" w:color="000000" w:sz="4" w:space="0"/>
              <w:right w:val="single" w:color="000000" w:sz="4" w:space="0"/>
            </w:tcBorders>
            <w:vAlign w:val="center"/>
          </w:tcPr>
          <w:p w14:paraId="448290AA">
            <w:pPr>
              <w:spacing w:line="360" w:lineRule="exact"/>
              <w:jc w:val="center"/>
              <w:rPr>
                <w:rStyle w:val="95"/>
                <w:szCs w:val="21"/>
              </w:rPr>
            </w:pPr>
            <w:r>
              <w:rPr>
                <w:rStyle w:val="95"/>
                <w:rFonts w:hint="eastAsia"/>
                <w:szCs w:val="21"/>
              </w:rPr>
              <w:t>信誉</w:t>
            </w:r>
          </w:p>
        </w:tc>
        <w:tc>
          <w:tcPr>
            <w:tcW w:w="4948" w:type="dxa"/>
            <w:gridSpan w:val="2"/>
            <w:tcBorders>
              <w:top w:val="single" w:color="000000" w:sz="4" w:space="0"/>
              <w:left w:val="single" w:color="000000" w:sz="4" w:space="0"/>
              <w:bottom w:val="single" w:color="000000" w:sz="4" w:space="0"/>
            </w:tcBorders>
            <w:vAlign w:val="center"/>
          </w:tcPr>
          <w:p w14:paraId="7221DC82">
            <w:pPr>
              <w:spacing w:line="360" w:lineRule="exact"/>
              <w:rPr>
                <w:rStyle w:val="95"/>
                <w:szCs w:val="21"/>
              </w:rPr>
            </w:pPr>
            <w:r>
              <w:rPr>
                <w:rStyle w:val="95"/>
                <w:rFonts w:hint="eastAsia"/>
                <w:szCs w:val="21"/>
              </w:rPr>
              <w:t>符合第一卷第二章</w:t>
            </w:r>
            <w:r>
              <w:rPr>
                <w:rStyle w:val="95"/>
                <w:szCs w:val="21"/>
              </w:rPr>
              <w:t>“</w:t>
            </w:r>
            <w:r>
              <w:rPr>
                <w:rStyle w:val="95"/>
                <w:rFonts w:hint="eastAsia"/>
                <w:szCs w:val="21"/>
              </w:rPr>
              <w:t>投标人须知</w:t>
            </w:r>
            <w:r>
              <w:rPr>
                <w:rStyle w:val="95"/>
                <w:szCs w:val="21"/>
              </w:rPr>
              <w:t>”</w:t>
            </w:r>
            <w:r>
              <w:rPr>
                <w:rStyle w:val="95"/>
                <w:rFonts w:hint="eastAsia"/>
                <w:szCs w:val="21"/>
              </w:rPr>
              <w:t>第</w:t>
            </w:r>
            <w:r>
              <w:rPr>
                <w:rStyle w:val="95"/>
                <w:szCs w:val="21"/>
              </w:rPr>
              <w:t>1.4.1</w:t>
            </w:r>
            <w:r>
              <w:rPr>
                <w:rStyle w:val="95"/>
                <w:rFonts w:hint="eastAsia"/>
                <w:szCs w:val="21"/>
              </w:rPr>
              <w:t>项规定</w:t>
            </w:r>
          </w:p>
        </w:tc>
      </w:tr>
      <w:tr w14:paraId="64B2D012">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471" w:hRule="atLeast"/>
        </w:trPr>
        <w:tc>
          <w:tcPr>
            <w:tcW w:w="851" w:type="dxa"/>
            <w:vMerge w:val="continue"/>
            <w:tcBorders>
              <w:top w:val="nil"/>
              <w:bottom w:val="single" w:color="000000" w:sz="4" w:space="0"/>
              <w:right w:val="single" w:color="000000" w:sz="4" w:space="0"/>
            </w:tcBorders>
            <w:vAlign w:val="center"/>
          </w:tcPr>
          <w:p w14:paraId="4AF173BD">
            <w:pPr>
              <w:spacing w:line="360" w:lineRule="exact"/>
              <w:jc w:val="center"/>
              <w:rPr>
                <w:rStyle w:val="95"/>
                <w:szCs w:val="21"/>
              </w:rPr>
            </w:pPr>
          </w:p>
        </w:tc>
        <w:tc>
          <w:tcPr>
            <w:tcW w:w="1564" w:type="dxa"/>
            <w:vMerge w:val="continue"/>
            <w:tcBorders>
              <w:top w:val="nil"/>
              <w:left w:val="nil"/>
              <w:bottom w:val="single" w:color="000000" w:sz="4" w:space="0"/>
              <w:right w:val="single" w:color="000000" w:sz="4" w:space="0"/>
            </w:tcBorders>
            <w:vAlign w:val="center"/>
          </w:tcPr>
          <w:p w14:paraId="646B2C62">
            <w:pPr>
              <w:spacing w:line="360" w:lineRule="exact"/>
              <w:jc w:val="center"/>
              <w:rPr>
                <w:rStyle w:val="95"/>
                <w:szCs w:val="21"/>
              </w:rPr>
            </w:pPr>
          </w:p>
        </w:tc>
        <w:tc>
          <w:tcPr>
            <w:tcW w:w="2482" w:type="dxa"/>
            <w:tcBorders>
              <w:top w:val="single" w:color="000000" w:sz="4" w:space="0"/>
              <w:left w:val="single" w:color="000000" w:sz="4" w:space="0"/>
              <w:bottom w:val="single" w:color="000000" w:sz="4" w:space="0"/>
              <w:right w:val="single" w:color="000000" w:sz="4" w:space="0"/>
            </w:tcBorders>
            <w:vAlign w:val="center"/>
          </w:tcPr>
          <w:p w14:paraId="4CE82A88">
            <w:pPr>
              <w:spacing w:line="360" w:lineRule="exact"/>
              <w:jc w:val="center"/>
              <w:rPr>
                <w:rStyle w:val="95"/>
                <w:szCs w:val="21"/>
              </w:rPr>
            </w:pPr>
            <w:r>
              <w:rPr>
                <w:rStyle w:val="95"/>
                <w:rFonts w:hint="eastAsia"/>
                <w:szCs w:val="21"/>
              </w:rPr>
              <w:t>项目经理</w:t>
            </w:r>
          </w:p>
        </w:tc>
        <w:tc>
          <w:tcPr>
            <w:tcW w:w="4948" w:type="dxa"/>
            <w:gridSpan w:val="2"/>
            <w:tcBorders>
              <w:top w:val="single" w:color="000000" w:sz="4" w:space="0"/>
              <w:left w:val="single" w:color="000000" w:sz="4" w:space="0"/>
              <w:bottom w:val="single" w:color="000000" w:sz="4" w:space="0"/>
            </w:tcBorders>
            <w:vAlign w:val="center"/>
          </w:tcPr>
          <w:p w14:paraId="3351D5D9">
            <w:pPr>
              <w:spacing w:line="360" w:lineRule="exact"/>
              <w:rPr>
                <w:rStyle w:val="95"/>
                <w:szCs w:val="21"/>
              </w:rPr>
            </w:pPr>
            <w:r>
              <w:rPr>
                <w:rStyle w:val="95"/>
                <w:rFonts w:hint="eastAsia"/>
                <w:szCs w:val="21"/>
              </w:rPr>
              <w:t>符合第一卷第二章</w:t>
            </w:r>
            <w:r>
              <w:rPr>
                <w:rStyle w:val="95"/>
                <w:szCs w:val="21"/>
              </w:rPr>
              <w:t>“</w:t>
            </w:r>
            <w:r>
              <w:rPr>
                <w:rStyle w:val="95"/>
                <w:rFonts w:hint="eastAsia"/>
                <w:szCs w:val="21"/>
              </w:rPr>
              <w:t>投标人须知</w:t>
            </w:r>
            <w:r>
              <w:rPr>
                <w:rStyle w:val="95"/>
                <w:szCs w:val="21"/>
              </w:rPr>
              <w:t>”</w:t>
            </w:r>
            <w:r>
              <w:rPr>
                <w:rStyle w:val="95"/>
                <w:rFonts w:hint="eastAsia"/>
                <w:szCs w:val="21"/>
              </w:rPr>
              <w:t>第</w:t>
            </w:r>
            <w:r>
              <w:rPr>
                <w:rStyle w:val="95"/>
                <w:szCs w:val="21"/>
              </w:rPr>
              <w:t>1.4.1</w:t>
            </w:r>
            <w:r>
              <w:rPr>
                <w:rStyle w:val="95"/>
                <w:rFonts w:hint="eastAsia"/>
                <w:szCs w:val="21"/>
              </w:rPr>
              <w:t>项规定</w:t>
            </w:r>
          </w:p>
        </w:tc>
      </w:tr>
      <w:tr w14:paraId="30479983">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471" w:hRule="atLeast"/>
        </w:trPr>
        <w:tc>
          <w:tcPr>
            <w:tcW w:w="851" w:type="dxa"/>
            <w:vMerge w:val="continue"/>
            <w:tcBorders>
              <w:top w:val="nil"/>
              <w:bottom w:val="single" w:color="000000" w:sz="4" w:space="0"/>
              <w:right w:val="single" w:color="000000" w:sz="4" w:space="0"/>
            </w:tcBorders>
            <w:vAlign w:val="center"/>
          </w:tcPr>
          <w:p w14:paraId="3F441E09">
            <w:pPr>
              <w:spacing w:line="360" w:lineRule="exact"/>
              <w:jc w:val="center"/>
              <w:rPr>
                <w:rStyle w:val="95"/>
                <w:szCs w:val="21"/>
              </w:rPr>
            </w:pPr>
          </w:p>
        </w:tc>
        <w:tc>
          <w:tcPr>
            <w:tcW w:w="1564" w:type="dxa"/>
            <w:vMerge w:val="continue"/>
            <w:tcBorders>
              <w:top w:val="nil"/>
              <w:left w:val="nil"/>
              <w:bottom w:val="single" w:color="000000" w:sz="4" w:space="0"/>
              <w:right w:val="single" w:color="000000" w:sz="4" w:space="0"/>
            </w:tcBorders>
            <w:vAlign w:val="center"/>
          </w:tcPr>
          <w:p w14:paraId="14127BC4">
            <w:pPr>
              <w:spacing w:line="360" w:lineRule="exact"/>
              <w:jc w:val="center"/>
              <w:rPr>
                <w:rStyle w:val="95"/>
                <w:szCs w:val="21"/>
              </w:rPr>
            </w:pPr>
          </w:p>
        </w:tc>
        <w:tc>
          <w:tcPr>
            <w:tcW w:w="2482" w:type="dxa"/>
            <w:tcBorders>
              <w:top w:val="single" w:color="000000" w:sz="4" w:space="0"/>
              <w:left w:val="single" w:color="000000" w:sz="4" w:space="0"/>
              <w:bottom w:val="single" w:color="000000" w:sz="4" w:space="0"/>
              <w:right w:val="single" w:color="000000" w:sz="4" w:space="0"/>
            </w:tcBorders>
            <w:vAlign w:val="center"/>
          </w:tcPr>
          <w:p w14:paraId="31431500">
            <w:pPr>
              <w:spacing w:line="360" w:lineRule="exact"/>
              <w:jc w:val="center"/>
              <w:rPr>
                <w:rStyle w:val="95"/>
                <w:rFonts w:hint="eastAsia" w:eastAsia="宋体"/>
                <w:szCs w:val="21"/>
                <w:lang w:eastAsia="zh-CN"/>
              </w:rPr>
            </w:pPr>
            <w:r>
              <w:rPr>
                <w:rStyle w:val="95"/>
                <w:rFonts w:hint="eastAsia"/>
                <w:szCs w:val="21"/>
              </w:rPr>
              <w:t>项目</w:t>
            </w:r>
            <w:r>
              <w:rPr>
                <w:rStyle w:val="95"/>
                <w:rFonts w:hint="eastAsia"/>
                <w:szCs w:val="21"/>
                <w:lang w:eastAsia="zh-CN"/>
              </w:rPr>
              <w:t>技术负责人</w:t>
            </w:r>
          </w:p>
        </w:tc>
        <w:tc>
          <w:tcPr>
            <w:tcW w:w="4948" w:type="dxa"/>
            <w:gridSpan w:val="2"/>
            <w:tcBorders>
              <w:top w:val="single" w:color="000000" w:sz="4" w:space="0"/>
              <w:left w:val="single" w:color="000000" w:sz="4" w:space="0"/>
              <w:bottom w:val="single" w:color="000000" w:sz="4" w:space="0"/>
            </w:tcBorders>
            <w:vAlign w:val="center"/>
          </w:tcPr>
          <w:p w14:paraId="5EDA0C01">
            <w:pPr>
              <w:spacing w:line="360" w:lineRule="exact"/>
              <w:rPr>
                <w:rStyle w:val="95"/>
                <w:szCs w:val="21"/>
              </w:rPr>
            </w:pPr>
            <w:r>
              <w:rPr>
                <w:rStyle w:val="95"/>
                <w:rFonts w:hint="eastAsia"/>
                <w:szCs w:val="21"/>
              </w:rPr>
              <w:t>符合第一卷第二章</w:t>
            </w:r>
            <w:r>
              <w:rPr>
                <w:rStyle w:val="95"/>
                <w:szCs w:val="21"/>
              </w:rPr>
              <w:t>“</w:t>
            </w:r>
            <w:r>
              <w:rPr>
                <w:rStyle w:val="95"/>
                <w:rFonts w:hint="eastAsia"/>
                <w:szCs w:val="21"/>
              </w:rPr>
              <w:t>投标人须知</w:t>
            </w:r>
            <w:r>
              <w:rPr>
                <w:rStyle w:val="95"/>
                <w:szCs w:val="21"/>
              </w:rPr>
              <w:t>”</w:t>
            </w:r>
            <w:r>
              <w:rPr>
                <w:rStyle w:val="95"/>
                <w:rFonts w:hint="eastAsia"/>
                <w:szCs w:val="21"/>
              </w:rPr>
              <w:t>第</w:t>
            </w:r>
            <w:r>
              <w:rPr>
                <w:rStyle w:val="95"/>
                <w:szCs w:val="21"/>
              </w:rPr>
              <w:t>1.4.1</w:t>
            </w:r>
            <w:r>
              <w:rPr>
                <w:rStyle w:val="95"/>
                <w:rFonts w:hint="eastAsia"/>
                <w:szCs w:val="21"/>
              </w:rPr>
              <w:t>项规定</w:t>
            </w:r>
          </w:p>
        </w:tc>
      </w:tr>
      <w:tr w14:paraId="4D1CE530">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471" w:hRule="atLeast"/>
        </w:trPr>
        <w:tc>
          <w:tcPr>
            <w:tcW w:w="851" w:type="dxa"/>
            <w:vMerge w:val="continue"/>
            <w:tcBorders>
              <w:top w:val="nil"/>
              <w:bottom w:val="single" w:color="000000" w:sz="4" w:space="0"/>
              <w:right w:val="single" w:color="000000" w:sz="4" w:space="0"/>
            </w:tcBorders>
            <w:vAlign w:val="center"/>
          </w:tcPr>
          <w:p w14:paraId="02A52840">
            <w:pPr>
              <w:spacing w:line="360" w:lineRule="exact"/>
              <w:jc w:val="center"/>
              <w:rPr>
                <w:rStyle w:val="95"/>
                <w:szCs w:val="21"/>
              </w:rPr>
            </w:pPr>
          </w:p>
        </w:tc>
        <w:tc>
          <w:tcPr>
            <w:tcW w:w="1564" w:type="dxa"/>
            <w:vMerge w:val="continue"/>
            <w:tcBorders>
              <w:top w:val="nil"/>
              <w:left w:val="nil"/>
              <w:bottom w:val="single" w:color="000000" w:sz="4" w:space="0"/>
              <w:right w:val="single" w:color="000000" w:sz="4" w:space="0"/>
            </w:tcBorders>
            <w:vAlign w:val="center"/>
          </w:tcPr>
          <w:p w14:paraId="4A79B020">
            <w:pPr>
              <w:spacing w:line="360" w:lineRule="exact"/>
              <w:jc w:val="center"/>
              <w:rPr>
                <w:rStyle w:val="95"/>
                <w:szCs w:val="21"/>
              </w:rPr>
            </w:pPr>
          </w:p>
        </w:tc>
        <w:tc>
          <w:tcPr>
            <w:tcW w:w="2482" w:type="dxa"/>
            <w:tcBorders>
              <w:top w:val="single" w:color="000000" w:sz="4" w:space="0"/>
              <w:left w:val="single" w:color="000000" w:sz="4" w:space="0"/>
              <w:bottom w:val="single" w:color="000000" w:sz="4" w:space="0"/>
              <w:right w:val="single" w:color="000000" w:sz="4" w:space="0"/>
            </w:tcBorders>
            <w:vAlign w:val="center"/>
          </w:tcPr>
          <w:p w14:paraId="59CF30A6">
            <w:pPr>
              <w:spacing w:line="360" w:lineRule="exact"/>
              <w:jc w:val="center"/>
              <w:rPr>
                <w:rStyle w:val="95"/>
                <w:szCs w:val="21"/>
              </w:rPr>
            </w:pPr>
            <w:r>
              <w:rPr>
                <w:rStyle w:val="95"/>
                <w:rFonts w:hint="eastAsia"/>
                <w:szCs w:val="21"/>
              </w:rPr>
              <w:t>项目管理机构及人员</w:t>
            </w:r>
          </w:p>
        </w:tc>
        <w:tc>
          <w:tcPr>
            <w:tcW w:w="4948" w:type="dxa"/>
            <w:gridSpan w:val="2"/>
            <w:tcBorders>
              <w:top w:val="single" w:color="000000" w:sz="4" w:space="0"/>
              <w:left w:val="single" w:color="000000" w:sz="4" w:space="0"/>
              <w:bottom w:val="single" w:color="000000" w:sz="4" w:space="0"/>
            </w:tcBorders>
            <w:vAlign w:val="center"/>
          </w:tcPr>
          <w:p w14:paraId="35A85C8D">
            <w:pPr>
              <w:spacing w:line="360" w:lineRule="exact"/>
              <w:rPr>
                <w:rStyle w:val="95"/>
                <w:szCs w:val="21"/>
              </w:rPr>
            </w:pPr>
            <w:r>
              <w:rPr>
                <w:rStyle w:val="95"/>
                <w:rFonts w:hint="eastAsia"/>
                <w:szCs w:val="21"/>
              </w:rPr>
              <w:t>符合第一卷第二章</w:t>
            </w:r>
            <w:r>
              <w:rPr>
                <w:rStyle w:val="95"/>
                <w:szCs w:val="21"/>
              </w:rPr>
              <w:t>“</w:t>
            </w:r>
            <w:r>
              <w:rPr>
                <w:rStyle w:val="95"/>
                <w:rFonts w:hint="eastAsia"/>
                <w:szCs w:val="21"/>
              </w:rPr>
              <w:t>投标人须知</w:t>
            </w:r>
            <w:r>
              <w:rPr>
                <w:rStyle w:val="95"/>
                <w:szCs w:val="21"/>
              </w:rPr>
              <w:t>”</w:t>
            </w:r>
            <w:r>
              <w:rPr>
                <w:rStyle w:val="95"/>
                <w:rFonts w:hint="eastAsia"/>
                <w:szCs w:val="21"/>
              </w:rPr>
              <w:t>第</w:t>
            </w:r>
            <w:r>
              <w:rPr>
                <w:rStyle w:val="95"/>
                <w:szCs w:val="21"/>
              </w:rPr>
              <w:t>1.4.1</w:t>
            </w:r>
            <w:r>
              <w:rPr>
                <w:rStyle w:val="95"/>
                <w:rFonts w:hint="eastAsia"/>
                <w:szCs w:val="21"/>
              </w:rPr>
              <w:t>项规定</w:t>
            </w:r>
          </w:p>
        </w:tc>
      </w:tr>
      <w:tr w14:paraId="64827FC2">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471" w:hRule="atLeast"/>
        </w:trPr>
        <w:tc>
          <w:tcPr>
            <w:tcW w:w="851" w:type="dxa"/>
            <w:vMerge w:val="restart"/>
            <w:tcBorders>
              <w:top w:val="single" w:color="000000" w:sz="4" w:space="0"/>
              <w:bottom w:val="single" w:color="000000" w:sz="4" w:space="0"/>
              <w:right w:val="single" w:color="000000" w:sz="4" w:space="0"/>
            </w:tcBorders>
            <w:vAlign w:val="center"/>
          </w:tcPr>
          <w:p w14:paraId="0E418937">
            <w:pPr>
              <w:spacing w:line="360" w:lineRule="exact"/>
              <w:jc w:val="center"/>
              <w:rPr>
                <w:rStyle w:val="95"/>
                <w:szCs w:val="21"/>
              </w:rPr>
            </w:pPr>
          </w:p>
          <w:p w14:paraId="22EDDF88">
            <w:pPr>
              <w:spacing w:line="360" w:lineRule="exact"/>
              <w:jc w:val="center"/>
              <w:rPr>
                <w:rStyle w:val="95"/>
                <w:szCs w:val="21"/>
              </w:rPr>
            </w:pPr>
            <w:r>
              <w:rPr>
                <w:rStyle w:val="95"/>
                <w:szCs w:val="21"/>
              </w:rPr>
              <w:t>3.1.3</w:t>
            </w:r>
          </w:p>
        </w:tc>
        <w:tc>
          <w:tcPr>
            <w:tcW w:w="1564" w:type="dxa"/>
            <w:vMerge w:val="restart"/>
            <w:tcBorders>
              <w:top w:val="single" w:color="000000" w:sz="4" w:space="0"/>
              <w:left w:val="single" w:color="000000" w:sz="4" w:space="0"/>
              <w:bottom w:val="single" w:color="000000" w:sz="4" w:space="0"/>
              <w:right w:val="single" w:color="000000" w:sz="4" w:space="0"/>
            </w:tcBorders>
            <w:vAlign w:val="center"/>
          </w:tcPr>
          <w:p w14:paraId="7123643B">
            <w:pPr>
              <w:spacing w:line="360" w:lineRule="exact"/>
              <w:jc w:val="center"/>
              <w:rPr>
                <w:rStyle w:val="95"/>
                <w:szCs w:val="21"/>
              </w:rPr>
            </w:pPr>
          </w:p>
          <w:p w14:paraId="785EDC91">
            <w:pPr>
              <w:spacing w:line="360" w:lineRule="exact"/>
              <w:jc w:val="center"/>
              <w:rPr>
                <w:rStyle w:val="95"/>
                <w:szCs w:val="21"/>
              </w:rPr>
            </w:pPr>
            <w:r>
              <w:rPr>
                <w:rStyle w:val="95"/>
                <w:rFonts w:hint="eastAsia"/>
                <w:szCs w:val="21"/>
              </w:rPr>
              <w:t>响应性评审标准</w:t>
            </w:r>
          </w:p>
        </w:tc>
        <w:tc>
          <w:tcPr>
            <w:tcW w:w="2482" w:type="dxa"/>
            <w:tcBorders>
              <w:top w:val="single" w:color="000000" w:sz="4" w:space="0"/>
              <w:left w:val="single" w:color="000000" w:sz="4" w:space="0"/>
              <w:bottom w:val="single" w:color="000000" w:sz="4" w:space="0"/>
              <w:right w:val="single" w:color="000000" w:sz="4" w:space="0"/>
            </w:tcBorders>
            <w:vAlign w:val="center"/>
          </w:tcPr>
          <w:p w14:paraId="0829DBDB">
            <w:pPr>
              <w:spacing w:line="360" w:lineRule="exact"/>
              <w:jc w:val="center"/>
              <w:rPr>
                <w:rStyle w:val="95"/>
                <w:szCs w:val="21"/>
              </w:rPr>
            </w:pPr>
            <w:r>
              <w:rPr>
                <w:rStyle w:val="95"/>
                <w:rFonts w:hint="eastAsia"/>
                <w:szCs w:val="21"/>
              </w:rPr>
              <w:t>投标内容</w:t>
            </w:r>
          </w:p>
        </w:tc>
        <w:tc>
          <w:tcPr>
            <w:tcW w:w="4948" w:type="dxa"/>
            <w:gridSpan w:val="2"/>
            <w:tcBorders>
              <w:top w:val="single" w:color="000000" w:sz="4" w:space="0"/>
              <w:left w:val="single" w:color="000000" w:sz="4" w:space="0"/>
              <w:bottom w:val="single" w:color="000000" w:sz="4" w:space="0"/>
            </w:tcBorders>
            <w:vAlign w:val="center"/>
          </w:tcPr>
          <w:p w14:paraId="2FC296B4">
            <w:pPr>
              <w:spacing w:line="360" w:lineRule="exact"/>
              <w:rPr>
                <w:rStyle w:val="95"/>
                <w:szCs w:val="21"/>
              </w:rPr>
            </w:pPr>
            <w:r>
              <w:rPr>
                <w:rStyle w:val="95"/>
                <w:rFonts w:hint="eastAsia"/>
                <w:szCs w:val="21"/>
              </w:rPr>
              <w:t>符合第一卷第二章</w:t>
            </w:r>
            <w:r>
              <w:rPr>
                <w:rStyle w:val="95"/>
                <w:szCs w:val="21"/>
              </w:rPr>
              <w:t>“</w:t>
            </w:r>
            <w:r>
              <w:rPr>
                <w:rStyle w:val="95"/>
                <w:rFonts w:hint="eastAsia"/>
                <w:szCs w:val="21"/>
              </w:rPr>
              <w:t>投标人须知</w:t>
            </w:r>
            <w:r>
              <w:rPr>
                <w:rStyle w:val="95"/>
                <w:szCs w:val="21"/>
              </w:rPr>
              <w:t>”</w:t>
            </w:r>
            <w:r>
              <w:rPr>
                <w:rStyle w:val="95"/>
                <w:rFonts w:hint="eastAsia"/>
                <w:szCs w:val="21"/>
              </w:rPr>
              <w:t>第</w:t>
            </w:r>
            <w:r>
              <w:rPr>
                <w:rStyle w:val="95"/>
                <w:szCs w:val="21"/>
              </w:rPr>
              <w:t>1.3.1</w:t>
            </w:r>
            <w:r>
              <w:rPr>
                <w:rStyle w:val="95"/>
                <w:rFonts w:hint="eastAsia"/>
                <w:szCs w:val="21"/>
              </w:rPr>
              <w:t>项规定</w:t>
            </w:r>
          </w:p>
        </w:tc>
      </w:tr>
      <w:tr w14:paraId="26F07824">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471" w:hRule="atLeast"/>
        </w:trPr>
        <w:tc>
          <w:tcPr>
            <w:tcW w:w="851" w:type="dxa"/>
            <w:vMerge w:val="continue"/>
            <w:tcBorders>
              <w:top w:val="single" w:color="000000" w:sz="4" w:space="0"/>
              <w:bottom w:val="single" w:color="000000" w:sz="4" w:space="0"/>
              <w:right w:val="single" w:color="000000" w:sz="4" w:space="0"/>
            </w:tcBorders>
            <w:vAlign w:val="center"/>
          </w:tcPr>
          <w:p w14:paraId="0E5C5644">
            <w:pPr>
              <w:spacing w:line="360" w:lineRule="exact"/>
              <w:jc w:val="center"/>
              <w:rPr>
                <w:rStyle w:val="95"/>
                <w:szCs w:val="21"/>
              </w:rPr>
            </w:pPr>
          </w:p>
        </w:tc>
        <w:tc>
          <w:tcPr>
            <w:tcW w:w="1564" w:type="dxa"/>
            <w:vMerge w:val="continue"/>
            <w:tcBorders>
              <w:top w:val="single" w:color="000000" w:sz="4" w:space="0"/>
              <w:left w:val="single" w:color="000000" w:sz="4" w:space="0"/>
              <w:bottom w:val="single" w:color="000000" w:sz="4" w:space="0"/>
              <w:right w:val="single" w:color="000000" w:sz="4" w:space="0"/>
            </w:tcBorders>
            <w:vAlign w:val="center"/>
          </w:tcPr>
          <w:p w14:paraId="4DD4128B">
            <w:pPr>
              <w:spacing w:line="360" w:lineRule="exact"/>
              <w:jc w:val="center"/>
              <w:rPr>
                <w:rStyle w:val="95"/>
                <w:szCs w:val="21"/>
              </w:rPr>
            </w:pPr>
          </w:p>
        </w:tc>
        <w:tc>
          <w:tcPr>
            <w:tcW w:w="2482" w:type="dxa"/>
            <w:tcBorders>
              <w:top w:val="single" w:color="000000" w:sz="4" w:space="0"/>
              <w:left w:val="single" w:color="000000" w:sz="4" w:space="0"/>
              <w:bottom w:val="single" w:color="000000" w:sz="4" w:space="0"/>
              <w:right w:val="single" w:color="000000" w:sz="4" w:space="0"/>
            </w:tcBorders>
            <w:vAlign w:val="center"/>
          </w:tcPr>
          <w:p w14:paraId="6E1CCCD7">
            <w:pPr>
              <w:spacing w:line="360" w:lineRule="exact"/>
              <w:jc w:val="center"/>
              <w:rPr>
                <w:rStyle w:val="95"/>
                <w:szCs w:val="21"/>
              </w:rPr>
            </w:pPr>
            <w:r>
              <w:rPr>
                <w:rStyle w:val="95"/>
                <w:rFonts w:hint="eastAsia"/>
                <w:szCs w:val="21"/>
              </w:rPr>
              <w:t>工期</w:t>
            </w:r>
          </w:p>
        </w:tc>
        <w:tc>
          <w:tcPr>
            <w:tcW w:w="4948" w:type="dxa"/>
            <w:gridSpan w:val="2"/>
            <w:tcBorders>
              <w:top w:val="single" w:color="000000" w:sz="4" w:space="0"/>
              <w:left w:val="single" w:color="000000" w:sz="4" w:space="0"/>
              <w:bottom w:val="single" w:color="000000" w:sz="4" w:space="0"/>
            </w:tcBorders>
            <w:vAlign w:val="center"/>
          </w:tcPr>
          <w:p w14:paraId="2D4B7B80">
            <w:pPr>
              <w:spacing w:line="360" w:lineRule="exact"/>
              <w:rPr>
                <w:rStyle w:val="95"/>
                <w:szCs w:val="21"/>
              </w:rPr>
            </w:pPr>
            <w:r>
              <w:rPr>
                <w:rStyle w:val="95"/>
                <w:rFonts w:hint="eastAsia"/>
                <w:szCs w:val="21"/>
              </w:rPr>
              <w:t>符合第一卷第二章</w:t>
            </w:r>
            <w:r>
              <w:rPr>
                <w:rStyle w:val="95"/>
                <w:szCs w:val="21"/>
              </w:rPr>
              <w:t>“</w:t>
            </w:r>
            <w:r>
              <w:rPr>
                <w:rStyle w:val="95"/>
                <w:rFonts w:hint="eastAsia"/>
                <w:szCs w:val="21"/>
              </w:rPr>
              <w:t>投标人须知</w:t>
            </w:r>
            <w:r>
              <w:rPr>
                <w:rStyle w:val="95"/>
                <w:szCs w:val="21"/>
              </w:rPr>
              <w:t>”</w:t>
            </w:r>
            <w:r>
              <w:rPr>
                <w:rStyle w:val="95"/>
                <w:rFonts w:hint="eastAsia"/>
                <w:szCs w:val="21"/>
              </w:rPr>
              <w:t>第</w:t>
            </w:r>
            <w:r>
              <w:rPr>
                <w:rStyle w:val="95"/>
                <w:szCs w:val="21"/>
              </w:rPr>
              <w:t>1.3.2</w:t>
            </w:r>
            <w:r>
              <w:rPr>
                <w:rStyle w:val="95"/>
                <w:rFonts w:hint="eastAsia"/>
                <w:szCs w:val="21"/>
              </w:rPr>
              <w:t>项规定</w:t>
            </w:r>
          </w:p>
        </w:tc>
      </w:tr>
      <w:tr w14:paraId="35225090">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471" w:hRule="atLeast"/>
        </w:trPr>
        <w:tc>
          <w:tcPr>
            <w:tcW w:w="851" w:type="dxa"/>
            <w:vMerge w:val="continue"/>
            <w:tcBorders>
              <w:top w:val="single" w:color="000000" w:sz="4" w:space="0"/>
              <w:bottom w:val="single" w:color="000000" w:sz="4" w:space="0"/>
              <w:right w:val="single" w:color="000000" w:sz="4" w:space="0"/>
            </w:tcBorders>
            <w:vAlign w:val="center"/>
          </w:tcPr>
          <w:p w14:paraId="3E8ABA74">
            <w:pPr>
              <w:spacing w:line="360" w:lineRule="exact"/>
              <w:jc w:val="center"/>
              <w:rPr>
                <w:rStyle w:val="95"/>
                <w:szCs w:val="21"/>
              </w:rPr>
            </w:pPr>
          </w:p>
        </w:tc>
        <w:tc>
          <w:tcPr>
            <w:tcW w:w="1564" w:type="dxa"/>
            <w:vMerge w:val="continue"/>
            <w:tcBorders>
              <w:top w:val="single" w:color="000000" w:sz="4" w:space="0"/>
              <w:left w:val="single" w:color="000000" w:sz="4" w:space="0"/>
              <w:bottom w:val="single" w:color="000000" w:sz="4" w:space="0"/>
              <w:right w:val="single" w:color="000000" w:sz="4" w:space="0"/>
            </w:tcBorders>
            <w:vAlign w:val="center"/>
          </w:tcPr>
          <w:p w14:paraId="6D4A4300">
            <w:pPr>
              <w:spacing w:line="360" w:lineRule="exact"/>
              <w:jc w:val="center"/>
              <w:rPr>
                <w:rStyle w:val="95"/>
                <w:szCs w:val="21"/>
              </w:rPr>
            </w:pPr>
          </w:p>
        </w:tc>
        <w:tc>
          <w:tcPr>
            <w:tcW w:w="2482" w:type="dxa"/>
            <w:tcBorders>
              <w:top w:val="single" w:color="000000" w:sz="4" w:space="0"/>
              <w:left w:val="single" w:color="000000" w:sz="4" w:space="0"/>
              <w:bottom w:val="single" w:color="000000" w:sz="4" w:space="0"/>
              <w:right w:val="single" w:color="000000" w:sz="4" w:space="0"/>
            </w:tcBorders>
            <w:vAlign w:val="center"/>
          </w:tcPr>
          <w:p w14:paraId="1E7FF6B6">
            <w:pPr>
              <w:spacing w:line="360" w:lineRule="exact"/>
              <w:jc w:val="center"/>
              <w:rPr>
                <w:rStyle w:val="95"/>
                <w:szCs w:val="21"/>
              </w:rPr>
            </w:pPr>
            <w:r>
              <w:rPr>
                <w:rStyle w:val="95"/>
                <w:rFonts w:hint="eastAsia"/>
                <w:szCs w:val="21"/>
              </w:rPr>
              <w:t>质量标准</w:t>
            </w:r>
          </w:p>
        </w:tc>
        <w:tc>
          <w:tcPr>
            <w:tcW w:w="4948" w:type="dxa"/>
            <w:gridSpan w:val="2"/>
            <w:tcBorders>
              <w:top w:val="single" w:color="000000" w:sz="4" w:space="0"/>
              <w:left w:val="single" w:color="000000" w:sz="4" w:space="0"/>
              <w:bottom w:val="single" w:color="000000" w:sz="4" w:space="0"/>
            </w:tcBorders>
            <w:vAlign w:val="center"/>
          </w:tcPr>
          <w:p w14:paraId="25E37AE1">
            <w:pPr>
              <w:spacing w:line="360" w:lineRule="exact"/>
              <w:rPr>
                <w:rStyle w:val="95"/>
                <w:szCs w:val="21"/>
              </w:rPr>
            </w:pPr>
            <w:r>
              <w:rPr>
                <w:rStyle w:val="95"/>
                <w:rFonts w:hint="eastAsia"/>
                <w:szCs w:val="21"/>
              </w:rPr>
              <w:t>符合第一卷第二章</w:t>
            </w:r>
            <w:r>
              <w:rPr>
                <w:rStyle w:val="95"/>
                <w:szCs w:val="21"/>
              </w:rPr>
              <w:t>“</w:t>
            </w:r>
            <w:r>
              <w:rPr>
                <w:rStyle w:val="95"/>
                <w:rFonts w:hint="eastAsia"/>
                <w:szCs w:val="21"/>
              </w:rPr>
              <w:t>投标人须知</w:t>
            </w:r>
            <w:r>
              <w:rPr>
                <w:rStyle w:val="95"/>
                <w:szCs w:val="21"/>
              </w:rPr>
              <w:t>”</w:t>
            </w:r>
            <w:r>
              <w:rPr>
                <w:rStyle w:val="95"/>
                <w:rFonts w:hint="eastAsia"/>
                <w:szCs w:val="21"/>
              </w:rPr>
              <w:t>第</w:t>
            </w:r>
            <w:r>
              <w:rPr>
                <w:rStyle w:val="95"/>
                <w:szCs w:val="21"/>
              </w:rPr>
              <w:t>1.3.3</w:t>
            </w:r>
            <w:r>
              <w:rPr>
                <w:rStyle w:val="95"/>
                <w:rFonts w:hint="eastAsia"/>
                <w:szCs w:val="21"/>
              </w:rPr>
              <w:t>项规定</w:t>
            </w:r>
          </w:p>
        </w:tc>
      </w:tr>
      <w:tr w14:paraId="065B2F52">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471" w:hRule="atLeast"/>
        </w:trPr>
        <w:tc>
          <w:tcPr>
            <w:tcW w:w="851" w:type="dxa"/>
            <w:vMerge w:val="continue"/>
            <w:tcBorders>
              <w:top w:val="single" w:color="000000" w:sz="4" w:space="0"/>
              <w:bottom w:val="single" w:color="000000" w:sz="4" w:space="0"/>
              <w:right w:val="single" w:color="000000" w:sz="4" w:space="0"/>
            </w:tcBorders>
            <w:vAlign w:val="center"/>
          </w:tcPr>
          <w:p w14:paraId="3377DCA5">
            <w:pPr>
              <w:spacing w:line="360" w:lineRule="exact"/>
              <w:jc w:val="center"/>
              <w:rPr>
                <w:rStyle w:val="95"/>
                <w:szCs w:val="21"/>
              </w:rPr>
            </w:pPr>
          </w:p>
        </w:tc>
        <w:tc>
          <w:tcPr>
            <w:tcW w:w="1564" w:type="dxa"/>
            <w:vMerge w:val="continue"/>
            <w:tcBorders>
              <w:top w:val="single" w:color="000000" w:sz="4" w:space="0"/>
              <w:left w:val="single" w:color="000000" w:sz="4" w:space="0"/>
              <w:bottom w:val="single" w:color="000000" w:sz="4" w:space="0"/>
              <w:right w:val="single" w:color="000000" w:sz="4" w:space="0"/>
            </w:tcBorders>
            <w:vAlign w:val="center"/>
          </w:tcPr>
          <w:p w14:paraId="5821B4D8">
            <w:pPr>
              <w:spacing w:line="360" w:lineRule="exact"/>
              <w:jc w:val="center"/>
              <w:rPr>
                <w:rStyle w:val="95"/>
                <w:szCs w:val="21"/>
              </w:rPr>
            </w:pPr>
          </w:p>
        </w:tc>
        <w:tc>
          <w:tcPr>
            <w:tcW w:w="2482" w:type="dxa"/>
            <w:tcBorders>
              <w:top w:val="single" w:color="000000" w:sz="4" w:space="0"/>
              <w:left w:val="single" w:color="000000" w:sz="4" w:space="0"/>
              <w:bottom w:val="single" w:color="000000" w:sz="4" w:space="0"/>
              <w:right w:val="single" w:color="000000" w:sz="4" w:space="0"/>
            </w:tcBorders>
            <w:vAlign w:val="center"/>
          </w:tcPr>
          <w:p w14:paraId="4FF8A8C1">
            <w:pPr>
              <w:spacing w:line="360" w:lineRule="exact"/>
              <w:jc w:val="center"/>
              <w:rPr>
                <w:szCs w:val="21"/>
              </w:rPr>
            </w:pPr>
            <w:r>
              <w:rPr>
                <w:rStyle w:val="95"/>
                <w:rFonts w:hint="eastAsia"/>
                <w:szCs w:val="21"/>
              </w:rPr>
              <w:t>分包计划</w:t>
            </w:r>
          </w:p>
        </w:tc>
        <w:tc>
          <w:tcPr>
            <w:tcW w:w="4948" w:type="dxa"/>
            <w:gridSpan w:val="2"/>
            <w:tcBorders>
              <w:top w:val="single" w:color="000000" w:sz="4" w:space="0"/>
              <w:left w:val="single" w:color="000000" w:sz="4" w:space="0"/>
              <w:bottom w:val="single" w:color="000000" w:sz="4" w:space="0"/>
            </w:tcBorders>
            <w:vAlign w:val="center"/>
          </w:tcPr>
          <w:p w14:paraId="200CA460">
            <w:pPr>
              <w:spacing w:line="360" w:lineRule="exact"/>
              <w:jc w:val="left"/>
              <w:rPr>
                <w:szCs w:val="21"/>
              </w:rPr>
            </w:pPr>
            <w:r>
              <w:rPr>
                <w:rStyle w:val="95"/>
                <w:rFonts w:hint="eastAsia"/>
                <w:szCs w:val="21"/>
              </w:rPr>
              <w:t>符合第一卷第二章</w:t>
            </w:r>
            <w:r>
              <w:rPr>
                <w:rStyle w:val="95"/>
                <w:szCs w:val="21"/>
              </w:rPr>
              <w:t>“</w:t>
            </w:r>
            <w:r>
              <w:rPr>
                <w:rStyle w:val="95"/>
                <w:rFonts w:hint="eastAsia"/>
                <w:szCs w:val="21"/>
              </w:rPr>
              <w:t>投标人须知</w:t>
            </w:r>
            <w:r>
              <w:rPr>
                <w:rStyle w:val="95"/>
                <w:szCs w:val="21"/>
              </w:rPr>
              <w:t>”</w:t>
            </w:r>
            <w:r>
              <w:rPr>
                <w:rStyle w:val="95"/>
                <w:rFonts w:hint="eastAsia"/>
                <w:szCs w:val="21"/>
              </w:rPr>
              <w:t>第</w:t>
            </w:r>
            <w:r>
              <w:rPr>
                <w:rStyle w:val="95"/>
                <w:szCs w:val="21"/>
              </w:rPr>
              <w:t>1.11</w:t>
            </w:r>
            <w:r>
              <w:rPr>
                <w:rStyle w:val="95"/>
                <w:rFonts w:hint="eastAsia"/>
                <w:szCs w:val="21"/>
              </w:rPr>
              <w:t>款规定</w:t>
            </w:r>
          </w:p>
        </w:tc>
      </w:tr>
      <w:tr w14:paraId="3F467851">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471" w:hRule="atLeast"/>
        </w:trPr>
        <w:tc>
          <w:tcPr>
            <w:tcW w:w="851" w:type="dxa"/>
            <w:vMerge w:val="continue"/>
            <w:tcBorders>
              <w:top w:val="single" w:color="000000" w:sz="4" w:space="0"/>
              <w:bottom w:val="single" w:color="000000" w:sz="4" w:space="0"/>
              <w:right w:val="single" w:color="000000" w:sz="4" w:space="0"/>
            </w:tcBorders>
            <w:vAlign w:val="center"/>
          </w:tcPr>
          <w:p w14:paraId="578AC89C">
            <w:pPr>
              <w:spacing w:line="360" w:lineRule="exact"/>
              <w:jc w:val="center"/>
              <w:rPr>
                <w:rStyle w:val="95"/>
                <w:szCs w:val="21"/>
              </w:rPr>
            </w:pPr>
          </w:p>
        </w:tc>
        <w:tc>
          <w:tcPr>
            <w:tcW w:w="1564" w:type="dxa"/>
            <w:vMerge w:val="continue"/>
            <w:tcBorders>
              <w:top w:val="single" w:color="000000" w:sz="4" w:space="0"/>
              <w:left w:val="single" w:color="000000" w:sz="4" w:space="0"/>
              <w:bottom w:val="single" w:color="000000" w:sz="4" w:space="0"/>
              <w:right w:val="single" w:color="000000" w:sz="4" w:space="0"/>
            </w:tcBorders>
            <w:vAlign w:val="center"/>
          </w:tcPr>
          <w:p w14:paraId="5E6DAAC5">
            <w:pPr>
              <w:spacing w:line="360" w:lineRule="exact"/>
              <w:jc w:val="center"/>
              <w:rPr>
                <w:rStyle w:val="95"/>
                <w:szCs w:val="21"/>
              </w:rPr>
            </w:pPr>
          </w:p>
        </w:tc>
        <w:tc>
          <w:tcPr>
            <w:tcW w:w="2482" w:type="dxa"/>
            <w:tcBorders>
              <w:top w:val="single" w:color="000000" w:sz="4" w:space="0"/>
              <w:left w:val="single" w:color="000000" w:sz="4" w:space="0"/>
              <w:bottom w:val="single" w:color="000000" w:sz="4" w:space="0"/>
              <w:right w:val="single" w:color="000000" w:sz="4" w:space="0"/>
            </w:tcBorders>
            <w:vAlign w:val="center"/>
          </w:tcPr>
          <w:p w14:paraId="3998ED83">
            <w:pPr>
              <w:spacing w:line="360" w:lineRule="exact"/>
              <w:jc w:val="center"/>
              <w:rPr>
                <w:rStyle w:val="95"/>
                <w:szCs w:val="21"/>
              </w:rPr>
            </w:pPr>
            <w:r>
              <w:rPr>
                <w:rStyle w:val="95"/>
                <w:rFonts w:hint="eastAsia"/>
                <w:szCs w:val="21"/>
              </w:rPr>
              <w:t>投标报价</w:t>
            </w:r>
          </w:p>
        </w:tc>
        <w:tc>
          <w:tcPr>
            <w:tcW w:w="4948" w:type="dxa"/>
            <w:gridSpan w:val="2"/>
            <w:tcBorders>
              <w:top w:val="single" w:color="000000" w:sz="4" w:space="0"/>
              <w:left w:val="single" w:color="000000" w:sz="4" w:space="0"/>
              <w:bottom w:val="single" w:color="000000" w:sz="4" w:space="0"/>
            </w:tcBorders>
            <w:vAlign w:val="center"/>
          </w:tcPr>
          <w:p w14:paraId="0E70E228">
            <w:pPr>
              <w:spacing w:line="360" w:lineRule="exact"/>
              <w:rPr>
                <w:rStyle w:val="95"/>
                <w:szCs w:val="21"/>
              </w:rPr>
            </w:pPr>
            <w:r>
              <w:rPr>
                <w:rStyle w:val="95"/>
                <w:rFonts w:hint="eastAsia"/>
                <w:szCs w:val="21"/>
              </w:rPr>
              <w:t>符合第一卷第二章</w:t>
            </w:r>
            <w:r>
              <w:rPr>
                <w:rStyle w:val="95"/>
                <w:szCs w:val="21"/>
              </w:rPr>
              <w:t>“</w:t>
            </w:r>
            <w:r>
              <w:rPr>
                <w:rStyle w:val="95"/>
                <w:rFonts w:hint="eastAsia"/>
                <w:szCs w:val="21"/>
              </w:rPr>
              <w:t>投标人须知</w:t>
            </w:r>
            <w:r>
              <w:rPr>
                <w:rStyle w:val="95"/>
                <w:szCs w:val="21"/>
              </w:rPr>
              <w:t>”</w:t>
            </w:r>
            <w:r>
              <w:rPr>
                <w:rStyle w:val="95"/>
                <w:rFonts w:hint="eastAsia"/>
                <w:szCs w:val="21"/>
              </w:rPr>
              <w:t>第</w:t>
            </w:r>
            <w:r>
              <w:rPr>
                <w:rStyle w:val="95"/>
                <w:szCs w:val="21"/>
              </w:rPr>
              <w:t>3.2</w:t>
            </w:r>
            <w:r>
              <w:rPr>
                <w:rStyle w:val="95"/>
                <w:rFonts w:hint="eastAsia"/>
                <w:szCs w:val="21"/>
              </w:rPr>
              <w:t>款规定</w:t>
            </w:r>
          </w:p>
        </w:tc>
      </w:tr>
      <w:tr w14:paraId="31334CD0">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471" w:hRule="atLeast"/>
        </w:trPr>
        <w:tc>
          <w:tcPr>
            <w:tcW w:w="851" w:type="dxa"/>
            <w:vMerge w:val="continue"/>
            <w:tcBorders>
              <w:top w:val="single" w:color="000000" w:sz="4" w:space="0"/>
              <w:bottom w:val="single" w:color="000000" w:sz="4" w:space="0"/>
              <w:right w:val="single" w:color="000000" w:sz="4" w:space="0"/>
            </w:tcBorders>
            <w:vAlign w:val="center"/>
          </w:tcPr>
          <w:p w14:paraId="46051D9C">
            <w:pPr>
              <w:spacing w:line="360" w:lineRule="exact"/>
              <w:jc w:val="center"/>
              <w:rPr>
                <w:rStyle w:val="95"/>
                <w:szCs w:val="21"/>
              </w:rPr>
            </w:pPr>
          </w:p>
        </w:tc>
        <w:tc>
          <w:tcPr>
            <w:tcW w:w="1564" w:type="dxa"/>
            <w:vMerge w:val="continue"/>
            <w:tcBorders>
              <w:top w:val="single" w:color="000000" w:sz="4" w:space="0"/>
              <w:left w:val="single" w:color="000000" w:sz="4" w:space="0"/>
              <w:bottom w:val="single" w:color="000000" w:sz="4" w:space="0"/>
              <w:right w:val="single" w:color="000000" w:sz="4" w:space="0"/>
            </w:tcBorders>
            <w:vAlign w:val="center"/>
          </w:tcPr>
          <w:p w14:paraId="456DFDCE">
            <w:pPr>
              <w:spacing w:line="360" w:lineRule="exact"/>
              <w:jc w:val="center"/>
              <w:rPr>
                <w:rStyle w:val="95"/>
                <w:szCs w:val="21"/>
              </w:rPr>
            </w:pPr>
          </w:p>
        </w:tc>
        <w:tc>
          <w:tcPr>
            <w:tcW w:w="2482" w:type="dxa"/>
            <w:tcBorders>
              <w:top w:val="single" w:color="000000" w:sz="4" w:space="0"/>
              <w:left w:val="single" w:color="000000" w:sz="4" w:space="0"/>
              <w:bottom w:val="single" w:color="000000" w:sz="4" w:space="0"/>
              <w:right w:val="single" w:color="000000" w:sz="4" w:space="0"/>
            </w:tcBorders>
            <w:vAlign w:val="center"/>
          </w:tcPr>
          <w:p w14:paraId="2F620FBB">
            <w:pPr>
              <w:spacing w:line="360" w:lineRule="exact"/>
              <w:jc w:val="center"/>
              <w:rPr>
                <w:rStyle w:val="95"/>
                <w:szCs w:val="21"/>
              </w:rPr>
            </w:pPr>
            <w:r>
              <w:rPr>
                <w:rStyle w:val="95"/>
                <w:rFonts w:hint="eastAsia"/>
                <w:szCs w:val="21"/>
              </w:rPr>
              <w:t>投标有效期</w:t>
            </w:r>
          </w:p>
        </w:tc>
        <w:tc>
          <w:tcPr>
            <w:tcW w:w="4948" w:type="dxa"/>
            <w:gridSpan w:val="2"/>
            <w:tcBorders>
              <w:top w:val="single" w:color="000000" w:sz="4" w:space="0"/>
              <w:left w:val="single" w:color="000000" w:sz="4" w:space="0"/>
              <w:bottom w:val="single" w:color="000000" w:sz="4" w:space="0"/>
            </w:tcBorders>
            <w:vAlign w:val="center"/>
          </w:tcPr>
          <w:p w14:paraId="5CCBB56A">
            <w:pPr>
              <w:spacing w:line="360" w:lineRule="exact"/>
              <w:rPr>
                <w:rStyle w:val="95"/>
                <w:szCs w:val="21"/>
              </w:rPr>
            </w:pPr>
            <w:r>
              <w:rPr>
                <w:rStyle w:val="95"/>
                <w:rFonts w:hint="eastAsia"/>
                <w:szCs w:val="21"/>
              </w:rPr>
              <w:t>符合第一卷第二章</w:t>
            </w:r>
            <w:r>
              <w:rPr>
                <w:rStyle w:val="95"/>
                <w:szCs w:val="21"/>
              </w:rPr>
              <w:t>“</w:t>
            </w:r>
            <w:r>
              <w:rPr>
                <w:rStyle w:val="95"/>
                <w:rFonts w:hint="eastAsia"/>
                <w:szCs w:val="21"/>
              </w:rPr>
              <w:t>投标人须知</w:t>
            </w:r>
            <w:r>
              <w:rPr>
                <w:rStyle w:val="95"/>
                <w:szCs w:val="21"/>
              </w:rPr>
              <w:t>”</w:t>
            </w:r>
            <w:r>
              <w:rPr>
                <w:rStyle w:val="95"/>
                <w:rFonts w:hint="eastAsia"/>
                <w:szCs w:val="21"/>
              </w:rPr>
              <w:t>第</w:t>
            </w:r>
            <w:r>
              <w:rPr>
                <w:rStyle w:val="95"/>
                <w:szCs w:val="21"/>
              </w:rPr>
              <w:t>3.3.1</w:t>
            </w:r>
            <w:r>
              <w:rPr>
                <w:rStyle w:val="95"/>
                <w:rFonts w:hint="eastAsia"/>
                <w:szCs w:val="21"/>
              </w:rPr>
              <w:t>项规定</w:t>
            </w:r>
          </w:p>
        </w:tc>
      </w:tr>
      <w:tr w14:paraId="23790EB4">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471" w:hRule="atLeast"/>
        </w:trPr>
        <w:tc>
          <w:tcPr>
            <w:tcW w:w="851" w:type="dxa"/>
            <w:vMerge w:val="continue"/>
            <w:tcBorders>
              <w:top w:val="single" w:color="000000" w:sz="4" w:space="0"/>
              <w:bottom w:val="single" w:color="000000" w:sz="4" w:space="0"/>
              <w:right w:val="single" w:color="000000" w:sz="4" w:space="0"/>
            </w:tcBorders>
            <w:vAlign w:val="center"/>
          </w:tcPr>
          <w:p w14:paraId="3DF18389">
            <w:pPr>
              <w:spacing w:line="360" w:lineRule="exact"/>
              <w:jc w:val="center"/>
              <w:rPr>
                <w:rStyle w:val="95"/>
                <w:szCs w:val="21"/>
              </w:rPr>
            </w:pPr>
          </w:p>
        </w:tc>
        <w:tc>
          <w:tcPr>
            <w:tcW w:w="1564" w:type="dxa"/>
            <w:vMerge w:val="continue"/>
            <w:tcBorders>
              <w:top w:val="single" w:color="000000" w:sz="4" w:space="0"/>
              <w:left w:val="single" w:color="000000" w:sz="4" w:space="0"/>
              <w:bottom w:val="single" w:color="000000" w:sz="4" w:space="0"/>
              <w:right w:val="single" w:color="000000" w:sz="4" w:space="0"/>
            </w:tcBorders>
            <w:vAlign w:val="center"/>
          </w:tcPr>
          <w:p w14:paraId="1AD0E4E0">
            <w:pPr>
              <w:spacing w:line="360" w:lineRule="exact"/>
              <w:jc w:val="center"/>
              <w:rPr>
                <w:rStyle w:val="95"/>
                <w:szCs w:val="21"/>
              </w:rPr>
            </w:pPr>
          </w:p>
        </w:tc>
        <w:tc>
          <w:tcPr>
            <w:tcW w:w="2482" w:type="dxa"/>
            <w:tcBorders>
              <w:top w:val="single" w:color="000000" w:sz="4" w:space="0"/>
              <w:left w:val="single" w:color="000000" w:sz="4" w:space="0"/>
              <w:bottom w:val="single" w:color="000000" w:sz="4" w:space="0"/>
              <w:right w:val="single" w:color="000000" w:sz="4" w:space="0"/>
            </w:tcBorders>
            <w:vAlign w:val="center"/>
          </w:tcPr>
          <w:p w14:paraId="4E0A9CBC">
            <w:pPr>
              <w:spacing w:line="360" w:lineRule="exact"/>
              <w:jc w:val="center"/>
              <w:rPr>
                <w:rStyle w:val="95"/>
                <w:szCs w:val="21"/>
              </w:rPr>
            </w:pPr>
            <w:r>
              <w:rPr>
                <w:rStyle w:val="95"/>
                <w:rFonts w:hint="eastAsia"/>
                <w:szCs w:val="21"/>
              </w:rPr>
              <w:t>投标保证金</w:t>
            </w:r>
          </w:p>
        </w:tc>
        <w:tc>
          <w:tcPr>
            <w:tcW w:w="4948" w:type="dxa"/>
            <w:gridSpan w:val="2"/>
            <w:tcBorders>
              <w:top w:val="single" w:color="000000" w:sz="4" w:space="0"/>
              <w:left w:val="single" w:color="000000" w:sz="4" w:space="0"/>
              <w:bottom w:val="single" w:color="000000" w:sz="4" w:space="0"/>
            </w:tcBorders>
            <w:vAlign w:val="center"/>
          </w:tcPr>
          <w:p w14:paraId="159719E5">
            <w:pPr>
              <w:spacing w:line="360" w:lineRule="exact"/>
              <w:rPr>
                <w:rStyle w:val="95"/>
                <w:rFonts w:hint="eastAsia"/>
                <w:szCs w:val="21"/>
              </w:rPr>
            </w:pPr>
            <w:r>
              <w:rPr>
                <w:rStyle w:val="95"/>
                <w:rFonts w:hint="eastAsia"/>
                <w:szCs w:val="21"/>
              </w:rPr>
              <w:t>符合第一卷第二章</w:t>
            </w:r>
            <w:r>
              <w:rPr>
                <w:rStyle w:val="95"/>
                <w:szCs w:val="21"/>
              </w:rPr>
              <w:t>“</w:t>
            </w:r>
            <w:r>
              <w:rPr>
                <w:rStyle w:val="95"/>
                <w:rFonts w:hint="eastAsia"/>
                <w:szCs w:val="21"/>
              </w:rPr>
              <w:t>投标人须知</w:t>
            </w:r>
            <w:r>
              <w:rPr>
                <w:rStyle w:val="95"/>
                <w:szCs w:val="21"/>
              </w:rPr>
              <w:t>”</w:t>
            </w:r>
            <w:r>
              <w:rPr>
                <w:rStyle w:val="95"/>
                <w:rFonts w:hint="eastAsia"/>
                <w:szCs w:val="21"/>
              </w:rPr>
              <w:t>第</w:t>
            </w:r>
            <w:r>
              <w:rPr>
                <w:rStyle w:val="95"/>
                <w:szCs w:val="21"/>
              </w:rPr>
              <w:t>3.4</w:t>
            </w:r>
            <w:r>
              <w:rPr>
                <w:rStyle w:val="95"/>
                <w:rFonts w:hint="eastAsia"/>
                <w:szCs w:val="21"/>
              </w:rPr>
              <w:t>款规定</w:t>
            </w:r>
          </w:p>
          <w:p w14:paraId="71B8CEE8">
            <w:pPr>
              <w:spacing w:line="360" w:lineRule="exact"/>
              <w:rPr>
                <w:rStyle w:val="95"/>
                <w:rFonts w:hint="eastAsia"/>
                <w:szCs w:val="21"/>
              </w:rPr>
            </w:pPr>
          </w:p>
        </w:tc>
      </w:tr>
      <w:tr w14:paraId="6CA7A2ED">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471" w:hRule="atLeast"/>
        </w:trPr>
        <w:tc>
          <w:tcPr>
            <w:tcW w:w="851" w:type="dxa"/>
            <w:vMerge w:val="continue"/>
            <w:tcBorders>
              <w:top w:val="single" w:color="000000" w:sz="4" w:space="0"/>
              <w:bottom w:val="single" w:color="000000" w:sz="4" w:space="0"/>
              <w:right w:val="single" w:color="000000" w:sz="4" w:space="0"/>
            </w:tcBorders>
            <w:vAlign w:val="center"/>
          </w:tcPr>
          <w:p w14:paraId="18494C0A">
            <w:pPr>
              <w:spacing w:line="360" w:lineRule="exact"/>
              <w:jc w:val="center"/>
              <w:rPr>
                <w:rStyle w:val="95"/>
                <w:szCs w:val="21"/>
              </w:rPr>
            </w:pPr>
          </w:p>
        </w:tc>
        <w:tc>
          <w:tcPr>
            <w:tcW w:w="1564" w:type="dxa"/>
            <w:vMerge w:val="continue"/>
            <w:tcBorders>
              <w:top w:val="single" w:color="000000" w:sz="4" w:space="0"/>
              <w:left w:val="single" w:color="000000" w:sz="4" w:space="0"/>
              <w:bottom w:val="single" w:color="000000" w:sz="4" w:space="0"/>
              <w:right w:val="single" w:color="000000" w:sz="4" w:space="0"/>
            </w:tcBorders>
            <w:vAlign w:val="center"/>
          </w:tcPr>
          <w:p w14:paraId="08161520">
            <w:pPr>
              <w:spacing w:line="360" w:lineRule="exact"/>
              <w:jc w:val="center"/>
              <w:rPr>
                <w:rStyle w:val="95"/>
                <w:szCs w:val="21"/>
              </w:rPr>
            </w:pPr>
          </w:p>
        </w:tc>
        <w:tc>
          <w:tcPr>
            <w:tcW w:w="2482" w:type="dxa"/>
            <w:tcBorders>
              <w:top w:val="single" w:color="000000" w:sz="4" w:space="0"/>
              <w:left w:val="single" w:color="000000" w:sz="4" w:space="0"/>
              <w:bottom w:val="single" w:color="000000" w:sz="4" w:space="0"/>
              <w:right w:val="single" w:color="000000" w:sz="4" w:space="0"/>
            </w:tcBorders>
            <w:vAlign w:val="center"/>
          </w:tcPr>
          <w:p w14:paraId="0DBFF9FE">
            <w:pPr>
              <w:spacing w:line="360" w:lineRule="exact"/>
              <w:jc w:val="center"/>
              <w:rPr>
                <w:rStyle w:val="95"/>
                <w:szCs w:val="21"/>
              </w:rPr>
            </w:pPr>
            <w:r>
              <w:rPr>
                <w:rStyle w:val="95"/>
                <w:rFonts w:hint="eastAsia"/>
                <w:szCs w:val="21"/>
              </w:rPr>
              <w:t>权利义务</w:t>
            </w:r>
          </w:p>
        </w:tc>
        <w:tc>
          <w:tcPr>
            <w:tcW w:w="4948" w:type="dxa"/>
            <w:gridSpan w:val="2"/>
            <w:tcBorders>
              <w:top w:val="single" w:color="000000" w:sz="4" w:space="0"/>
              <w:left w:val="single" w:color="000000" w:sz="4" w:space="0"/>
              <w:bottom w:val="single" w:color="000000" w:sz="4" w:space="0"/>
            </w:tcBorders>
            <w:vAlign w:val="center"/>
          </w:tcPr>
          <w:p w14:paraId="236D968C">
            <w:pPr>
              <w:spacing w:line="320" w:lineRule="exact"/>
              <w:rPr>
                <w:rStyle w:val="95"/>
                <w:rFonts w:hint="eastAsia"/>
                <w:spacing w:val="-6"/>
                <w:szCs w:val="21"/>
              </w:rPr>
            </w:pPr>
            <w:r>
              <w:rPr>
                <w:rStyle w:val="95"/>
                <w:rFonts w:hint="eastAsia"/>
                <w:spacing w:val="-6"/>
                <w:szCs w:val="21"/>
              </w:rPr>
              <w:t>符合第一卷第四章</w:t>
            </w:r>
            <w:r>
              <w:rPr>
                <w:rStyle w:val="95"/>
                <w:spacing w:val="-6"/>
                <w:szCs w:val="21"/>
              </w:rPr>
              <w:t>“</w:t>
            </w:r>
            <w:r>
              <w:rPr>
                <w:rStyle w:val="95"/>
                <w:rFonts w:hint="eastAsia"/>
                <w:spacing w:val="-6"/>
                <w:szCs w:val="21"/>
              </w:rPr>
              <w:t>合同条款及格式</w:t>
            </w:r>
            <w:r>
              <w:rPr>
                <w:rStyle w:val="95"/>
                <w:spacing w:val="-6"/>
                <w:szCs w:val="21"/>
              </w:rPr>
              <w:t>”</w:t>
            </w:r>
            <w:r>
              <w:rPr>
                <w:rStyle w:val="95"/>
                <w:rFonts w:hint="eastAsia"/>
                <w:spacing w:val="-6"/>
                <w:szCs w:val="21"/>
              </w:rPr>
              <w:t>规定的权利义务</w:t>
            </w:r>
          </w:p>
          <w:p w14:paraId="1E25B0C1">
            <w:pPr>
              <w:spacing w:line="320" w:lineRule="exact"/>
              <w:rPr>
                <w:rStyle w:val="95"/>
                <w:rFonts w:hint="eastAsia"/>
                <w:spacing w:val="-6"/>
                <w:szCs w:val="21"/>
              </w:rPr>
            </w:pPr>
          </w:p>
        </w:tc>
      </w:tr>
      <w:tr w14:paraId="72FFDC42">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471" w:hRule="atLeast"/>
        </w:trPr>
        <w:tc>
          <w:tcPr>
            <w:tcW w:w="851" w:type="dxa"/>
            <w:vMerge w:val="continue"/>
            <w:tcBorders>
              <w:top w:val="single" w:color="000000" w:sz="4" w:space="0"/>
              <w:bottom w:val="single" w:color="000000" w:sz="4" w:space="0"/>
              <w:right w:val="single" w:color="000000" w:sz="4" w:space="0"/>
            </w:tcBorders>
            <w:vAlign w:val="center"/>
          </w:tcPr>
          <w:p w14:paraId="38F6C72A">
            <w:pPr>
              <w:spacing w:line="360" w:lineRule="exact"/>
              <w:jc w:val="center"/>
              <w:rPr>
                <w:rStyle w:val="95"/>
                <w:szCs w:val="21"/>
              </w:rPr>
            </w:pPr>
          </w:p>
        </w:tc>
        <w:tc>
          <w:tcPr>
            <w:tcW w:w="1564" w:type="dxa"/>
            <w:vMerge w:val="continue"/>
            <w:tcBorders>
              <w:top w:val="single" w:color="000000" w:sz="4" w:space="0"/>
              <w:left w:val="single" w:color="000000" w:sz="4" w:space="0"/>
              <w:bottom w:val="single" w:color="000000" w:sz="4" w:space="0"/>
              <w:right w:val="single" w:color="000000" w:sz="4" w:space="0"/>
            </w:tcBorders>
            <w:vAlign w:val="center"/>
          </w:tcPr>
          <w:p w14:paraId="3EF7AA36">
            <w:pPr>
              <w:spacing w:line="360" w:lineRule="exact"/>
              <w:jc w:val="center"/>
              <w:rPr>
                <w:rStyle w:val="95"/>
                <w:szCs w:val="21"/>
              </w:rPr>
            </w:pPr>
          </w:p>
        </w:tc>
        <w:tc>
          <w:tcPr>
            <w:tcW w:w="2482" w:type="dxa"/>
            <w:tcBorders>
              <w:top w:val="single" w:color="000000" w:sz="4" w:space="0"/>
              <w:left w:val="single" w:color="000000" w:sz="4" w:space="0"/>
              <w:bottom w:val="single" w:color="000000" w:sz="4" w:space="0"/>
              <w:right w:val="single" w:color="000000" w:sz="4" w:space="0"/>
            </w:tcBorders>
            <w:vAlign w:val="center"/>
          </w:tcPr>
          <w:p w14:paraId="254CABF4">
            <w:pPr>
              <w:spacing w:line="360" w:lineRule="exact"/>
              <w:jc w:val="center"/>
              <w:rPr>
                <w:szCs w:val="21"/>
              </w:rPr>
            </w:pPr>
            <w:r>
              <w:rPr>
                <w:rStyle w:val="95"/>
                <w:rFonts w:hint="eastAsia"/>
                <w:szCs w:val="21"/>
              </w:rPr>
              <w:t>承包人建议</w:t>
            </w:r>
          </w:p>
        </w:tc>
        <w:tc>
          <w:tcPr>
            <w:tcW w:w="4948" w:type="dxa"/>
            <w:gridSpan w:val="2"/>
            <w:tcBorders>
              <w:top w:val="single" w:color="000000" w:sz="4" w:space="0"/>
              <w:left w:val="single" w:color="000000" w:sz="4" w:space="0"/>
              <w:bottom w:val="single" w:color="000000" w:sz="4" w:space="0"/>
            </w:tcBorders>
            <w:vAlign w:val="center"/>
          </w:tcPr>
          <w:p w14:paraId="2BCC6A1A">
            <w:pPr>
              <w:spacing w:line="360" w:lineRule="exact"/>
              <w:rPr>
                <w:rStyle w:val="95"/>
                <w:rFonts w:hint="eastAsia"/>
                <w:szCs w:val="21"/>
              </w:rPr>
            </w:pPr>
            <w:r>
              <w:rPr>
                <w:rStyle w:val="95"/>
                <w:rFonts w:hint="eastAsia"/>
                <w:szCs w:val="21"/>
              </w:rPr>
              <w:t>符合第二卷第一章</w:t>
            </w:r>
            <w:r>
              <w:rPr>
                <w:rStyle w:val="95"/>
                <w:szCs w:val="21"/>
              </w:rPr>
              <w:t>“</w:t>
            </w:r>
            <w:r>
              <w:rPr>
                <w:rStyle w:val="95"/>
                <w:rFonts w:hint="eastAsia"/>
                <w:szCs w:val="21"/>
              </w:rPr>
              <w:t>发包人要求</w:t>
            </w:r>
            <w:r>
              <w:rPr>
                <w:rStyle w:val="95"/>
                <w:szCs w:val="21"/>
              </w:rPr>
              <w:t>”</w:t>
            </w:r>
            <w:r>
              <w:rPr>
                <w:rStyle w:val="95"/>
                <w:rFonts w:hint="eastAsia"/>
                <w:szCs w:val="21"/>
              </w:rPr>
              <w:t>的规定</w:t>
            </w:r>
          </w:p>
          <w:p w14:paraId="6D954925">
            <w:pPr>
              <w:spacing w:line="360" w:lineRule="exact"/>
              <w:rPr>
                <w:rStyle w:val="95"/>
                <w:rFonts w:hint="eastAsia"/>
                <w:szCs w:val="21"/>
              </w:rPr>
            </w:pPr>
          </w:p>
        </w:tc>
      </w:tr>
      <w:tr w14:paraId="1EEF2487">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gridAfter w:val="1"/>
          <w:wAfter w:w="256" w:type="dxa"/>
          <w:trHeight w:val="471" w:hRule="atLeast"/>
        </w:trPr>
        <w:tc>
          <w:tcPr>
            <w:tcW w:w="2415" w:type="dxa"/>
            <w:gridSpan w:val="2"/>
            <w:tcBorders>
              <w:top w:val="single" w:color="000000" w:sz="4" w:space="0"/>
              <w:right w:val="single" w:color="000000" w:sz="4" w:space="0"/>
            </w:tcBorders>
            <w:vAlign w:val="center"/>
          </w:tcPr>
          <w:p w14:paraId="38EDDA23">
            <w:pPr>
              <w:spacing w:line="360" w:lineRule="exact"/>
              <w:jc w:val="center"/>
              <w:rPr>
                <w:rStyle w:val="95"/>
                <w:b/>
                <w:szCs w:val="21"/>
              </w:rPr>
            </w:pPr>
            <w:r>
              <w:rPr>
                <w:rStyle w:val="95"/>
                <w:rFonts w:hint="eastAsia"/>
                <w:b/>
                <w:szCs w:val="21"/>
              </w:rPr>
              <w:t>条款号</w:t>
            </w:r>
          </w:p>
        </w:tc>
        <w:tc>
          <w:tcPr>
            <w:tcW w:w="2482" w:type="dxa"/>
            <w:tcBorders>
              <w:top w:val="single" w:color="000000" w:sz="4" w:space="0"/>
              <w:left w:val="single" w:color="000000" w:sz="4" w:space="0"/>
              <w:bottom w:val="single" w:color="000000" w:sz="4" w:space="0"/>
              <w:right w:val="single" w:color="000000" w:sz="4" w:space="0"/>
            </w:tcBorders>
            <w:vAlign w:val="center"/>
          </w:tcPr>
          <w:p w14:paraId="265B2209">
            <w:pPr>
              <w:spacing w:line="360" w:lineRule="exact"/>
              <w:jc w:val="center"/>
              <w:rPr>
                <w:rStyle w:val="95"/>
                <w:b/>
                <w:szCs w:val="21"/>
              </w:rPr>
            </w:pPr>
            <w:r>
              <w:rPr>
                <w:rStyle w:val="95"/>
                <w:rFonts w:hint="eastAsia"/>
                <w:b/>
                <w:szCs w:val="21"/>
              </w:rPr>
              <w:t>评审因素</w:t>
            </w:r>
          </w:p>
        </w:tc>
        <w:tc>
          <w:tcPr>
            <w:tcW w:w="4692" w:type="dxa"/>
            <w:tcBorders>
              <w:top w:val="single" w:color="000000" w:sz="4" w:space="0"/>
              <w:left w:val="single" w:color="000000" w:sz="4" w:space="0"/>
              <w:bottom w:val="single" w:color="000000" w:sz="4" w:space="0"/>
            </w:tcBorders>
            <w:vAlign w:val="center"/>
          </w:tcPr>
          <w:p w14:paraId="2A9C45E7">
            <w:pPr>
              <w:spacing w:line="360" w:lineRule="exact"/>
              <w:jc w:val="center"/>
              <w:rPr>
                <w:rStyle w:val="95"/>
                <w:b/>
                <w:szCs w:val="21"/>
              </w:rPr>
            </w:pPr>
            <w:r>
              <w:rPr>
                <w:rStyle w:val="95"/>
                <w:rFonts w:hint="eastAsia"/>
                <w:b/>
                <w:szCs w:val="21"/>
              </w:rPr>
              <w:t>评审标准</w:t>
            </w:r>
          </w:p>
        </w:tc>
      </w:tr>
      <w:tr w14:paraId="3F3E3771">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gridAfter w:val="1"/>
          <w:wAfter w:w="256" w:type="dxa"/>
          <w:trHeight w:val="471" w:hRule="atLeast"/>
        </w:trPr>
        <w:tc>
          <w:tcPr>
            <w:tcW w:w="851" w:type="dxa"/>
            <w:vMerge w:val="restart"/>
            <w:tcBorders>
              <w:top w:val="single" w:color="auto" w:sz="4" w:space="0"/>
              <w:left w:val="single" w:color="auto" w:sz="4" w:space="0"/>
              <w:right w:val="single" w:color="auto" w:sz="4" w:space="0"/>
            </w:tcBorders>
            <w:vAlign w:val="center"/>
          </w:tcPr>
          <w:p w14:paraId="70700028">
            <w:pPr>
              <w:jc w:val="center"/>
              <w:rPr>
                <w:rFonts w:hint="default" w:ascii="宋体" w:hAnsi="宋体" w:eastAsia="宋体" w:cs="Times New Roman"/>
                <w:b/>
                <w:bCs/>
                <w:color w:val="FF0000"/>
                <w:kern w:val="2"/>
                <w:sz w:val="21"/>
                <w:szCs w:val="21"/>
                <w:lang w:val="en-US" w:eastAsia="zh-CN" w:bidi="ar-SA"/>
              </w:rPr>
            </w:pPr>
            <w:r>
              <w:rPr>
                <w:rFonts w:hint="eastAsia" w:ascii="宋体" w:hAnsi="宋体"/>
                <w:b/>
                <w:bCs/>
                <w:color w:val="FF0000"/>
                <w:szCs w:val="21"/>
                <w:lang w:val="en-US" w:eastAsia="zh-CN"/>
              </w:rPr>
              <w:t>1.1.4</w:t>
            </w:r>
          </w:p>
        </w:tc>
        <w:tc>
          <w:tcPr>
            <w:tcW w:w="1564" w:type="dxa"/>
            <w:vMerge w:val="restart"/>
            <w:tcBorders>
              <w:top w:val="single" w:color="auto" w:sz="4" w:space="0"/>
              <w:left w:val="single" w:color="auto" w:sz="4" w:space="0"/>
              <w:right w:val="single" w:color="auto" w:sz="4" w:space="0"/>
            </w:tcBorders>
            <w:vAlign w:val="center"/>
          </w:tcPr>
          <w:p w14:paraId="190ECFFF">
            <w:pPr>
              <w:jc w:val="center"/>
              <w:rPr>
                <w:rFonts w:ascii="宋体" w:hAnsi="宋体" w:eastAsia="宋体" w:cs="Times New Roman"/>
                <w:b/>
                <w:bCs/>
                <w:color w:val="FF0000"/>
                <w:kern w:val="2"/>
                <w:sz w:val="21"/>
                <w:szCs w:val="21"/>
                <w:lang w:val="en-US" w:eastAsia="zh-CN" w:bidi="ar-SA"/>
              </w:rPr>
            </w:pPr>
            <w:r>
              <w:rPr>
                <w:rFonts w:hint="eastAsia" w:ascii="宋体" w:hAnsi="宋体"/>
                <w:b/>
                <w:bCs/>
                <w:color w:val="FF0000"/>
                <w:szCs w:val="21"/>
                <w:lang w:eastAsia="zh-CN"/>
              </w:rPr>
              <w:t>投标偏差</w:t>
            </w:r>
          </w:p>
        </w:tc>
        <w:tc>
          <w:tcPr>
            <w:tcW w:w="2482" w:type="dxa"/>
            <w:tcBorders>
              <w:top w:val="single" w:color="000000" w:sz="4" w:space="0"/>
              <w:left w:val="single" w:color="auto" w:sz="4" w:space="0"/>
              <w:bottom w:val="single" w:color="000000" w:sz="4" w:space="0"/>
              <w:right w:val="single" w:color="000000" w:sz="4" w:space="0"/>
            </w:tcBorders>
            <w:vAlign w:val="center"/>
          </w:tcPr>
          <w:p w14:paraId="5C07C0C1">
            <w:pPr>
              <w:jc w:val="center"/>
              <w:rPr>
                <w:rFonts w:hint="eastAsia" w:ascii="宋体" w:hAnsi="宋体" w:eastAsia="宋体" w:cs="Times New Roman"/>
                <w:b/>
                <w:bCs/>
                <w:color w:val="FF0000"/>
                <w:kern w:val="2"/>
                <w:sz w:val="21"/>
                <w:szCs w:val="21"/>
                <w:lang w:val="en-US" w:eastAsia="zh-CN" w:bidi="ar-SA"/>
              </w:rPr>
            </w:pPr>
            <w:r>
              <w:rPr>
                <w:rFonts w:hint="eastAsia" w:ascii="宋体" w:hAnsi="宋体"/>
                <w:b/>
                <w:bCs/>
                <w:color w:val="FF0000"/>
                <w:szCs w:val="21"/>
                <w:lang w:eastAsia="zh-CN"/>
              </w:rPr>
              <w:t>重大偏差</w:t>
            </w:r>
          </w:p>
        </w:tc>
        <w:tc>
          <w:tcPr>
            <w:tcW w:w="4692" w:type="dxa"/>
            <w:tcBorders>
              <w:top w:val="single" w:color="000000" w:sz="4" w:space="0"/>
              <w:left w:val="single" w:color="000000" w:sz="4" w:space="0"/>
              <w:bottom w:val="single" w:color="000000" w:sz="4" w:space="0"/>
            </w:tcBorders>
            <w:vAlign w:val="center"/>
          </w:tcPr>
          <w:p w14:paraId="27F144FD">
            <w:pPr>
              <w:rPr>
                <w:rFonts w:hint="eastAsia" w:ascii="宋体" w:hAnsi="宋体" w:eastAsia="宋体" w:cs="Times New Roman"/>
                <w:b/>
                <w:bCs/>
                <w:color w:val="FF0000"/>
                <w:szCs w:val="21"/>
              </w:rPr>
            </w:pPr>
            <w:r>
              <w:rPr>
                <w:rFonts w:hint="eastAsia" w:ascii="宋体" w:hAnsi="宋体" w:eastAsia="宋体" w:cs="Times New Roman"/>
                <w:b/>
                <w:bCs/>
                <w:color w:val="FF0000"/>
                <w:szCs w:val="21"/>
                <w:lang w:eastAsia="zh-CN"/>
              </w:rPr>
              <w:t>（</w:t>
            </w:r>
            <w:r>
              <w:rPr>
                <w:rFonts w:hint="eastAsia" w:ascii="宋体" w:hAnsi="宋体" w:eastAsia="宋体" w:cs="Times New Roman"/>
                <w:b/>
                <w:bCs/>
                <w:color w:val="FF0000"/>
                <w:szCs w:val="21"/>
              </w:rPr>
              <w:t>一</w:t>
            </w:r>
            <w:r>
              <w:rPr>
                <w:rFonts w:hint="eastAsia" w:ascii="宋体" w:hAnsi="宋体" w:eastAsia="宋体" w:cs="Times New Roman"/>
                <w:b/>
                <w:bCs/>
                <w:color w:val="FF0000"/>
                <w:szCs w:val="21"/>
                <w:lang w:eastAsia="zh-CN"/>
              </w:rPr>
              <w:t>）未按招标文件要求提交投标担保的或者所提交的投标担保不符合有关规定的</w:t>
            </w:r>
            <w:r>
              <w:rPr>
                <w:rFonts w:hint="eastAsia" w:ascii="宋体" w:hAnsi="宋体" w:eastAsia="宋体" w:cs="Times New Roman"/>
                <w:b/>
                <w:bCs/>
                <w:color w:val="FF0000"/>
                <w:szCs w:val="21"/>
                <w:lang w:val="en-US" w:eastAsia="zh-CN"/>
              </w:rPr>
              <w:t>。</w:t>
            </w:r>
          </w:p>
          <w:p w14:paraId="4E5FAFFB">
            <w:pPr>
              <w:rPr>
                <w:rFonts w:hint="eastAsia" w:ascii="宋体" w:hAnsi="宋体" w:eastAsia="宋体" w:cs="Times New Roman"/>
                <w:b/>
                <w:bCs/>
                <w:color w:val="FF0000"/>
                <w:szCs w:val="21"/>
                <w:lang w:eastAsia="zh-CN"/>
              </w:rPr>
            </w:pPr>
            <w:r>
              <w:rPr>
                <w:rFonts w:hint="eastAsia" w:ascii="宋体" w:hAnsi="宋体" w:eastAsia="宋体" w:cs="Times New Roman"/>
                <w:b/>
                <w:bCs/>
                <w:color w:val="FF0000"/>
                <w:szCs w:val="21"/>
                <w:lang w:eastAsia="zh-CN"/>
              </w:rPr>
              <w:t>（二）</w:t>
            </w:r>
            <w:r>
              <w:rPr>
                <w:rFonts w:hint="eastAsia" w:ascii="宋体" w:hAnsi="宋体" w:eastAsia="宋体" w:cs="Times New Roman"/>
                <w:b/>
                <w:bCs/>
                <w:color w:val="FF0000"/>
                <w:szCs w:val="21"/>
                <w:lang w:val="en-US" w:eastAsia="zh-CN"/>
              </w:rPr>
              <w:t>投标文件未经投标人法定代表人或委托代理人签字和加盖公章的。</w:t>
            </w:r>
          </w:p>
          <w:p w14:paraId="6003B5BD">
            <w:pPr>
              <w:rPr>
                <w:rFonts w:hint="eastAsia" w:ascii="宋体" w:hAnsi="宋体" w:eastAsia="宋体" w:cs="Times New Roman"/>
                <w:b/>
                <w:bCs/>
                <w:color w:val="FF0000"/>
                <w:szCs w:val="21"/>
                <w:lang w:eastAsia="zh-CN"/>
              </w:rPr>
            </w:pPr>
            <w:r>
              <w:rPr>
                <w:rFonts w:hint="eastAsia" w:ascii="宋体" w:hAnsi="宋体" w:eastAsia="宋体" w:cs="Times New Roman"/>
                <w:b/>
                <w:bCs/>
                <w:color w:val="FF0000"/>
                <w:szCs w:val="21"/>
                <w:lang w:eastAsia="zh-CN"/>
              </w:rPr>
              <w:t>（三）</w:t>
            </w:r>
            <w:r>
              <w:rPr>
                <w:rFonts w:hint="eastAsia" w:ascii="宋体" w:hAnsi="宋体" w:eastAsia="宋体" w:cs="Times New Roman"/>
                <w:b/>
                <w:bCs/>
                <w:color w:val="FF0000"/>
                <w:szCs w:val="21"/>
                <w:lang w:val="en-US" w:eastAsia="zh-CN"/>
              </w:rPr>
              <w:t>投标文件载明的招标项目完成期限超过招标文件规定的期限</w:t>
            </w:r>
            <w:r>
              <w:rPr>
                <w:rFonts w:hint="eastAsia" w:ascii="宋体" w:hAnsi="宋体" w:eastAsia="宋体" w:cs="Times New Roman"/>
                <w:b/>
                <w:bCs/>
                <w:color w:val="FF0000"/>
                <w:szCs w:val="21"/>
                <w:lang w:eastAsia="zh-CN"/>
              </w:rPr>
              <w:t>。</w:t>
            </w:r>
          </w:p>
          <w:p w14:paraId="7D8BB028">
            <w:pPr>
              <w:rPr>
                <w:rFonts w:hint="eastAsia" w:ascii="宋体" w:hAnsi="宋体" w:eastAsia="宋体" w:cs="Times New Roman"/>
                <w:b/>
                <w:bCs/>
                <w:color w:val="FF0000"/>
                <w:szCs w:val="21"/>
                <w:lang w:eastAsia="zh-CN"/>
              </w:rPr>
            </w:pPr>
            <w:r>
              <w:rPr>
                <w:rFonts w:hint="eastAsia" w:ascii="宋体" w:hAnsi="宋体" w:eastAsia="宋体" w:cs="Times New Roman"/>
                <w:b/>
                <w:bCs/>
                <w:color w:val="FF0000"/>
                <w:szCs w:val="21"/>
                <w:lang w:eastAsia="zh-CN"/>
              </w:rPr>
              <w:t>（四）</w:t>
            </w:r>
            <w:r>
              <w:rPr>
                <w:rFonts w:hint="eastAsia" w:ascii="宋体" w:hAnsi="宋体" w:eastAsia="宋体" w:cs="Times New Roman"/>
                <w:b/>
                <w:bCs/>
                <w:color w:val="FF0000"/>
                <w:szCs w:val="21"/>
              </w:rPr>
              <w:t>明显不符合技术规格、技术标准的要求</w:t>
            </w:r>
            <w:r>
              <w:rPr>
                <w:rFonts w:hint="eastAsia" w:ascii="宋体" w:hAnsi="宋体" w:eastAsia="宋体" w:cs="Times New Roman"/>
                <w:b/>
                <w:bCs/>
                <w:color w:val="FF0000"/>
                <w:szCs w:val="21"/>
                <w:lang w:eastAsia="zh-CN"/>
              </w:rPr>
              <w:t>。</w:t>
            </w:r>
          </w:p>
          <w:p w14:paraId="12A197FE">
            <w:pPr>
              <w:rPr>
                <w:rFonts w:hint="eastAsia" w:ascii="宋体" w:hAnsi="宋体" w:eastAsia="宋体" w:cs="Times New Roman"/>
                <w:b/>
                <w:bCs/>
                <w:color w:val="FF0000"/>
                <w:szCs w:val="21"/>
                <w:lang w:eastAsia="zh-CN"/>
              </w:rPr>
            </w:pPr>
            <w:r>
              <w:rPr>
                <w:rFonts w:hint="eastAsia" w:ascii="宋体" w:hAnsi="宋体" w:eastAsia="宋体" w:cs="Times New Roman"/>
                <w:b/>
                <w:bCs/>
                <w:color w:val="FF0000"/>
                <w:szCs w:val="21"/>
                <w:lang w:eastAsia="zh-CN"/>
              </w:rPr>
              <w:t>（五）</w:t>
            </w:r>
            <w:r>
              <w:rPr>
                <w:rFonts w:hint="eastAsia" w:ascii="宋体" w:hAnsi="宋体" w:eastAsia="宋体" w:cs="Times New Roman"/>
                <w:b/>
                <w:bCs/>
                <w:color w:val="FF0000"/>
                <w:szCs w:val="21"/>
                <w:lang w:val="en-US" w:eastAsia="zh-CN"/>
              </w:rPr>
              <w:t>投标文件载明的货物包装方式、检验标准和方法等不符合招标文件的要求。</w:t>
            </w:r>
          </w:p>
          <w:p w14:paraId="218E48FC">
            <w:pPr>
              <w:rPr>
                <w:rFonts w:hint="eastAsia" w:ascii="宋体" w:hAnsi="宋体" w:eastAsia="宋体" w:cs="Times New Roman"/>
                <w:b/>
                <w:bCs/>
                <w:color w:val="FF0000"/>
                <w:szCs w:val="21"/>
                <w:lang w:eastAsia="zh-CN"/>
              </w:rPr>
            </w:pPr>
            <w:r>
              <w:rPr>
                <w:rFonts w:hint="eastAsia" w:ascii="宋体" w:hAnsi="宋体" w:eastAsia="宋体" w:cs="Times New Roman"/>
                <w:b/>
                <w:bCs/>
                <w:color w:val="FF0000"/>
                <w:szCs w:val="21"/>
                <w:lang w:eastAsia="zh-CN"/>
              </w:rPr>
              <w:t>（六）</w:t>
            </w:r>
            <w:r>
              <w:rPr>
                <w:rFonts w:hint="eastAsia" w:ascii="宋体" w:hAnsi="宋体" w:eastAsia="宋体" w:cs="Times New Roman"/>
                <w:b/>
                <w:bCs/>
                <w:color w:val="FF0000"/>
                <w:szCs w:val="21"/>
              </w:rPr>
              <w:t>投标文件附有招标人不能接受的条件</w:t>
            </w:r>
            <w:r>
              <w:rPr>
                <w:rFonts w:hint="eastAsia" w:ascii="宋体" w:hAnsi="宋体" w:eastAsia="宋体" w:cs="Times New Roman"/>
                <w:b/>
                <w:bCs/>
                <w:color w:val="FF0000"/>
                <w:szCs w:val="21"/>
                <w:lang w:eastAsia="zh-CN"/>
              </w:rPr>
              <w:t>。</w:t>
            </w:r>
          </w:p>
          <w:p w14:paraId="6DFA4535">
            <w:pPr>
              <w:rPr>
                <w:rFonts w:hint="eastAsia" w:ascii="宋体" w:hAnsi="宋体" w:eastAsia="宋体" w:cs="Times New Roman"/>
                <w:b/>
                <w:bCs/>
                <w:color w:val="FF0000"/>
                <w:szCs w:val="21"/>
              </w:rPr>
            </w:pPr>
            <w:r>
              <w:rPr>
                <w:rFonts w:hint="eastAsia" w:ascii="宋体" w:hAnsi="宋体" w:eastAsia="宋体" w:cs="Times New Roman"/>
                <w:b/>
                <w:bCs/>
                <w:color w:val="FF0000"/>
                <w:szCs w:val="21"/>
                <w:lang w:eastAsia="zh-CN"/>
              </w:rPr>
              <w:t>（七）</w:t>
            </w:r>
            <w:r>
              <w:rPr>
                <w:rFonts w:hint="eastAsia" w:ascii="宋体" w:hAnsi="宋体" w:eastAsia="宋体" w:cs="Times New Roman"/>
                <w:b/>
                <w:bCs/>
                <w:color w:val="FF0000"/>
                <w:szCs w:val="21"/>
              </w:rPr>
              <w:t>不符合招标文件中规定的其他实质性要求。</w:t>
            </w:r>
          </w:p>
          <w:p w14:paraId="3197CF5E">
            <w:pPr>
              <w:rPr>
                <w:rFonts w:ascii="宋体" w:hAnsi="宋体" w:eastAsia="宋体" w:cs="Times New Roman"/>
                <w:b/>
                <w:bCs/>
                <w:color w:val="FF0000"/>
                <w:kern w:val="2"/>
                <w:sz w:val="21"/>
                <w:szCs w:val="21"/>
                <w:lang w:val="en-US" w:eastAsia="zh-CN" w:bidi="ar-SA"/>
              </w:rPr>
            </w:pPr>
            <w:r>
              <w:rPr>
                <w:rFonts w:hint="eastAsia" w:ascii="宋体" w:hAnsi="宋体" w:eastAsia="宋体" w:cs="Times New Roman"/>
                <w:b/>
                <w:bCs/>
                <w:color w:val="FF0000"/>
                <w:szCs w:val="21"/>
                <w:lang w:eastAsia="zh-CN"/>
              </w:rPr>
              <w:t>招标文件对重大偏差另有规定的，从其规定。</w:t>
            </w:r>
          </w:p>
        </w:tc>
      </w:tr>
      <w:tr w14:paraId="161DB1D2">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gridAfter w:val="1"/>
          <w:wAfter w:w="256" w:type="dxa"/>
          <w:trHeight w:val="471" w:hRule="atLeast"/>
        </w:trPr>
        <w:tc>
          <w:tcPr>
            <w:tcW w:w="851" w:type="dxa"/>
            <w:vMerge w:val="continue"/>
            <w:tcBorders>
              <w:left w:val="single" w:color="auto" w:sz="4" w:space="0"/>
              <w:bottom w:val="single" w:color="auto" w:sz="4" w:space="0"/>
              <w:right w:val="single" w:color="auto" w:sz="4" w:space="0"/>
            </w:tcBorders>
            <w:vAlign w:val="center"/>
          </w:tcPr>
          <w:p w14:paraId="75D336B5">
            <w:pPr>
              <w:spacing w:line="360" w:lineRule="exact"/>
              <w:jc w:val="center"/>
              <w:rPr>
                <w:rStyle w:val="95"/>
                <w:szCs w:val="21"/>
              </w:rPr>
            </w:pPr>
          </w:p>
        </w:tc>
        <w:tc>
          <w:tcPr>
            <w:tcW w:w="1564" w:type="dxa"/>
            <w:vMerge w:val="continue"/>
            <w:tcBorders>
              <w:left w:val="single" w:color="auto" w:sz="4" w:space="0"/>
              <w:bottom w:val="single" w:color="auto" w:sz="4" w:space="0"/>
              <w:right w:val="single" w:color="auto" w:sz="4" w:space="0"/>
            </w:tcBorders>
            <w:vAlign w:val="center"/>
          </w:tcPr>
          <w:p w14:paraId="6E3FF53D">
            <w:pPr>
              <w:spacing w:line="360" w:lineRule="exact"/>
              <w:jc w:val="center"/>
              <w:rPr>
                <w:rStyle w:val="95"/>
                <w:b/>
                <w:szCs w:val="21"/>
              </w:rPr>
            </w:pPr>
          </w:p>
        </w:tc>
        <w:tc>
          <w:tcPr>
            <w:tcW w:w="2482" w:type="dxa"/>
            <w:tcBorders>
              <w:top w:val="single" w:color="000000" w:sz="4" w:space="0"/>
              <w:left w:val="single" w:color="auto" w:sz="4" w:space="0"/>
              <w:bottom w:val="single" w:color="000000" w:sz="4" w:space="0"/>
              <w:right w:val="single" w:color="000000" w:sz="4" w:space="0"/>
            </w:tcBorders>
            <w:vAlign w:val="center"/>
          </w:tcPr>
          <w:p w14:paraId="211B9C8C">
            <w:pPr>
              <w:jc w:val="center"/>
              <w:rPr>
                <w:rFonts w:hint="eastAsia" w:ascii="宋体" w:hAnsi="宋体" w:eastAsia="宋体" w:cs="Times New Roman"/>
                <w:b/>
                <w:bCs/>
                <w:color w:val="FF0000"/>
                <w:kern w:val="2"/>
                <w:sz w:val="21"/>
                <w:szCs w:val="21"/>
                <w:lang w:val="en-US" w:eastAsia="zh-CN" w:bidi="ar-SA"/>
              </w:rPr>
            </w:pPr>
            <w:r>
              <w:rPr>
                <w:rFonts w:hint="eastAsia" w:ascii="宋体" w:hAnsi="宋体"/>
                <w:b/>
                <w:bCs/>
                <w:color w:val="FF0000"/>
                <w:szCs w:val="21"/>
                <w:lang w:eastAsia="zh-CN"/>
              </w:rPr>
              <w:t>细微偏差</w:t>
            </w:r>
          </w:p>
        </w:tc>
        <w:tc>
          <w:tcPr>
            <w:tcW w:w="4692" w:type="dxa"/>
            <w:tcBorders>
              <w:top w:val="single" w:color="000000" w:sz="4" w:space="0"/>
              <w:left w:val="single" w:color="000000" w:sz="4" w:space="0"/>
              <w:bottom w:val="single" w:color="000000" w:sz="4" w:space="0"/>
            </w:tcBorders>
            <w:vAlign w:val="center"/>
          </w:tcPr>
          <w:p w14:paraId="059C0268">
            <w:pPr>
              <w:rPr>
                <w:rFonts w:hint="eastAsia" w:ascii="宋体" w:hAnsi="宋体" w:eastAsia="宋体" w:cs="Times New Roman"/>
                <w:b/>
                <w:bCs/>
                <w:color w:val="FF0000"/>
                <w:szCs w:val="21"/>
                <w:lang w:val="en-US" w:eastAsia="zh-CN"/>
              </w:rPr>
            </w:pPr>
            <w:r>
              <w:rPr>
                <w:rFonts w:hint="eastAsia" w:ascii="宋体" w:hAnsi="宋体" w:eastAsia="宋体" w:cs="Times New Roman"/>
                <w:b/>
                <w:bCs/>
                <w:color w:val="FF0000"/>
                <w:szCs w:val="21"/>
                <w:lang w:val="en-US" w:eastAsia="zh-CN"/>
              </w:rPr>
              <w:t>细微偏差是指投标文件在实质上响应招标文件要求，但在个别地方存在漏项或者提供了不完整的技术信息和数据等情况，并且补正这些遗漏或者不完整不会对其他投标人造成不公平结果的偏差。细微偏差不影响投标文件的有效性。</w:t>
            </w:r>
          </w:p>
          <w:p w14:paraId="3BF0717F">
            <w:pPr>
              <w:rPr>
                <w:rFonts w:hint="eastAsia" w:ascii="宋体" w:hAnsi="宋体" w:eastAsia="宋体" w:cs="Times New Roman"/>
                <w:b/>
                <w:bCs/>
                <w:color w:val="FF0000"/>
                <w:kern w:val="2"/>
                <w:sz w:val="21"/>
                <w:szCs w:val="21"/>
                <w:lang w:val="en-US" w:eastAsia="zh-CN" w:bidi="ar-SA"/>
              </w:rPr>
            </w:pPr>
            <w:r>
              <w:rPr>
                <w:rFonts w:hint="eastAsia" w:ascii="宋体" w:hAnsi="宋体" w:eastAsia="宋体" w:cs="Times New Roman"/>
                <w:b/>
                <w:bCs/>
                <w:color w:val="FF0000"/>
                <w:szCs w:val="21"/>
                <w:lang w:val="en-US" w:eastAsia="zh-CN"/>
              </w:rPr>
              <w:t>评标委员会应当将细微偏差在评标报告中载明，但不得作为否决投标理由。</w:t>
            </w:r>
          </w:p>
        </w:tc>
      </w:tr>
      <w:tr w14:paraId="2A455C13">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gridAfter w:val="1"/>
          <w:wAfter w:w="256" w:type="dxa"/>
          <w:trHeight w:val="471" w:hRule="atLeast"/>
        </w:trPr>
        <w:tc>
          <w:tcPr>
            <w:tcW w:w="851" w:type="dxa"/>
            <w:tcBorders>
              <w:top w:val="single" w:color="auto" w:sz="4" w:space="0"/>
              <w:left w:val="single" w:color="auto" w:sz="4" w:space="0"/>
              <w:bottom w:val="single" w:color="auto" w:sz="4" w:space="0"/>
              <w:right w:val="single" w:color="auto" w:sz="4" w:space="0"/>
            </w:tcBorders>
            <w:vAlign w:val="center"/>
          </w:tcPr>
          <w:p w14:paraId="27C14188">
            <w:pPr>
              <w:jc w:val="center"/>
              <w:rPr>
                <w:rFonts w:hint="default" w:ascii="宋体" w:hAnsi="宋体" w:eastAsia="宋体" w:cs="Times New Roman"/>
                <w:b/>
                <w:bCs/>
                <w:color w:val="FF0000"/>
                <w:kern w:val="2"/>
                <w:sz w:val="21"/>
                <w:szCs w:val="21"/>
                <w:lang w:val="en-US" w:eastAsia="zh-CN" w:bidi="ar-SA"/>
              </w:rPr>
            </w:pPr>
            <w:r>
              <w:rPr>
                <w:rFonts w:hint="eastAsia" w:ascii="宋体" w:hAnsi="宋体"/>
                <w:b/>
                <w:bCs/>
                <w:color w:val="FF0000"/>
                <w:szCs w:val="21"/>
                <w:lang w:val="en-US" w:eastAsia="zh-CN"/>
              </w:rPr>
              <w:t>1.1.5</w:t>
            </w:r>
          </w:p>
        </w:tc>
        <w:tc>
          <w:tcPr>
            <w:tcW w:w="1564" w:type="dxa"/>
            <w:tcBorders>
              <w:top w:val="single" w:color="auto" w:sz="4" w:space="0"/>
              <w:left w:val="single" w:color="auto" w:sz="4" w:space="0"/>
              <w:bottom w:val="single" w:color="auto" w:sz="4" w:space="0"/>
              <w:right w:val="single" w:color="auto" w:sz="4" w:space="0"/>
            </w:tcBorders>
            <w:vAlign w:val="center"/>
          </w:tcPr>
          <w:p w14:paraId="20613757">
            <w:pPr>
              <w:jc w:val="center"/>
              <w:rPr>
                <w:rFonts w:hint="eastAsia" w:ascii="宋体" w:hAnsi="宋体" w:eastAsia="宋体" w:cs="Times New Roman"/>
                <w:b/>
                <w:bCs/>
                <w:color w:val="FF0000"/>
                <w:kern w:val="2"/>
                <w:sz w:val="21"/>
                <w:szCs w:val="21"/>
                <w:lang w:val="en-US" w:eastAsia="zh-CN" w:bidi="ar-SA"/>
              </w:rPr>
            </w:pPr>
            <w:r>
              <w:rPr>
                <w:rFonts w:hint="eastAsia" w:ascii="宋体" w:hAnsi="宋体"/>
                <w:b/>
                <w:bCs/>
                <w:color w:val="FF0000"/>
                <w:szCs w:val="21"/>
                <w:lang w:eastAsia="zh-CN"/>
              </w:rPr>
              <w:t>算术错误修正</w:t>
            </w:r>
          </w:p>
        </w:tc>
        <w:tc>
          <w:tcPr>
            <w:tcW w:w="2482" w:type="dxa"/>
            <w:tcBorders>
              <w:top w:val="single" w:color="000000" w:sz="4" w:space="0"/>
              <w:left w:val="single" w:color="auto" w:sz="4" w:space="0"/>
              <w:bottom w:val="single" w:color="000000" w:sz="4" w:space="0"/>
              <w:right w:val="single" w:color="000000" w:sz="4" w:space="0"/>
            </w:tcBorders>
            <w:vAlign w:val="center"/>
          </w:tcPr>
          <w:p w14:paraId="4977FAB5">
            <w:pPr>
              <w:jc w:val="center"/>
              <w:rPr>
                <w:rFonts w:ascii="宋体" w:hAnsi="宋体" w:eastAsia="宋体" w:cs="Times New Roman"/>
                <w:b/>
                <w:bCs/>
                <w:color w:val="FF0000"/>
                <w:kern w:val="2"/>
                <w:sz w:val="21"/>
                <w:szCs w:val="21"/>
                <w:lang w:val="en-US" w:eastAsia="zh-CN" w:bidi="ar-SA"/>
              </w:rPr>
            </w:pPr>
            <w:r>
              <w:rPr>
                <w:rFonts w:hint="eastAsia" w:ascii="宋体" w:hAnsi="宋体"/>
                <w:b/>
                <w:bCs/>
                <w:color w:val="FF0000"/>
                <w:kern w:val="2"/>
                <w:sz w:val="21"/>
                <w:szCs w:val="21"/>
                <w:lang w:val="en-US" w:eastAsia="zh-CN" w:bidi="ar-SA"/>
              </w:rPr>
              <w:t>算术错误</w:t>
            </w:r>
          </w:p>
        </w:tc>
        <w:tc>
          <w:tcPr>
            <w:tcW w:w="4692" w:type="dxa"/>
            <w:tcBorders>
              <w:top w:val="single" w:color="000000" w:sz="4" w:space="0"/>
              <w:left w:val="single" w:color="000000" w:sz="4" w:space="0"/>
              <w:bottom w:val="single" w:color="000000" w:sz="4" w:space="0"/>
            </w:tcBorders>
            <w:vAlign w:val="center"/>
          </w:tcPr>
          <w:p w14:paraId="78CC5E8F">
            <w:pPr>
              <w:widowControl/>
              <w:snapToGrid w:val="0"/>
              <w:rPr>
                <w:rFonts w:hint="eastAsia" w:ascii="宋体" w:hAnsi="宋体" w:eastAsia="宋体" w:cs="Times New Roman"/>
                <w:b/>
                <w:bCs/>
                <w:color w:val="FF0000"/>
                <w:szCs w:val="21"/>
              </w:rPr>
            </w:pPr>
            <w:r>
              <w:rPr>
                <w:rFonts w:hint="eastAsia" w:ascii="宋体" w:hAnsi="宋体" w:eastAsia="宋体" w:cs="Times New Roman"/>
                <w:b/>
                <w:bCs/>
                <w:color w:val="FF0000"/>
                <w:szCs w:val="21"/>
              </w:rPr>
              <w:t>（一）用数字表示的数额与用文字表示的数额不一致时，以文字数额为准。</w:t>
            </w:r>
          </w:p>
          <w:p w14:paraId="55B67F3C">
            <w:pPr>
              <w:widowControl/>
              <w:snapToGrid w:val="0"/>
              <w:rPr>
                <w:rFonts w:hint="eastAsia" w:ascii="宋体" w:hAnsi="宋体" w:eastAsia="宋体" w:cs="Times New Roman"/>
                <w:b/>
                <w:bCs/>
                <w:color w:val="FF0000"/>
                <w:kern w:val="2"/>
                <w:sz w:val="21"/>
                <w:szCs w:val="21"/>
                <w:lang w:val="en-US" w:eastAsia="zh-CN" w:bidi="ar-SA"/>
              </w:rPr>
            </w:pPr>
            <w:r>
              <w:rPr>
                <w:rFonts w:hint="eastAsia" w:ascii="宋体" w:hAnsi="宋体" w:eastAsia="宋体" w:cs="Times New Roman"/>
                <w:b/>
                <w:bCs/>
                <w:color w:val="FF0000"/>
                <w:szCs w:val="21"/>
              </w:rPr>
              <w:t>（二）单价与工程量的乘积与合价之间不一致时，以单价为准修正合价。</w:t>
            </w:r>
          </w:p>
        </w:tc>
      </w:tr>
      <w:tr w14:paraId="1967A31C">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gridAfter w:val="1"/>
          <w:wAfter w:w="256" w:type="dxa"/>
          <w:trHeight w:val="471" w:hRule="atLeast"/>
        </w:trPr>
        <w:tc>
          <w:tcPr>
            <w:tcW w:w="851" w:type="dxa"/>
            <w:tcBorders>
              <w:top w:val="single" w:color="auto" w:sz="4" w:space="0"/>
              <w:left w:val="single" w:color="auto" w:sz="4" w:space="0"/>
              <w:bottom w:val="single" w:color="auto" w:sz="4" w:space="0"/>
              <w:right w:val="single" w:color="auto" w:sz="4" w:space="0"/>
            </w:tcBorders>
            <w:vAlign w:val="center"/>
          </w:tcPr>
          <w:p w14:paraId="1F0E7245">
            <w:pPr>
              <w:jc w:val="center"/>
              <w:rPr>
                <w:rFonts w:hint="default" w:ascii="宋体" w:hAnsi="宋体" w:eastAsia="宋体" w:cs="Times New Roman"/>
                <w:b/>
                <w:bCs/>
                <w:color w:val="FF0000"/>
                <w:kern w:val="2"/>
                <w:sz w:val="21"/>
                <w:szCs w:val="21"/>
                <w:lang w:val="en-US" w:eastAsia="zh-CN" w:bidi="ar-SA"/>
              </w:rPr>
            </w:pPr>
            <w:r>
              <w:rPr>
                <w:rFonts w:hint="eastAsia" w:ascii="宋体" w:hAnsi="宋体"/>
                <w:b/>
                <w:bCs/>
                <w:color w:val="FF0000"/>
                <w:szCs w:val="21"/>
                <w:lang w:val="en-US" w:eastAsia="zh-CN"/>
              </w:rPr>
              <w:t>1.1.6</w:t>
            </w:r>
          </w:p>
        </w:tc>
        <w:tc>
          <w:tcPr>
            <w:tcW w:w="1564" w:type="dxa"/>
            <w:tcBorders>
              <w:top w:val="single" w:color="auto" w:sz="4" w:space="0"/>
              <w:left w:val="single" w:color="auto" w:sz="4" w:space="0"/>
              <w:bottom w:val="single" w:color="auto" w:sz="4" w:space="0"/>
              <w:right w:val="single" w:color="auto" w:sz="4" w:space="0"/>
            </w:tcBorders>
            <w:vAlign w:val="center"/>
          </w:tcPr>
          <w:p w14:paraId="58BDD929">
            <w:pPr>
              <w:jc w:val="center"/>
              <w:rPr>
                <w:rFonts w:hint="eastAsia" w:ascii="宋体" w:hAnsi="宋体" w:eastAsia="宋体" w:cs="Times New Roman"/>
                <w:b/>
                <w:bCs/>
                <w:color w:val="FF0000"/>
                <w:kern w:val="2"/>
                <w:sz w:val="21"/>
                <w:szCs w:val="21"/>
                <w:lang w:val="en-US" w:eastAsia="zh-CN" w:bidi="ar-SA"/>
              </w:rPr>
            </w:pPr>
            <w:r>
              <w:rPr>
                <w:rFonts w:hint="eastAsia" w:ascii="宋体" w:hAnsi="宋体"/>
                <w:b/>
                <w:bCs/>
                <w:color w:val="FF0000"/>
                <w:szCs w:val="21"/>
                <w:lang w:eastAsia="zh-CN"/>
              </w:rPr>
              <w:t>遗漏</w:t>
            </w:r>
          </w:p>
        </w:tc>
        <w:tc>
          <w:tcPr>
            <w:tcW w:w="2482" w:type="dxa"/>
            <w:tcBorders>
              <w:top w:val="single" w:color="000000" w:sz="4" w:space="0"/>
              <w:left w:val="single" w:color="auto" w:sz="4" w:space="0"/>
              <w:bottom w:val="single" w:color="000000" w:sz="4" w:space="0"/>
              <w:right w:val="single" w:color="000000" w:sz="4" w:space="0"/>
            </w:tcBorders>
            <w:vAlign w:val="center"/>
          </w:tcPr>
          <w:p w14:paraId="41754FD3">
            <w:pPr>
              <w:jc w:val="center"/>
              <w:rPr>
                <w:rFonts w:hint="eastAsia" w:ascii="宋体" w:hAnsi="宋体" w:eastAsia="宋体" w:cs="Times New Roman"/>
                <w:b/>
                <w:bCs/>
                <w:color w:val="FF0000"/>
                <w:kern w:val="2"/>
                <w:sz w:val="21"/>
                <w:szCs w:val="21"/>
                <w:lang w:val="en-US" w:eastAsia="zh-CN" w:bidi="ar-SA"/>
              </w:rPr>
            </w:pPr>
            <w:r>
              <w:rPr>
                <w:rFonts w:hint="eastAsia" w:ascii="宋体" w:hAnsi="宋体"/>
                <w:b/>
                <w:bCs/>
                <w:color w:val="FF0000"/>
                <w:szCs w:val="21"/>
              </w:rPr>
              <w:t>单价或合价遗漏</w:t>
            </w:r>
          </w:p>
        </w:tc>
        <w:tc>
          <w:tcPr>
            <w:tcW w:w="4692" w:type="dxa"/>
            <w:tcBorders>
              <w:top w:val="single" w:color="000000" w:sz="4" w:space="0"/>
              <w:left w:val="single" w:color="000000" w:sz="4" w:space="0"/>
              <w:bottom w:val="single" w:color="000000" w:sz="4" w:space="0"/>
            </w:tcBorders>
            <w:vAlign w:val="center"/>
          </w:tcPr>
          <w:p w14:paraId="024650BD">
            <w:pPr>
              <w:widowControl/>
              <w:snapToGrid w:val="0"/>
              <w:rPr>
                <w:rFonts w:hint="eastAsia" w:ascii="宋体" w:hAnsi="宋体" w:eastAsia="宋体" w:cs="Times New Roman"/>
                <w:b/>
                <w:bCs/>
                <w:color w:val="FF0000"/>
                <w:szCs w:val="21"/>
              </w:rPr>
            </w:pPr>
            <w:r>
              <w:rPr>
                <w:rFonts w:hint="eastAsia" w:ascii="宋体" w:hAnsi="宋体" w:eastAsia="宋体" w:cs="Times New Roman"/>
                <w:b/>
                <w:bCs/>
                <w:color w:val="FF0000"/>
                <w:szCs w:val="21"/>
              </w:rPr>
              <w:t xml:space="preserve"> 遗漏是指投标报价某一子目的单价或合价遗漏，遗漏修正</w:t>
            </w:r>
            <w:r>
              <w:rPr>
                <w:rFonts w:hint="eastAsia" w:ascii="宋体" w:hAnsi="宋体" w:eastAsia="宋体" w:cs="Times New Roman"/>
                <w:b/>
                <w:bCs/>
                <w:color w:val="FF0000"/>
                <w:szCs w:val="21"/>
                <w:lang w:eastAsia="zh-CN"/>
              </w:rPr>
              <w:t>应当</w:t>
            </w:r>
            <w:r>
              <w:rPr>
                <w:rFonts w:hint="eastAsia" w:ascii="宋体" w:hAnsi="宋体" w:eastAsia="宋体" w:cs="Times New Roman"/>
                <w:b/>
                <w:bCs/>
                <w:color w:val="FF0000"/>
                <w:szCs w:val="21"/>
              </w:rPr>
              <w:t>按照</w:t>
            </w:r>
            <w:r>
              <w:rPr>
                <w:rFonts w:hint="eastAsia" w:ascii="宋体" w:hAnsi="宋体" w:eastAsia="宋体" w:cs="Times New Roman"/>
                <w:b/>
                <w:bCs/>
                <w:color w:val="FF0000"/>
                <w:szCs w:val="21"/>
                <w:lang w:eastAsia="zh-CN"/>
              </w:rPr>
              <w:t>下列要求进行：</w:t>
            </w:r>
          </w:p>
          <w:p w14:paraId="5394DAB4">
            <w:pPr>
              <w:widowControl/>
              <w:snapToGrid w:val="0"/>
              <w:rPr>
                <w:rFonts w:hint="eastAsia" w:ascii="宋体" w:hAnsi="宋体" w:eastAsia="宋体" w:cs="Times New Roman"/>
                <w:b/>
                <w:bCs/>
                <w:color w:val="FF0000"/>
                <w:szCs w:val="21"/>
                <w:lang w:eastAsia="zh-CN"/>
              </w:rPr>
            </w:pPr>
            <w:r>
              <w:rPr>
                <w:rFonts w:hint="eastAsia" w:ascii="宋体" w:hAnsi="宋体" w:eastAsia="宋体" w:cs="Times New Roman"/>
                <w:b/>
                <w:bCs/>
                <w:color w:val="FF0000"/>
                <w:szCs w:val="21"/>
              </w:rPr>
              <w:t>（一）单价遗漏且合价</w:t>
            </w:r>
            <w:r>
              <w:rPr>
                <w:rFonts w:hint="eastAsia" w:ascii="宋体" w:hAnsi="宋体" w:eastAsia="宋体" w:cs="Times New Roman"/>
                <w:b/>
                <w:bCs/>
                <w:color w:val="FF0000"/>
                <w:szCs w:val="21"/>
                <w:lang w:eastAsia="zh-CN"/>
              </w:rPr>
              <w:t>正</w:t>
            </w:r>
            <w:r>
              <w:rPr>
                <w:rFonts w:hint="eastAsia" w:ascii="宋体" w:hAnsi="宋体" w:eastAsia="宋体" w:cs="Times New Roman"/>
                <w:b/>
                <w:bCs/>
                <w:color w:val="FF0000"/>
                <w:szCs w:val="21"/>
              </w:rPr>
              <w:t>确，以合价为准，修正遗漏单价</w:t>
            </w:r>
            <w:r>
              <w:rPr>
                <w:rFonts w:hint="eastAsia" w:ascii="宋体" w:hAnsi="宋体" w:eastAsia="宋体" w:cs="Times New Roman"/>
                <w:b/>
                <w:bCs/>
                <w:color w:val="FF0000"/>
                <w:szCs w:val="21"/>
                <w:lang w:eastAsia="zh-CN"/>
              </w:rPr>
              <w:t>。</w:t>
            </w:r>
          </w:p>
          <w:p w14:paraId="5106BB6A">
            <w:pPr>
              <w:rPr>
                <w:rFonts w:hint="eastAsia" w:ascii="宋体" w:hAnsi="宋体" w:eastAsia="宋体" w:cs="Times New Roman"/>
                <w:b/>
                <w:bCs/>
                <w:color w:val="FF0000"/>
                <w:kern w:val="2"/>
                <w:sz w:val="21"/>
                <w:szCs w:val="21"/>
                <w:lang w:val="en-US" w:eastAsia="zh-CN" w:bidi="ar-SA"/>
              </w:rPr>
            </w:pPr>
            <w:r>
              <w:rPr>
                <w:rFonts w:hint="eastAsia" w:ascii="宋体" w:hAnsi="宋体" w:eastAsia="宋体" w:cs="Times New Roman"/>
                <w:b/>
                <w:bCs/>
                <w:color w:val="FF0000"/>
                <w:szCs w:val="21"/>
              </w:rPr>
              <w:t>（二）合价遗漏且修正该合价不改变总报价的，以单价与工程量的乘积修正合价；合价遗漏且修正该合价将对总报价产生影响的，不予修正</w:t>
            </w:r>
            <w:r>
              <w:rPr>
                <w:rFonts w:hint="eastAsia" w:ascii="宋体" w:hAnsi="宋体"/>
                <w:b/>
                <w:bCs/>
                <w:color w:val="FF0000"/>
                <w:szCs w:val="21"/>
              </w:rPr>
              <w:t>遗漏是指投标报价某一子目的单价或者合价遗漏，遗漏修正按照不利于投标人的原则进行。</w:t>
            </w:r>
          </w:p>
        </w:tc>
      </w:tr>
      <w:tr w14:paraId="702E0BB4">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gridAfter w:val="1"/>
          <w:wAfter w:w="256" w:type="dxa"/>
          <w:trHeight w:val="471" w:hRule="atLeast"/>
        </w:trPr>
        <w:tc>
          <w:tcPr>
            <w:tcW w:w="851" w:type="dxa"/>
            <w:tcBorders>
              <w:top w:val="single" w:color="auto" w:sz="4" w:space="0"/>
              <w:left w:val="single" w:color="auto" w:sz="4" w:space="0"/>
              <w:bottom w:val="single" w:color="auto" w:sz="4" w:space="0"/>
              <w:right w:val="single" w:color="auto" w:sz="4" w:space="0"/>
            </w:tcBorders>
            <w:vAlign w:val="center"/>
          </w:tcPr>
          <w:p w14:paraId="56FA2B21">
            <w:pPr>
              <w:jc w:val="center"/>
              <w:rPr>
                <w:rFonts w:hint="default" w:ascii="宋体" w:hAnsi="宋体" w:eastAsia="宋体" w:cs="Times New Roman"/>
                <w:b/>
                <w:bCs/>
                <w:color w:val="FF0000"/>
                <w:kern w:val="2"/>
                <w:sz w:val="21"/>
                <w:szCs w:val="21"/>
                <w:lang w:val="en-US" w:eastAsia="zh-CN" w:bidi="ar-SA"/>
              </w:rPr>
            </w:pPr>
            <w:r>
              <w:rPr>
                <w:rFonts w:hint="eastAsia" w:ascii="宋体" w:hAnsi="宋体"/>
                <w:b/>
                <w:bCs/>
                <w:color w:val="FF0000"/>
                <w:szCs w:val="21"/>
                <w:lang w:val="en-US" w:eastAsia="zh-CN"/>
              </w:rPr>
              <w:t>1.1.7</w:t>
            </w:r>
          </w:p>
        </w:tc>
        <w:tc>
          <w:tcPr>
            <w:tcW w:w="1564" w:type="dxa"/>
            <w:tcBorders>
              <w:top w:val="single" w:color="auto" w:sz="4" w:space="0"/>
              <w:left w:val="single" w:color="auto" w:sz="4" w:space="0"/>
              <w:bottom w:val="single" w:color="auto" w:sz="4" w:space="0"/>
              <w:right w:val="single" w:color="auto" w:sz="4" w:space="0"/>
            </w:tcBorders>
            <w:vAlign w:val="center"/>
          </w:tcPr>
          <w:p w14:paraId="410D3FC4">
            <w:pPr>
              <w:jc w:val="center"/>
              <w:rPr>
                <w:rFonts w:ascii="宋体" w:hAnsi="宋体" w:eastAsia="宋体" w:cs="Times New Roman"/>
                <w:b/>
                <w:bCs/>
                <w:color w:val="FF0000"/>
                <w:kern w:val="2"/>
                <w:sz w:val="21"/>
                <w:szCs w:val="21"/>
                <w:lang w:val="en-US" w:eastAsia="zh-CN" w:bidi="ar-SA"/>
              </w:rPr>
            </w:pPr>
            <w:r>
              <w:rPr>
                <w:rFonts w:hint="eastAsia" w:ascii="宋体" w:hAnsi="宋体"/>
                <w:b/>
                <w:bCs/>
                <w:color w:val="FF0000"/>
                <w:szCs w:val="21"/>
              </w:rPr>
              <w:t>错项</w:t>
            </w:r>
          </w:p>
        </w:tc>
        <w:tc>
          <w:tcPr>
            <w:tcW w:w="2482" w:type="dxa"/>
            <w:tcBorders>
              <w:top w:val="single" w:color="000000" w:sz="4" w:space="0"/>
              <w:left w:val="single" w:color="auto" w:sz="4" w:space="0"/>
              <w:bottom w:val="single" w:color="000000" w:sz="4" w:space="0"/>
              <w:right w:val="single" w:color="000000" w:sz="4" w:space="0"/>
            </w:tcBorders>
            <w:vAlign w:val="center"/>
          </w:tcPr>
          <w:p w14:paraId="43383D27">
            <w:pPr>
              <w:rPr>
                <w:rFonts w:ascii="宋体" w:hAnsi="宋体" w:eastAsia="宋体" w:cs="Times New Roman"/>
                <w:b/>
                <w:bCs/>
                <w:color w:val="FF0000"/>
                <w:kern w:val="2"/>
                <w:sz w:val="21"/>
                <w:szCs w:val="21"/>
                <w:lang w:val="en-US" w:eastAsia="zh-CN" w:bidi="ar-SA"/>
              </w:rPr>
            </w:pPr>
          </w:p>
        </w:tc>
        <w:tc>
          <w:tcPr>
            <w:tcW w:w="4692" w:type="dxa"/>
            <w:tcBorders>
              <w:top w:val="single" w:color="000000" w:sz="4" w:space="0"/>
              <w:left w:val="single" w:color="000000" w:sz="4" w:space="0"/>
              <w:bottom w:val="single" w:color="000000" w:sz="4" w:space="0"/>
            </w:tcBorders>
            <w:vAlign w:val="center"/>
          </w:tcPr>
          <w:p w14:paraId="24A5F3FF">
            <w:pPr>
              <w:rPr>
                <w:rFonts w:ascii="宋体" w:hAnsi="宋体" w:eastAsia="宋体" w:cs="Times New Roman"/>
                <w:b/>
                <w:bCs/>
                <w:color w:val="FF0000"/>
                <w:kern w:val="2"/>
                <w:sz w:val="21"/>
                <w:szCs w:val="21"/>
                <w:lang w:val="en-US" w:eastAsia="zh-CN" w:bidi="ar-SA"/>
              </w:rPr>
            </w:pPr>
            <w:r>
              <w:rPr>
                <w:rFonts w:hint="eastAsia" w:ascii="宋体" w:hAnsi="宋体"/>
                <w:b/>
                <w:bCs/>
                <w:color w:val="FF0000"/>
                <w:szCs w:val="21"/>
              </w:rPr>
              <w:t>错项是指工程量清单计价活动中产生的错项。因招标人原因产生的错项不得作为评审或者判定投标文件的依据，评标委员会应在评标报告中载明</w:t>
            </w:r>
          </w:p>
        </w:tc>
      </w:tr>
      <w:tr w14:paraId="2E57D926">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gridAfter w:val="1"/>
          <w:wAfter w:w="256" w:type="dxa"/>
          <w:trHeight w:val="471" w:hRule="atLeast"/>
        </w:trPr>
        <w:tc>
          <w:tcPr>
            <w:tcW w:w="851" w:type="dxa"/>
            <w:tcBorders>
              <w:top w:val="single" w:color="auto" w:sz="4" w:space="0"/>
              <w:left w:val="single" w:color="auto" w:sz="4" w:space="0"/>
              <w:bottom w:val="single" w:color="auto" w:sz="4" w:space="0"/>
              <w:right w:val="single" w:color="auto" w:sz="4" w:space="0"/>
            </w:tcBorders>
            <w:vAlign w:val="center"/>
          </w:tcPr>
          <w:p w14:paraId="6369D3B1">
            <w:pPr>
              <w:jc w:val="center"/>
              <w:rPr>
                <w:rFonts w:hint="eastAsia" w:ascii="宋体" w:hAnsi="宋体" w:eastAsia="宋体" w:cs="Times New Roman"/>
                <w:b/>
                <w:bCs/>
                <w:color w:val="FF0000"/>
                <w:kern w:val="2"/>
                <w:sz w:val="21"/>
                <w:szCs w:val="21"/>
                <w:lang w:val="en-US" w:eastAsia="zh-CN" w:bidi="ar-SA"/>
              </w:rPr>
            </w:pPr>
            <w:r>
              <w:rPr>
                <w:rFonts w:hint="eastAsia" w:ascii="宋体" w:hAnsi="宋体"/>
                <w:b/>
                <w:bCs/>
                <w:color w:val="FF0000"/>
                <w:szCs w:val="21"/>
                <w:lang w:val="en-US" w:eastAsia="zh-CN"/>
              </w:rPr>
              <w:t>1.1.8</w:t>
            </w:r>
          </w:p>
        </w:tc>
        <w:tc>
          <w:tcPr>
            <w:tcW w:w="1564" w:type="dxa"/>
            <w:tcBorders>
              <w:top w:val="single" w:color="auto" w:sz="4" w:space="0"/>
              <w:left w:val="single" w:color="auto" w:sz="4" w:space="0"/>
              <w:bottom w:val="single" w:color="auto" w:sz="4" w:space="0"/>
              <w:right w:val="single" w:color="auto" w:sz="4" w:space="0"/>
            </w:tcBorders>
            <w:vAlign w:val="center"/>
          </w:tcPr>
          <w:p w14:paraId="1B514385">
            <w:pPr>
              <w:jc w:val="center"/>
              <w:rPr>
                <w:rFonts w:hint="eastAsia" w:ascii="宋体" w:hAnsi="宋体" w:eastAsia="宋体" w:cs="Times New Roman"/>
                <w:b/>
                <w:bCs/>
                <w:color w:val="FF0000"/>
                <w:kern w:val="2"/>
                <w:sz w:val="21"/>
                <w:szCs w:val="21"/>
                <w:lang w:val="en-US" w:eastAsia="zh-CN" w:bidi="ar-SA"/>
              </w:rPr>
            </w:pPr>
            <w:r>
              <w:rPr>
                <w:rFonts w:hint="eastAsia" w:ascii="宋体" w:hAnsi="宋体"/>
                <w:b/>
                <w:bCs/>
                <w:color w:val="FF0000"/>
                <w:szCs w:val="21"/>
              </w:rPr>
              <w:t>不平衡报价</w:t>
            </w:r>
          </w:p>
        </w:tc>
        <w:tc>
          <w:tcPr>
            <w:tcW w:w="2482" w:type="dxa"/>
            <w:tcBorders>
              <w:top w:val="single" w:color="000000" w:sz="4" w:space="0"/>
              <w:left w:val="single" w:color="auto" w:sz="4" w:space="0"/>
              <w:bottom w:val="single" w:color="000000" w:sz="4" w:space="0"/>
              <w:right w:val="single" w:color="000000" w:sz="4" w:space="0"/>
            </w:tcBorders>
            <w:vAlign w:val="center"/>
          </w:tcPr>
          <w:p w14:paraId="50AF9991">
            <w:pPr>
              <w:rPr>
                <w:rFonts w:ascii="宋体" w:hAnsi="宋体" w:eastAsia="宋体" w:cs="Times New Roman"/>
                <w:b/>
                <w:bCs/>
                <w:color w:val="FF0000"/>
                <w:kern w:val="2"/>
                <w:sz w:val="21"/>
                <w:szCs w:val="21"/>
                <w:lang w:val="en-US" w:eastAsia="zh-CN" w:bidi="ar-SA"/>
              </w:rPr>
            </w:pPr>
          </w:p>
        </w:tc>
        <w:tc>
          <w:tcPr>
            <w:tcW w:w="4692" w:type="dxa"/>
            <w:tcBorders>
              <w:top w:val="single" w:color="000000" w:sz="4" w:space="0"/>
              <w:left w:val="single" w:color="000000" w:sz="4" w:space="0"/>
              <w:bottom w:val="single" w:color="000000" w:sz="4" w:space="0"/>
            </w:tcBorders>
            <w:vAlign w:val="center"/>
          </w:tcPr>
          <w:p w14:paraId="40AF805B">
            <w:pPr>
              <w:rPr>
                <w:rFonts w:hint="eastAsia" w:ascii="宋体" w:hAnsi="宋体" w:eastAsia="宋体" w:cs="Times New Roman"/>
                <w:b/>
                <w:bCs/>
                <w:color w:val="FF0000"/>
                <w:kern w:val="2"/>
                <w:sz w:val="21"/>
                <w:szCs w:val="21"/>
                <w:lang w:val="en-US" w:eastAsia="zh-CN" w:bidi="ar-SA"/>
              </w:rPr>
            </w:pPr>
            <w:r>
              <w:rPr>
                <w:rFonts w:hint="eastAsia" w:ascii="宋体" w:hAnsi="宋体"/>
                <w:b/>
                <w:bCs/>
                <w:color w:val="FF0000"/>
                <w:szCs w:val="21"/>
              </w:rPr>
              <w:t>不平衡报价是投标人根据自身施工管理能力、施工技术以及以往施工经验等，对报价的一种差异调整。不平衡报价评审只进行分析，对可能存在的严重不平衡报价分析结果写入评审报告，</w:t>
            </w:r>
            <w:r>
              <w:rPr>
                <w:rFonts w:hint="eastAsia" w:ascii="宋体" w:hAnsi="宋体"/>
                <w:b/>
                <w:bCs/>
                <w:color w:val="FF0000"/>
                <w:szCs w:val="21"/>
                <w:lang w:eastAsia="zh-CN"/>
              </w:rPr>
              <w:t>但</w:t>
            </w:r>
            <w:r>
              <w:rPr>
                <w:rFonts w:hint="eastAsia" w:ascii="宋体" w:hAnsi="宋体"/>
                <w:b/>
                <w:bCs/>
                <w:color w:val="FF0000"/>
                <w:szCs w:val="21"/>
              </w:rPr>
              <w:t>不</w:t>
            </w:r>
            <w:r>
              <w:rPr>
                <w:rFonts w:hint="eastAsia" w:ascii="宋体" w:hAnsi="宋体"/>
                <w:b/>
                <w:bCs/>
                <w:color w:val="FF0000"/>
                <w:szCs w:val="21"/>
                <w:lang w:eastAsia="zh-CN"/>
              </w:rPr>
              <w:t>得</w:t>
            </w:r>
            <w:r>
              <w:rPr>
                <w:rFonts w:hint="eastAsia" w:ascii="宋体" w:hAnsi="宋体"/>
                <w:b/>
                <w:bCs/>
                <w:color w:val="FF0000"/>
                <w:szCs w:val="21"/>
              </w:rPr>
              <w:t>作为否决投标的</w:t>
            </w:r>
            <w:r>
              <w:rPr>
                <w:rFonts w:hint="eastAsia" w:ascii="宋体" w:hAnsi="宋体"/>
                <w:b/>
                <w:bCs/>
                <w:color w:val="FF0000"/>
                <w:szCs w:val="21"/>
                <w:lang w:eastAsia="zh-CN"/>
              </w:rPr>
              <w:t>理由</w:t>
            </w:r>
            <w:r>
              <w:rPr>
                <w:rFonts w:hint="eastAsia" w:ascii="宋体" w:hAnsi="宋体"/>
                <w:b/>
                <w:bCs/>
                <w:color w:val="FF0000"/>
                <w:szCs w:val="21"/>
              </w:rPr>
              <w:t>。</w:t>
            </w:r>
          </w:p>
        </w:tc>
      </w:tr>
      <w:tr w14:paraId="4D2C5417">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gridAfter w:val="1"/>
          <w:wAfter w:w="256" w:type="dxa"/>
          <w:trHeight w:val="471" w:hRule="atLeast"/>
        </w:trPr>
        <w:tc>
          <w:tcPr>
            <w:tcW w:w="2415" w:type="dxa"/>
            <w:gridSpan w:val="2"/>
            <w:tcBorders>
              <w:bottom w:val="single" w:color="000000" w:sz="4" w:space="0"/>
              <w:right w:val="single" w:color="000000" w:sz="4" w:space="0"/>
            </w:tcBorders>
            <w:vAlign w:val="center"/>
          </w:tcPr>
          <w:p w14:paraId="13556116">
            <w:pPr>
              <w:spacing w:line="360" w:lineRule="exact"/>
              <w:jc w:val="center"/>
              <w:rPr>
                <w:rStyle w:val="95"/>
                <w:b/>
              </w:rPr>
            </w:pPr>
            <w:r>
              <w:rPr>
                <w:rStyle w:val="95"/>
                <w:rFonts w:hint="eastAsia"/>
                <w:b/>
              </w:rPr>
              <w:t>条款号</w:t>
            </w:r>
          </w:p>
        </w:tc>
        <w:tc>
          <w:tcPr>
            <w:tcW w:w="7174" w:type="dxa"/>
            <w:gridSpan w:val="2"/>
            <w:tcBorders>
              <w:top w:val="single" w:color="000000" w:sz="4" w:space="0"/>
              <w:left w:val="single" w:color="000000" w:sz="4" w:space="0"/>
              <w:bottom w:val="single" w:color="000000" w:sz="4" w:space="0"/>
            </w:tcBorders>
            <w:vAlign w:val="center"/>
          </w:tcPr>
          <w:p w14:paraId="449E837D">
            <w:pPr>
              <w:spacing w:line="360" w:lineRule="exact"/>
              <w:jc w:val="center"/>
              <w:rPr>
                <w:rStyle w:val="95"/>
                <w:b/>
              </w:rPr>
            </w:pPr>
            <w:r>
              <w:rPr>
                <w:rStyle w:val="95"/>
                <w:rFonts w:hint="eastAsia"/>
                <w:b/>
              </w:rPr>
              <w:t>编列内容</w:t>
            </w:r>
          </w:p>
        </w:tc>
      </w:tr>
      <w:tr w14:paraId="1B21F1E4">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gridAfter w:val="1"/>
          <w:wAfter w:w="256" w:type="dxa"/>
          <w:trHeight w:val="471" w:hRule="atLeast"/>
        </w:trPr>
        <w:tc>
          <w:tcPr>
            <w:tcW w:w="2415" w:type="dxa"/>
            <w:gridSpan w:val="2"/>
            <w:tcBorders>
              <w:bottom w:val="single" w:color="000000" w:sz="4" w:space="0"/>
              <w:right w:val="single" w:color="000000" w:sz="4" w:space="0"/>
            </w:tcBorders>
            <w:vAlign w:val="center"/>
          </w:tcPr>
          <w:p w14:paraId="14B297E1">
            <w:pPr>
              <w:spacing w:line="560" w:lineRule="exact"/>
              <w:jc w:val="center"/>
              <w:rPr>
                <w:szCs w:val="21"/>
              </w:rPr>
            </w:pPr>
            <w:r>
              <w:rPr>
                <w:rFonts w:hint="eastAsia"/>
                <w:szCs w:val="21"/>
              </w:rPr>
              <w:t>评标程序</w:t>
            </w:r>
          </w:p>
        </w:tc>
        <w:tc>
          <w:tcPr>
            <w:tcW w:w="7174" w:type="dxa"/>
            <w:gridSpan w:val="2"/>
            <w:tcBorders>
              <w:top w:val="single" w:color="000000" w:sz="4" w:space="0"/>
              <w:left w:val="single" w:color="000000" w:sz="4" w:space="0"/>
              <w:bottom w:val="single" w:color="000000" w:sz="4" w:space="0"/>
            </w:tcBorders>
            <w:vAlign w:val="center"/>
          </w:tcPr>
          <w:p w14:paraId="55879FAD">
            <w:pPr>
              <w:widowControl/>
              <w:snapToGrid w:val="0"/>
              <w:rPr>
                <w:rFonts w:hint="eastAsia" w:ascii="宋体" w:hAnsi="宋体" w:eastAsia="宋体" w:cs="Times New Roman"/>
                <w:b/>
                <w:bCs/>
                <w:color w:val="FF0000"/>
                <w:szCs w:val="21"/>
                <w:lang w:eastAsia="zh-CN"/>
              </w:rPr>
            </w:pPr>
            <w:r>
              <w:rPr>
                <w:rFonts w:hint="eastAsia" w:ascii="宋体" w:hAnsi="宋体" w:eastAsia="宋体" w:cs="Times New Roman"/>
                <w:b/>
                <w:bCs/>
                <w:color w:val="FF0000"/>
                <w:szCs w:val="21"/>
                <w:lang w:eastAsia="zh-CN"/>
              </w:rPr>
              <w:t>（一）评标准备。评标准备是评标委员会成员认真研究招标文件，熟悉评标标准和方法，编制供评标使用的相应评审表格，整理分析投标文件基础数据，为初步评审和详细评审提供依据。</w:t>
            </w:r>
          </w:p>
          <w:p w14:paraId="750EF2DE">
            <w:pPr>
              <w:widowControl/>
              <w:snapToGrid w:val="0"/>
              <w:rPr>
                <w:rFonts w:hint="eastAsia" w:ascii="宋体" w:hAnsi="宋体" w:eastAsia="宋体" w:cs="Times New Roman"/>
                <w:b/>
                <w:bCs/>
                <w:color w:val="FF0000"/>
                <w:szCs w:val="21"/>
                <w:lang w:eastAsia="zh-CN"/>
              </w:rPr>
            </w:pPr>
            <w:r>
              <w:rPr>
                <w:rFonts w:hint="eastAsia" w:ascii="宋体" w:hAnsi="宋体" w:eastAsia="宋体" w:cs="Times New Roman"/>
                <w:b/>
                <w:bCs/>
                <w:color w:val="FF0000"/>
                <w:szCs w:val="21"/>
                <w:lang w:eastAsia="zh-CN"/>
              </w:rPr>
              <w:t>招标人或者其委托的招标代理机构应当向评标委员会提供评标所需的重要信息和数据，但不得带有明示或者暗示倾向或者排斥特定投标人的信息。</w:t>
            </w:r>
          </w:p>
          <w:p w14:paraId="0A338A39">
            <w:pPr>
              <w:widowControl/>
              <w:snapToGrid w:val="0"/>
              <w:rPr>
                <w:rFonts w:hint="eastAsia" w:ascii="宋体" w:hAnsi="宋体" w:eastAsia="宋体" w:cs="Times New Roman"/>
                <w:b/>
                <w:bCs/>
                <w:color w:val="FF0000"/>
                <w:szCs w:val="21"/>
                <w:lang w:eastAsia="zh-CN"/>
              </w:rPr>
            </w:pPr>
            <w:r>
              <w:rPr>
                <w:rFonts w:hint="eastAsia" w:ascii="宋体" w:hAnsi="宋体" w:eastAsia="宋体" w:cs="Times New Roman"/>
                <w:b/>
                <w:bCs/>
                <w:color w:val="FF0000"/>
                <w:szCs w:val="21"/>
                <w:lang w:eastAsia="zh-CN"/>
              </w:rPr>
              <w:t>（二）初步评审。初步评审是评标委员会按照招标文件载明的初步评审因素和要求，对所有投标文件进行的形式评审、资格评审、响应性评审、算术性错误修正、单价或合价遗漏修正、错项分析、不平衡报价分析，并判定不合格情形等。</w:t>
            </w:r>
          </w:p>
          <w:p w14:paraId="49FEAFD3">
            <w:pPr>
              <w:widowControl/>
              <w:snapToGrid w:val="0"/>
              <w:rPr>
                <w:rFonts w:hint="eastAsia" w:ascii="宋体" w:hAnsi="宋体" w:eastAsia="宋体" w:cs="Times New Roman"/>
                <w:b/>
                <w:bCs/>
                <w:color w:val="FF0000"/>
                <w:szCs w:val="21"/>
                <w:lang w:eastAsia="zh-CN"/>
              </w:rPr>
            </w:pPr>
            <w:r>
              <w:rPr>
                <w:rFonts w:hint="eastAsia" w:ascii="宋体" w:hAnsi="宋体" w:eastAsia="宋体" w:cs="Times New Roman"/>
                <w:b/>
                <w:bCs/>
                <w:color w:val="FF0000"/>
                <w:szCs w:val="21"/>
                <w:lang w:eastAsia="zh-CN"/>
              </w:rPr>
              <w:t>（三）详细评审。详细评审是评标委员会按照招标文件载明的定性、定量标准，对所有初步评审合格的投标文件进行的评审。包括报价合理性、施工组织设计可行性、投标人资信等。</w:t>
            </w:r>
          </w:p>
          <w:p w14:paraId="55DBA0C5">
            <w:pPr>
              <w:widowControl/>
              <w:snapToGrid w:val="0"/>
              <w:rPr>
                <w:rFonts w:hint="eastAsia" w:ascii="宋体" w:hAnsi="宋体" w:eastAsia="宋体" w:cs="Times New Roman"/>
                <w:b/>
                <w:bCs/>
                <w:color w:val="FF0000"/>
                <w:szCs w:val="21"/>
                <w:lang w:eastAsia="zh-CN"/>
              </w:rPr>
            </w:pPr>
            <w:r>
              <w:rPr>
                <w:rFonts w:hint="eastAsia" w:ascii="宋体" w:hAnsi="宋体" w:eastAsia="宋体" w:cs="Times New Roman"/>
                <w:b/>
                <w:bCs/>
                <w:color w:val="FF0000"/>
                <w:szCs w:val="21"/>
                <w:lang w:eastAsia="zh-CN"/>
              </w:rPr>
              <w:t>（四）澄清说明或补正。</w:t>
            </w:r>
          </w:p>
          <w:p w14:paraId="41A09D4C">
            <w:pPr>
              <w:widowControl/>
              <w:snapToGrid w:val="0"/>
              <w:rPr>
                <w:rFonts w:hint="eastAsia" w:ascii="宋体" w:hAnsi="宋体" w:eastAsia="宋体" w:cs="Times New Roman"/>
                <w:b/>
                <w:bCs/>
                <w:color w:val="FF0000"/>
                <w:szCs w:val="21"/>
                <w:lang w:eastAsia="zh-CN"/>
              </w:rPr>
            </w:pPr>
            <w:r>
              <w:rPr>
                <w:rFonts w:hint="eastAsia" w:ascii="宋体" w:hAnsi="宋体" w:eastAsia="宋体" w:cs="Times New Roman"/>
                <w:b/>
                <w:bCs/>
                <w:color w:val="FF0000"/>
                <w:szCs w:val="21"/>
                <w:lang w:eastAsia="zh-CN"/>
              </w:rPr>
              <w:t>（五）形成评审意见和结论。</w:t>
            </w:r>
          </w:p>
          <w:p w14:paraId="579A38B4">
            <w:pPr>
              <w:widowControl/>
              <w:snapToGrid w:val="0"/>
              <w:rPr>
                <w:szCs w:val="21"/>
              </w:rPr>
            </w:pPr>
            <w:r>
              <w:rPr>
                <w:rFonts w:hint="eastAsia" w:ascii="宋体" w:hAnsi="宋体" w:eastAsia="宋体" w:cs="Times New Roman"/>
                <w:b/>
                <w:bCs/>
                <w:color w:val="FF0000"/>
                <w:szCs w:val="21"/>
                <w:lang w:eastAsia="zh-CN"/>
              </w:rPr>
              <w:t>（六）向招标人提交评标报告并推荐中标候选人。</w:t>
            </w:r>
          </w:p>
        </w:tc>
      </w:tr>
      <w:tr w14:paraId="1BE034DF">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gridAfter w:val="1"/>
          <w:wAfter w:w="256" w:type="dxa"/>
          <w:trHeight w:val="471" w:hRule="atLeast"/>
        </w:trPr>
        <w:tc>
          <w:tcPr>
            <w:tcW w:w="2415" w:type="dxa"/>
            <w:gridSpan w:val="2"/>
            <w:tcBorders>
              <w:bottom w:val="single" w:color="000000" w:sz="4" w:space="0"/>
              <w:right w:val="single" w:color="000000" w:sz="4" w:space="0"/>
            </w:tcBorders>
            <w:vAlign w:val="center"/>
          </w:tcPr>
          <w:p w14:paraId="330C0265">
            <w:pPr>
              <w:spacing w:line="560" w:lineRule="exact"/>
              <w:jc w:val="center"/>
              <w:rPr>
                <w:szCs w:val="21"/>
              </w:rPr>
            </w:pPr>
            <w:r>
              <w:rPr>
                <w:rFonts w:hint="eastAsia"/>
                <w:szCs w:val="21"/>
              </w:rPr>
              <w:t>废标条件</w:t>
            </w:r>
          </w:p>
        </w:tc>
        <w:tc>
          <w:tcPr>
            <w:tcW w:w="7174" w:type="dxa"/>
            <w:gridSpan w:val="2"/>
            <w:tcBorders>
              <w:top w:val="single" w:color="000000" w:sz="4" w:space="0"/>
              <w:left w:val="single" w:color="000000" w:sz="4" w:space="0"/>
              <w:bottom w:val="single" w:color="000000" w:sz="4" w:space="0"/>
            </w:tcBorders>
            <w:vAlign w:val="center"/>
          </w:tcPr>
          <w:p w14:paraId="742456F1">
            <w:pPr>
              <w:widowControl/>
              <w:snapToGrid w:val="0"/>
              <w:rPr>
                <w:rFonts w:hint="eastAsia" w:ascii="宋体" w:hAnsi="宋体" w:eastAsia="宋体" w:cs="Times New Roman"/>
                <w:b/>
                <w:bCs/>
                <w:color w:val="FF0000"/>
                <w:szCs w:val="21"/>
                <w:lang w:eastAsia="zh-CN"/>
              </w:rPr>
            </w:pPr>
            <w:r>
              <w:rPr>
                <w:rFonts w:hint="eastAsia" w:ascii="宋体" w:hAnsi="宋体" w:eastAsia="宋体" w:cs="Times New Roman"/>
                <w:b/>
                <w:bCs/>
                <w:color w:val="FF0000"/>
                <w:szCs w:val="21"/>
                <w:lang w:eastAsia="zh-CN"/>
              </w:rPr>
              <w:t>（一）不具有独立法人资格的单位，或者不符合国家或者招标文件规定的资格条件的。</w:t>
            </w:r>
          </w:p>
          <w:p w14:paraId="71C5EA14">
            <w:pPr>
              <w:widowControl/>
              <w:snapToGrid w:val="0"/>
              <w:rPr>
                <w:rFonts w:hint="eastAsia" w:ascii="宋体" w:hAnsi="宋体" w:eastAsia="宋体" w:cs="Times New Roman"/>
                <w:b/>
                <w:bCs/>
                <w:color w:val="FF0000"/>
                <w:szCs w:val="21"/>
                <w:lang w:eastAsia="zh-CN"/>
              </w:rPr>
            </w:pPr>
            <w:r>
              <w:rPr>
                <w:rFonts w:hint="eastAsia" w:ascii="宋体" w:hAnsi="宋体" w:eastAsia="宋体" w:cs="Times New Roman"/>
                <w:b/>
                <w:bCs/>
                <w:color w:val="FF0000"/>
                <w:szCs w:val="21"/>
                <w:lang w:eastAsia="zh-CN"/>
              </w:rPr>
              <w:t>（二）违反法律法规规章的规定，被行政主管部门或司法机关依法限制其建筑工程项目投标行为，且处于限制投标期内的。</w:t>
            </w:r>
          </w:p>
          <w:p w14:paraId="4E4A7201">
            <w:pPr>
              <w:widowControl/>
              <w:snapToGrid w:val="0"/>
              <w:rPr>
                <w:rFonts w:hint="eastAsia" w:ascii="宋体" w:hAnsi="宋体" w:eastAsia="宋体" w:cs="Times New Roman"/>
                <w:b/>
                <w:bCs/>
                <w:color w:val="FF0000"/>
                <w:szCs w:val="21"/>
                <w:lang w:val="en-US" w:eastAsia="zh-CN"/>
              </w:rPr>
            </w:pPr>
            <w:r>
              <w:rPr>
                <w:rFonts w:hint="eastAsia" w:ascii="宋体" w:hAnsi="宋体" w:eastAsia="宋体" w:cs="Times New Roman"/>
                <w:b/>
                <w:bCs/>
                <w:color w:val="FF0000"/>
                <w:szCs w:val="21"/>
                <w:lang w:eastAsia="zh-CN"/>
              </w:rPr>
              <w:t>（三）与招标人存在利害关系可能影响招标公正性的。</w:t>
            </w:r>
          </w:p>
          <w:p w14:paraId="34D58E3C">
            <w:pPr>
              <w:widowControl/>
              <w:snapToGrid w:val="0"/>
              <w:rPr>
                <w:rFonts w:hint="eastAsia" w:ascii="宋体" w:hAnsi="宋体" w:eastAsia="宋体" w:cs="Times New Roman"/>
                <w:b/>
                <w:bCs/>
                <w:color w:val="FF0000"/>
                <w:szCs w:val="21"/>
                <w:lang w:val="en-US" w:eastAsia="zh-CN"/>
              </w:rPr>
            </w:pPr>
            <w:r>
              <w:rPr>
                <w:rFonts w:hint="eastAsia" w:ascii="宋体" w:hAnsi="宋体" w:eastAsia="宋体" w:cs="Times New Roman"/>
                <w:b/>
                <w:bCs/>
                <w:color w:val="FF0000"/>
                <w:szCs w:val="21"/>
                <w:lang w:eastAsia="zh-CN"/>
              </w:rPr>
              <w:t>（四）</w:t>
            </w:r>
            <w:r>
              <w:rPr>
                <w:rFonts w:hint="eastAsia" w:ascii="宋体" w:hAnsi="宋体" w:eastAsia="宋体" w:cs="Times New Roman"/>
                <w:b/>
                <w:bCs/>
                <w:color w:val="FF0000"/>
                <w:szCs w:val="21"/>
                <w:lang w:val="en-US" w:eastAsia="zh-CN"/>
              </w:rPr>
              <w:t>单位负责人为同一人或者存在控股、管理关系的不同单位，参加同一标段投标或者未划分标段的同一招标项目投标。</w:t>
            </w:r>
          </w:p>
          <w:p w14:paraId="14280B5D">
            <w:pPr>
              <w:widowControl/>
              <w:snapToGrid w:val="0"/>
              <w:rPr>
                <w:rFonts w:hint="eastAsia" w:ascii="宋体" w:hAnsi="宋体" w:eastAsia="宋体" w:cs="Times New Roman"/>
                <w:b/>
                <w:bCs/>
                <w:color w:val="FF0000"/>
                <w:szCs w:val="21"/>
                <w:lang w:eastAsia="zh-CN"/>
              </w:rPr>
            </w:pPr>
            <w:r>
              <w:rPr>
                <w:rFonts w:hint="eastAsia" w:ascii="宋体" w:hAnsi="宋体" w:eastAsia="宋体" w:cs="Times New Roman"/>
                <w:b/>
                <w:bCs/>
                <w:color w:val="FF0000"/>
                <w:szCs w:val="21"/>
                <w:lang w:eastAsia="zh-CN"/>
              </w:rPr>
              <w:t>（五）为本工程提供勘察设计服务的，但工程施工总承包的除外。</w:t>
            </w:r>
          </w:p>
          <w:p w14:paraId="71687C51">
            <w:pPr>
              <w:widowControl/>
              <w:snapToGrid w:val="0"/>
              <w:rPr>
                <w:rFonts w:hint="eastAsia" w:ascii="宋体" w:hAnsi="宋体" w:eastAsia="宋体" w:cs="Times New Roman"/>
                <w:b/>
                <w:bCs/>
                <w:color w:val="FF0000"/>
                <w:szCs w:val="21"/>
                <w:lang w:eastAsia="zh-CN"/>
              </w:rPr>
            </w:pPr>
            <w:r>
              <w:rPr>
                <w:rFonts w:hint="eastAsia" w:ascii="宋体" w:hAnsi="宋体" w:eastAsia="宋体" w:cs="Times New Roman"/>
                <w:b/>
                <w:bCs/>
                <w:color w:val="FF0000"/>
                <w:szCs w:val="21"/>
                <w:lang w:eastAsia="zh-CN"/>
              </w:rPr>
              <w:t>（六）为本工程的监理企业、</w:t>
            </w:r>
            <w:r>
              <w:rPr>
                <w:rFonts w:hint="eastAsia" w:ascii="宋体" w:hAnsi="宋体" w:eastAsia="宋体" w:cs="Times New Roman"/>
                <w:b/>
                <w:bCs/>
                <w:color w:val="FF0000"/>
                <w:szCs w:val="21"/>
                <w:lang w:val="en-US" w:eastAsia="zh-CN"/>
              </w:rPr>
              <w:t>工程项目管理企业，</w:t>
            </w:r>
            <w:r>
              <w:rPr>
                <w:rFonts w:hint="eastAsia" w:ascii="宋体" w:hAnsi="宋体" w:eastAsia="宋体" w:cs="Times New Roman"/>
                <w:b/>
                <w:bCs/>
                <w:color w:val="FF0000"/>
                <w:szCs w:val="21"/>
                <w:lang w:eastAsia="zh-CN"/>
              </w:rPr>
              <w:t>或者为本工程提供招标代理服务的。</w:t>
            </w:r>
          </w:p>
          <w:p w14:paraId="0A9098C2">
            <w:pPr>
              <w:widowControl/>
              <w:snapToGrid w:val="0"/>
              <w:rPr>
                <w:rFonts w:hint="eastAsia" w:ascii="宋体" w:hAnsi="宋体" w:eastAsia="宋体" w:cs="Times New Roman"/>
                <w:b/>
                <w:bCs/>
                <w:color w:val="FF0000"/>
                <w:szCs w:val="21"/>
                <w:lang w:eastAsia="zh-CN"/>
              </w:rPr>
            </w:pPr>
            <w:r>
              <w:rPr>
                <w:rFonts w:hint="eastAsia" w:ascii="宋体" w:hAnsi="宋体" w:eastAsia="宋体" w:cs="Times New Roman"/>
                <w:b/>
                <w:bCs/>
                <w:color w:val="FF0000"/>
                <w:szCs w:val="21"/>
                <w:lang w:eastAsia="zh-CN"/>
              </w:rPr>
              <w:t>（七）与本工程的监理企业、</w:t>
            </w:r>
            <w:r>
              <w:rPr>
                <w:rFonts w:hint="eastAsia" w:ascii="宋体" w:hAnsi="宋体" w:eastAsia="宋体" w:cs="Times New Roman"/>
                <w:b/>
                <w:bCs/>
                <w:color w:val="FF0000"/>
                <w:szCs w:val="21"/>
                <w:lang w:val="en-US" w:eastAsia="zh-CN"/>
              </w:rPr>
              <w:t>工程项目管理企业</w:t>
            </w:r>
            <w:r>
              <w:rPr>
                <w:rFonts w:hint="eastAsia" w:ascii="宋体" w:hAnsi="宋体" w:eastAsia="宋体" w:cs="Times New Roman"/>
                <w:b/>
                <w:bCs/>
                <w:color w:val="FF0000"/>
                <w:szCs w:val="21"/>
                <w:lang w:eastAsia="zh-CN"/>
              </w:rPr>
              <w:t>或者招标代理机构同为一个法定代表人，或者相互控股、参股、相互任职的。</w:t>
            </w:r>
          </w:p>
          <w:p w14:paraId="47805121">
            <w:pPr>
              <w:widowControl/>
              <w:snapToGrid w:val="0"/>
              <w:rPr>
                <w:rFonts w:hint="eastAsia" w:ascii="宋体" w:hAnsi="宋体" w:eastAsia="宋体" w:cs="Times New Roman"/>
                <w:b/>
                <w:bCs/>
                <w:color w:val="FF0000"/>
                <w:szCs w:val="21"/>
                <w:lang w:eastAsia="zh-CN"/>
              </w:rPr>
            </w:pPr>
            <w:r>
              <w:rPr>
                <w:rFonts w:hint="eastAsia" w:ascii="宋体" w:hAnsi="宋体" w:eastAsia="宋体" w:cs="Times New Roman"/>
                <w:b/>
                <w:bCs/>
                <w:color w:val="FF0000"/>
                <w:szCs w:val="21"/>
                <w:lang w:eastAsia="zh-CN"/>
              </w:rPr>
              <w:t>（八）</w:t>
            </w:r>
            <w:r>
              <w:rPr>
                <w:rFonts w:hint="eastAsia" w:ascii="宋体" w:hAnsi="宋体" w:eastAsia="宋体" w:cs="Times New Roman"/>
                <w:b/>
                <w:bCs/>
                <w:color w:val="FF0000"/>
                <w:szCs w:val="21"/>
                <w:lang w:val="en-US" w:eastAsia="zh-CN"/>
              </w:rPr>
              <w:t>投标文件没有对招标文件的实质性要求和条件作出响应的。</w:t>
            </w:r>
          </w:p>
          <w:p w14:paraId="3CB871D9">
            <w:pPr>
              <w:widowControl/>
              <w:snapToGrid w:val="0"/>
              <w:rPr>
                <w:rFonts w:hint="eastAsia" w:ascii="宋体" w:hAnsi="宋体" w:eastAsia="宋体" w:cs="Times New Roman"/>
                <w:b/>
                <w:bCs/>
                <w:color w:val="FF0000"/>
                <w:szCs w:val="21"/>
                <w:lang w:eastAsia="zh-CN"/>
              </w:rPr>
            </w:pPr>
            <w:r>
              <w:rPr>
                <w:rFonts w:hint="eastAsia" w:ascii="宋体" w:hAnsi="宋体" w:eastAsia="宋体" w:cs="Times New Roman"/>
                <w:b/>
                <w:bCs/>
                <w:color w:val="FF0000"/>
                <w:szCs w:val="21"/>
                <w:lang w:eastAsia="zh-CN"/>
              </w:rPr>
              <w:t>（九）投标联合体未提交共同投标协议，或者提供的共同投标协议</w:t>
            </w:r>
            <w:r>
              <w:rPr>
                <w:rFonts w:hint="eastAsia" w:ascii="宋体" w:hAnsi="宋体" w:eastAsia="宋体" w:cs="Times New Roman"/>
                <w:b/>
                <w:bCs/>
                <w:color w:val="FF0000"/>
                <w:szCs w:val="21"/>
                <w:lang w:val="en-US" w:eastAsia="zh-CN"/>
              </w:rPr>
              <w:t>未明确</w:t>
            </w:r>
            <w:r>
              <w:rPr>
                <w:rFonts w:hint="eastAsia" w:ascii="宋体" w:hAnsi="宋体" w:eastAsia="宋体" w:cs="Times New Roman"/>
                <w:b/>
                <w:bCs/>
                <w:color w:val="FF0000"/>
                <w:szCs w:val="21"/>
                <w:lang w:eastAsia="zh-CN"/>
              </w:rPr>
              <w:t>联合体牵头人和</w:t>
            </w:r>
            <w:r>
              <w:rPr>
                <w:rFonts w:hint="eastAsia" w:ascii="宋体" w:hAnsi="宋体" w:eastAsia="宋体" w:cs="Times New Roman"/>
                <w:b/>
                <w:bCs/>
                <w:color w:val="FF0000"/>
                <w:szCs w:val="21"/>
                <w:lang w:val="en-US" w:eastAsia="zh-CN"/>
              </w:rPr>
              <w:t>各方拟承担的工作和</w:t>
            </w:r>
            <w:r>
              <w:rPr>
                <w:rFonts w:hint="eastAsia" w:ascii="宋体" w:hAnsi="宋体" w:eastAsia="宋体" w:cs="Times New Roman"/>
                <w:b/>
                <w:bCs/>
                <w:color w:val="FF0000"/>
                <w:szCs w:val="21"/>
                <w:lang w:eastAsia="zh-CN"/>
              </w:rPr>
              <w:t>责任，或者联合体组成发生变化且在投标截止之日前未征得招标人书面同意，或者</w:t>
            </w:r>
            <w:r>
              <w:rPr>
                <w:rFonts w:hint="eastAsia" w:ascii="宋体" w:hAnsi="宋体" w:eastAsia="宋体" w:cs="Times New Roman"/>
                <w:b/>
                <w:bCs/>
                <w:color w:val="FF0000"/>
                <w:szCs w:val="21"/>
                <w:lang w:val="en-US" w:eastAsia="zh-CN"/>
              </w:rPr>
              <w:t>资格预审后联合体增减、更换成员的</w:t>
            </w:r>
            <w:r>
              <w:rPr>
                <w:rFonts w:hint="eastAsia" w:ascii="宋体" w:hAnsi="宋体" w:eastAsia="宋体" w:cs="Times New Roman"/>
                <w:b/>
                <w:bCs/>
                <w:color w:val="FF0000"/>
                <w:szCs w:val="21"/>
                <w:lang w:eastAsia="zh-CN"/>
              </w:rPr>
              <w:t>。</w:t>
            </w:r>
          </w:p>
          <w:p w14:paraId="397807CE">
            <w:pPr>
              <w:widowControl/>
              <w:snapToGrid w:val="0"/>
              <w:rPr>
                <w:rFonts w:hint="eastAsia" w:ascii="宋体" w:hAnsi="宋体" w:eastAsia="宋体" w:cs="Times New Roman"/>
                <w:b/>
                <w:bCs/>
                <w:color w:val="FF0000"/>
                <w:szCs w:val="21"/>
                <w:lang w:eastAsia="zh-CN"/>
              </w:rPr>
            </w:pPr>
            <w:r>
              <w:rPr>
                <w:rFonts w:hint="eastAsia" w:ascii="宋体" w:hAnsi="宋体" w:eastAsia="宋体" w:cs="Times New Roman"/>
                <w:b/>
                <w:bCs/>
                <w:color w:val="FF0000"/>
                <w:szCs w:val="21"/>
                <w:lang w:eastAsia="zh-CN"/>
              </w:rPr>
              <w:t>（十）</w:t>
            </w:r>
            <w:r>
              <w:rPr>
                <w:rFonts w:hint="eastAsia" w:ascii="宋体" w:hAnsi="宋体" w:eastAsia="宋体" w:cs="Times New Roman"/>
                <w:b/>
                <w:bCs/>
                <w:color w:val="FF0000"/>
                <w:szCs w:val="21"/>
                <w:lang w:val="en-US" w:eastAsia="zh-CN"/>
              </w:rPr>
              <w:t>提交两个以上不同的投标文件或者投标报价，但招标文件要求提交备选投标的除外。</w:t>
            </w:r>
          </w:p>
          <w:p w14:paraId="2DD95992">
            <w:pPr>
              <w:widowControl/>
              <w:snapToGrid w:val="0"/>
              <w:rPr>
                <w:rFonts w:hint="eastAsia" w:ascii="宋体" w:hAnsi="宋体" w:eastAsia="宋体" w:cs="Times New Roman"/>
                <w:b/>
                <w:bCs/>
                <w:color w:val="FF0000"/>
                <w:szCs w:val="21"/>
                <w:lang w:eastAsia="zh-CN"/>
              </w:rPr>
            </w:pPr>
            <w:r>
              <w:rPr>
                <w:rFonts w:hint="eastAsia" w:ascii="宋体" w:hAnsi="宋体" w:eastAsia="宋体" w:cs="Times New Roman"/>
                <w:b/>
                <w:bCs/>
                <w:color w:val="FF0000"/>
                <w:szCs w:val="21"/>
                <w:lang w:eastAsia="zh-CN"/>
              </w:rPr>
              <w:t>（十一）</w:t>
            </w:r>
            <w:r>
              <w:rPr>
                <w:rFonts w:hint="eastAsia" w:ascii="宋体" w:hAnsi="宋体" w:eastAsia="宋体" w:cs="Times New Roman"/>
                <w:b/>
                <w:bCs/>
                <w:color w:val="FF0000"/>
                <w:szCs w:val="21"/>
                <w:lang w:val="en-US" w:eastAsia="zh-CN"/>
              </w:rPr>
              <w:t>投标报价低于成本或者高于招标文件设定的最高投标限价的</w:t>
            </w:r>
            <w:r>
              <w:rPr>
                <w:rFonts w:hint="eastAsia" w:ascii="宋体" w:hAnsi="宋体" w:eastAsia="宋体" w:cs="Times New Roman"/>
                <w:b/>
                <w:bCs/>
                <w:color w:val="FF0000"/>
                <w:szCs w:val="21"/>
                <w:lang w:eastAsia="zh-CN"/>
              </w:rPr>
              <w:t>。</w:t>
            </w:r>
          </w:p>
          <w:p w14:paraId="2A5DFE8B">
            <w:pPr>
              <w:widowControl/>
              <w:snapToGrid w:val="0"/>
              <w:rPr>
                <w:rFonts w:hint="eastAsia" w:ascii="宋体" w:hAnsi="宋体" w:eastAsia="宋体" w:cs="Times New Roman"/>
                <w:b/>
                <w:bCs/>
                <w:color w:val="FF0000"/>
                <w:szCs w:val="21"/>
                <w:lang w:eastAsia="zh-CN"/>
              </w:rPr>
            </w:pPr>
            <w:r>
              <w:rPr>
                <w:rFonts w:hint="eastAsia" w:ascii="宋体" w:hAnsi="宋体" w:eastAsia="宋体" w:cs="Times New Roman"/>
                <w:b/>
                <w:bCs/>
                <w:color w:val="FF0000"/>
                <w:szCs w:val="21"/>
                <w:lang w:eastAsia="zh-CN"/>
              </w:rPr>
              <w:t>（十二）投标文件合价遗漏且修正该合价将对总报价产生影响，或者因投标人原因出现错项的。</w:t>
            </w:r>
          </w:p>
          <w:p w14:paraId="780F36A8">
            <w:pPr>
              <w:widowControl/>
              <w:snapToGrid w:val="0"/>
              <w:rPr>
                <w:rFonts w:hint="eastAsia" w:ascii="宋体" w:hAnsi="宋体" w:eastAsia="宋体" w:cs="Times New Roman"/>
                <w:b/>
                <w:bCs/>
                <w:color w:val="FF0000"/>
                <w:szCs w:val="21"/>
                <w:lang w:eastAsia="zh-CN"/>
              </w:rPr>
            </w:pPr>
            <w:r>
              <w:rPr>
                <w:rFonts w:hint="eastAsia" w:ascii="宋体" w:hAnsi="宋体" w:eastAsia="宋体" w:cs="Times New Roman"/>
                <w:b/>
                <w:bCs/>
                <w:color w:val="FF0000"/>
                <w:szCs w:val="21"/>
                <w:lang w:eastAsia="zh-CN"/>
              </w:rPr>
              <w:t>（十三）存在串通投标、弄虚作假、行贿等违法行为之一的。</w:t>
            </w:r>
          </w:p>
          <w:p w14:paraId="1AFF67AB">
            <w:pPr>
              <w:widowControl/>
              <w:snapToGrid w:val="0"/>
              <w:rPr>
                <w:rFonts w:hint="default" w:ascii="宋体" w:hAnsi="宋体" w:eastAsia="宋体" w:cs="Times New Roman"/>
                <w:b/>
                <w:bCs/>
                <w:color w:val="FF0000"/>
                <w:szCs w:val="21"/>
                <w:lang w:val="en-US" w:eastAsia="zh-CN"/>
              </w:rPr>
            </w:pPr>
            <w:r>
              <w:rPr>
                <w:rFonts w:hint="eastAsia" w:ascii="宋体" w:hAnsi="宋体" w:eastAsia="宋体" w:cs="Times New Roman"/>
                <w:b/>
                <w:bCs/>
                <w:color w:val="FF0000"/>
                <w:szCs w:val="21"/>
                <w:lang w:eastAsia="zh-CN"/>
              </w:rPr>
              <w:t>（十四）投标人项目班子人员有在建工程项目且不符合现有规定的。</w:t>
            </w:r>
          </w:p>
          <w:p w14:paraId="156C85A5">
            <w:pPr>
              <w:spacing w:line="560" w:lineRule="exact"/>
              <w:rPr>
                <w:szCs w:val="21"/>
              </w:rPr>
            </w:pPr>
            <w:r>
              <w:rPr>
                <w:rFonts w:hint="eastAsia" w:ascii="宋体" w:hAnsi="宋体" w:eastAsia="宋体" w:cs="Times New Roman"/>
                <w:b/>
                <w:bCs/>
                <w:color w:val="FF0000"/>
                <w:szCs w:val="21"/>
                <w:lang w:eastAsia="zh-CN"/>
              </w:rPr>
              <w:t>（十五）法律法规规定的其他情形。</w:t>
            </w:r>
          </w:p>
        </w:tc>
      </w:tr>
    </w:tbl>
    <w:p w14:paraId="798BB9DC">
      <w:pPr>
        <w:pStyle w:val="87"/>
        <w:numPr>
          <w:ilvl w:val="0"/>
          <w:numId w:val="4"/>
        </w:numPr>
        <w:spacing w:before="0" w:after="120" w:line="600" w:lineRule="exact"/>
        <w:jc w:val="center"/>
        <w:rPr>
          <w:rStyle w:val="95"/>
          <w:rFonts w:ascii="Times New Roman" w:hAnsi="Times New Roman" w:eastAsia="宋体"/>
          <w:sz w:val="28"/>
          <w:szCs w:val="28"/>
        </w:rPr>
      </w:pPr>
      <w:r>
        <w:rPr>
          <w:rStyle w:val="95"/>
          <w:rFonts w:hint="eastAsia" w:ascii="Times New Roman" w:hAnsi="Times New Roman" w:eastAsia="宋体"/>
          <w:sz w:val="28"/>
          <w:szCs w:val="28"/>
        </w:rPr>
        <w:t>评标办法正文（综合评估法适用于含施工图设计招标）</w:t>
      </w:r>
    </w:p>
    <w:p w14:paraId="06D53738">
      <w:pPr>
        <w:keepNext/>
        <w:spacing w:line="460" w:lineRule="exact"/>
        <w:rPr>
          <w:sz w:val="24"/>
        </w:rPr>
      </w:pPr>
      <w:r>
        <w:rPr>
          <w:rFonts w:hint="eastAsia"/>
          <w:sz w:val="24"/>
        </w:rPr>
        <w:t>一）评标方法</w:t>
      </w:r>
    </w:p>
    <w:p w14:paraId="7254E650">
      <w:pPr>
        <w:keepNext/>
        <w:spacing w:line="460" w:lineRule="exact"/>
        <w:ind w:firstLine="480" w:firstLineChars="200"/>
        <w:rPr>
          <w:sz w:val="24"/>
        </w:rPr>
      </w:pPr>
      <w:r>
        <w:rPr>
          <w:rFonts w:hint="eastAsia"/>
          <w:sz w:val="24"/>
        </w:rPr>
        <w:t>综合评估法是将施工图设计、承包人实施方案、资信业绩、投标报价等评审因素具体量化，赋予相应权重分值，评标委员会对初步评审合格的投标文件进行详细评审打分，按照综合得分由高到低顺序择优选择最佳投标人的方法。当累计得分相同时，报价较低排名在前。综合评估法不保证投标报价最低的投标人中标。</w:t>
      </w:r>
    </w:p>
    <w:p w14:paraId="24577706">
      <w:pPr>
        <w:keepNext/>
        <w:spacing w:line="460" w:lineRule="exact"/>
        <w:rPr>
          <w:sz w:val="24"/>
        </w:rPr>
      </w:pPr>
      <w:r>
        <w:rPr>
          <w:rFonts w:hint="eastAsia"/>
          <w:sz w:val="24"/>
        </w:rPr>
        <w:t>二）评审标准</w:t>
      </w:r>
    </w:p>
    <w:p w14:paraId="6E6F59D1">
      <w:pPr>
        <w:keepNext/>
        <w:spacing w:line="460" w:lineRule="exact"/>
        <w:ind w:firstLine="480" w:firstLineChars="200"/>
        <w:rPr>
          <w:sz w:val="24"/>
        </w:rPr>
      </w:pPr>
      <w:r>
        <w:rPr>
          <w:rFonts w:hint="eastAsia"/>
          <w:sz w:val="24"/>
        </w:rPr>
        <w:t>一、评审因素和分值构成</w:t>
      </w:r>
    </w:p>
    <w:p w14:paraId="42F21434">
      <w:pPr>
        <w:keepNext/>
        <w:spacing w:line="460" w:lineRule="exact"/>
        <w:ind w:firstLine="480" w:firstLineChars="200"/>
        <w:rPr>
          <w:sz w:val="24"/>
        </w:rPr>
      </w:pPr>
      <w:r>
        <w:rPr>
          <w:rFonts w:hint="eastAsia"/>
          <w:sz w:val="24"/>
        </w:rPr>
        <w:t>（一）施工图设计</w:t>
      </w:r>
      <w:r>
        <w:rPr>
          <w:sz w:val="24"/>
        </w:rPr>
        <w:t>20</w:t>
      </w:r>
      <w:r>
        <w:rPr>
          <w:rFonts w:hint="eastAsia"/>
          <w:sz w:val="24"/>
        </w:rPr>
        <w:t>分</w:t>
      </w:r>
    </w:p>
    <w:p w14:paraId="2739E74B">
      <w:pPr>
        <w:keepNext/>
        <w:spacing w:line="460" w:lineRule="exact"/>
        <w:ind w:firstLine="480" w:firstLineChars="200"/>
        <w:rPr>
          <w:sz w:val="24"/>
        </w:rPr>
      </w:pPr>
      <w:r>
        <w:rPr>
          <w:rFonts w:hint="eastAsia"/>
          <w:sz w:val="24"/>
        </w:rPr>
        <w:t>（二）承包人实施方案</w:t>
      </w:r>
      <w:r>
        <w:rPr>
          <w:sz w:val="24"/>
        </w:rPr>
        <w:t>30</w:t>
      </w:r>
      <w:r>
        <w:rPr>
          <w:rFonts w:hint="eastAsia"/>
          <w:sz w:val="24"/>
        </w:rPr>
        <w:t>分</w:t>
      </w:r>
    </w:p>
    <w:p w14:paraId="551B1C04">
      <w:pPr>
        <w:keepNext/>
        <w:spacing w:line="460" w:lineRule="exact"/>
        <w:ind w:firstLine="480" w:firstLineChars="200"/>
        <w:rPr>
          <w:sz w:val="24"/>
        </w:rPr>
      </w:pPr>
      <w:r>
        <w:rPr>
          <w:rFonts w:hint="eastAsia"/>
          <w:sz w:val="24"/>
        </w:rPr>
        <w:t>（三）</w:t>
      </w:r>
      <w:r>
        <w:rPr>
          <w:rFonts w:hint="eastAsia" w:ascii="宋体" w:hAnsi="宋体" w:eastAsia="宋体" w:cs="Times New Roman"/>
          <w:sz w:val="24"/>
          <w:szCs w:val="24"/>
        </w:rPr>
        <w:t>投标人资信</w:t>
      </w:r>
      <w:r>
        <w:rPr>
          <w:sz w:val="24"/>
        </w:rPr>
        <w:t>20</w:t>
      </w:r>
      <w:r>
        <w:rPr>
          <w:rFonts w:hint="eastAsia"/>
          <w:sz w:val="24"/>
        </w:rPr>
        <w:t>分</w:t>
      </w:r>
    </w:p>
    <w:p w14:paraId="75C53F4B">
      <w:pPr>
        <w:keepNext/>
        <w:spacing w:line="460" w:lineRule="exact"/>
        <w:ind w:firstLine="480" w:firstLineChars="200"/>
        <w:rPr>
          <w:sz w:val="24"/>
        </w:rPr>
      </w:pPr>
      <w:r>
        <w:rPr>
          <w:rFonts w:hint="eastAsia"/>
          <w:sz w:val="24"/>
        </w:rPr>
        <w:t>（四）投标报价</w:t>
      </w:r>
      <w:r>
        <w:rPr>
          <w:rFonts w:hint="eastAsia"/>
          <w:sz w:val="24"/>
          <w:lang w:val="en-US" w:eastAsia="zh-CN"/>
        </w:rPr>
        <w:t>3</w:t>
      </w:r>
      <w:r>
        <w:rPr>
          <w:sz w:val="24"/>
        </w:rPr>
        <w:t>0</w:t>
      </w:r>
      <w:r>
        <w:rPr>
          <w:rFonts w:hint="eastAsia"/>
          <w:sz w:val="24"/>
        </w:rPr>
        <w:t>分</w:t>
      </w:r>
    </w:p>
    <w:p w14:paraId="56679187">
      <w:pPr>
        <w:keepNext/>
        <w:spacing w:line="360" w:lineRule="auto"/>
        <w:rPr>
          <w:rFonts w:ascii="宋体"/>
          <w:sz w:val="24"/>
        </w:rPr>
      </w:pPr>
      <w:r>
        <w:rPr>
          <w:rFonts w:hint="eastAsia" w:ascii="宋体" w:hAnsi="宋体"/>
          <w:sz w:val="24"/>
        </w:rPr>
        <w:t>一、施工图设计</w:t>
      </w:r>
      <w:r>
        <w:rPr>
          <w:rFonts w:ascii="宋体" w:hAnsi="宋体"/>
          <w:sz w:val="24"/>
        </w:rPr>
        <w:t>20</w:t>
      </w:r>
      <w:r>
        <w:rPr>
          <w:rFonts w:hint="eastAsia" w:ascii="宋体" w:hAnsi="宋体"/>
          <w:sz w:val="24"/>
        </w:rPr>
        <w:t>分</w:t>
      </w:r>
      <w:r>
        <w:rPr>
          <w:rFonts w:hint="eastAsia" w:ascii="宋体" w:hAnsi="宋体"/>
          <w:color w:val="FF0000"/>
          <w:sz w:val="24"/>
        </w:rPr>
        <w:t>（房屋建筑和市政基础设施工程任选其一）</w:t>
      </w:r>
    </w:p>
    <w:p w14:paraId="0CED8ECD">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default" w:ascii="宋体" w:hAnsi="宋体" w:eastAsia="宋体" w:cs="宋体"/>
          <w:kern w:val="2"/>
          <w:sz w:val="24"/>
          <w:szCs w:val="24"/>
          <w:lang w:val="en-US" w:eastAsia="zh-CN" w:bidi="ar-SA"/>
        </w:rPr>
      </w:pPr>
      <w:r>
        <w:rPr>
          <w:rFonts w:hint="eastAsia" w:cs="宋体"/>
          <w:kern w:val="2"/>
          <w:sz w:val="24"/>
          <w:szCs w:val="24"/>
          <w:lang w:val="en-US" w:eastAsia="zh-CN" w:bidi="ar-SA"/>
        </w:rPr>
        <w:t>（一）</w:t>
      </w:r>
      <w:r>
        <w:rPr>
          <w:rFonts w:hint="eastAsia" w:ascii="宋体" w:hAnsi="宋体" w:eastAsia="宋体" w:cs="宋体"/>
          <w:kern w:val="2"/>
          <w:sz w:val="24"/>
          <w:szCs w:val="24"/>
          <w:lang w:val="en-US" w:eastAsia="zh-CN" w:bidi="ar-SA"/>
        </w:rPr>
        <w:t>房屋建筑工程技术标</w:t>
      </w:r>
      <w:r>
        <w:rPr>
          <w:rFonts w:hint="eastAsia" w:cs="宋体"/>
          <w:kern w:val="2"/>
          <w:sz w:val="24"/>
          <w:szCs w:val="24"/>
          <w:lang w:val="en-US" w:eastAsia="zh-CN" w:bidi="ar-SA"/>
        </w:rPr>
        <w:t>（20分）</w:t>
      </w:r>
    </w:p>
    <w:p w14:paraId="5AF88F6B">
      <w:pPr>
        <w:pStyle w:val="41"/>
        <w:keepNext w:val="0"/>
        <w:keepLines w:val="0"/>
        <w:pageBreakBefore w:val="0"/>
        <w:widowControl w:val="0"/>
        <w:kinsoku/>
        <w:wordWrap/>
        <w:overflowPunct/>
        <w:topLinePunct w:val="0"/>
        <w:autoSpaceDE/>
        <w:autoSpaceDN/>
        <w:bidi w:val="0"/>
        <w:adjustRightInd w:val="0"/>
        <w:snapToGrid w:val="0"/>
        <w:spacing w:before="0" w:beforeAutospacing="0" w:after="0" w:afterAutospacing="0" w:line="578" w:lineRule="exact"/>
        <w:ind w:left="0" w:leftChars="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1.功能适用性评价（</w:t>
      </w:r>
      <w:r>
        <w:rPr>
          <w:rFonts w:hint="eastAsia" w:cs="宋体"/>
          <w:kern w:val="2"/>
          <w:sz w:val="24"/>
          <w:szCs w:val="24"/>
          <w:lang w:val="en-US" w:eastAsia="zh-CN" w:bidi="ar-SA"/>
        </w:rPr>
        <w:t>5</w:t>
      </w:r>
      <w:r>
        <w:rPr>
          <w:rFonts w:hint="eastAsia" w:ascii="宋体" w:hAnsi="宋体" w:eastAsia="宋体" w:cs="宋体"/>
          <w:kern w:val="2"/>
          <w:sz w:val="24"/>
          <w:szCs w:val="24"/>
          <w:lang w:val="en-US" w:eastAsia="zh-CN" w:bidi="ar-SA"/>
        </w:rPr>
        <w:t>分）</w:t>
      </w:r>
    </w:p>
    <w:p w14:paraId="40DB01C0">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具体评价指标为：</w:t>
      </w:r>
    </w:p>
    <w:p w14:paraId="50ECD60A">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（1）符合国土空间规划要求；</w:t>
      </w:r>
    </w:p>
    <w:p w14:paraId="664E4B76">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（2）合理利用土地；</w:t>
      </w:r>
    </w:p>
    <w:p w14:paraId="304EAD60">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（3）功能分区明确，交通组织流畅；</w:t>
      </w:r>
    </w:p>
    <w:p w14:paraId="5BC2A3BF">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（4）建筑功能完善，满足使用要求；</w:t>
      </w:r>
    </w:p>
    <w:p w14:paraId="7C274AD9">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（5）符合国家现行设计规范及相关建设标准。</w:t>
      </w:r>
    </w:p>
    <w:p w14:paraId="5CB5D765">
      <w:pPr>
        <w:pStyle w:val="41"/>
        <w:keepNext w:val="0"/>
        <w:keepLines w:val="0"/>
        <w:pageBreakBefore w:val="0"/>
        <w:widowControl w:val="0"/>
        <w:kinsoku/>
        <w:wordWrap/>
        <w:overflowPunct/>
        <w:topLinePunct w:val="0"/>
        <w:autoSpaceDE/>
        <w:autoSpaceDN/>
        <w:bidi w:val="0"/>
        <w:adjustRightInd w:val="0"/>
        <w:snapToGrid w:val="0"/>
        <w:spacing w:before="0" w:beforeAutospacing="0" w:after="0" w:afterAutospacing="0" w:line="578" w:lineRule="exact"/>
        <w:ind w:left="0" w:leftChars="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2.建筑艺术性评价（</w:t>
      </w:r>
      <w:r>
        <w:rPr>
          <w:rFonts w:hint="eastAsia" w:cs="宋体"/>
          <w:kern w:val="2"/>
          <w:sz w:val="24"/>
          <w:szCs w:val="24"/>
          <w:lang w:val="en-US" w:eastAsia="zh-CN" w:bidi="ar-SA"/>
        </w:rPr>
        <w:t>5</w:t>
      </w:r>
      <w:r>
        <w:rPr>
          <w:rFonts w:hint="eastAsia" w:ascii="宋体" w:hAnsi="宋体" w:eastAsia="宋体" w:cs="宋体"/>
          <w:kern w:val="2"/>
          <w:sz w:val="24"/>
          <w:szCs w:val="24"/>
          <w:lang w:val="en-US" w:eastAsia="zh-CN" w:bidi="ar-SA"/>
        </w:rPr>
        <w:t>分）</w:t>
      </w:r>
    </w:p>
    <w:p w14:paraId="5C0A0367">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具体评价指标为：</w:t>
      </w:r>
    </w:p>
    <w:p w14:paraId="354FB01E">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（1）建筑风貌与周边环境协调统一；</w:t>
      </w:r>
    </w:p>
    <w:p w14:paraId="7E7838D4">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（2）建筑立面与建筑功能性质吻合；</w:t>
      </w:r>
    </w:p>
    <w:p w14:paraId="7A919B35">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（3）建筑造型具有一定的艺术特色。</w:t>
      </w:r>
    </w:p>
    <w:p w14:paraId="2443CE1C">
      <w:pPr>
        <w:pStyle w:val="41"/>
        <w:keepNext w:val="0"/>
        <w:keepLines w:val="0"/>
        <w:pageBreakBefore w:val="0"/>
        <w:widowControl w:val="0"/>
        <w:kinsoku/>
        <w:wordWrap/>
        <w:overflowPunct/>
        <w:topLinePunct w:val="0"/>
        <w:autoSpaceDE/>
        <w:autoSpaceDN/>
        <w:bidi w:val="0"/>
        <w:adjustRightInd w:val="0"/>
        <w:snapToGrid w:val="0"/>
        <w:spacing w:before="0" w:beforeAutospacing="0" w:after="0" w:afterAutospacing="0" w:line="578" w:lineRule="exact"/>
        <w:ind w:left="0" w:leftChars="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3.工程经济性评价（</w:t>
      </w:r>
      <w:r>
        <w:rPr>
          <w:rFonts w:hint="eastAsia" w:cs="宋体"/>
          <w:kern w:val="2"/>
          <w:sz w:val="24"/>
          <w:szCs w:val="24"/>
          <w:lang w:val="en-US" w:eastAsia="zh-CN" w:bidi="ar-SA"/>
        </w:rPr>
        <w:t>3</w:t>
      </w:r>
      <w:r>
        <w:rPr>
          <w:rFonts w:hint="eastAsia" w:ascii="宋体" w:hAnsi="宋体" w:eastAsia="宋体" w:cs="宋体"/>
          <w:kern w:val="2"/>
          <w:sz w:val="24"/>
          <w:szCs w:val="24"/>
          <w:lang w:val="en-US" w:eastAsia="zh-CN" w:bidi="ar-SA"/>
        </w:rPr>
        <w:t>分）</w:t>
      </w:r>
    </w:p>
    <w:p w14:paraId="3B97F002">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具体评价指标为：</w:t>
      </w:r>
    </w:p>
    <w:p w14:paraId="400E1AB4">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（1）有效控制工程造价，结构选型科学合理；</w:t>
      </w:r>
    </w:p>
    <w:p w14:paraId="360643A0">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（2）建筑材料及建筑设备应用恰当；</w:t>
      </w:r>
    </w:p>
    <w:p w14:paraId="3A5BA9E9">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（3）建设、运营成本合理集约，绿色节能。</w:t>
      </w:r>
    </w:p>
    <w:p w14:paraId="267B9D86">
      <w:pPr>
        <w:pStyle w:val="41"/>
        <w:keepNext w:val="0"/>
        <w:keepLines w:val="0"/>
        <w:pageBreakBefore w:val="0"/>
        <w:widowControl w:val="0"/>
        <w:kinsoku/>
        <w:wordWrap/>
        <w:overflowPunct/>
        <w:topLinePunct w:val="0"/>
        <w:autoSpaceDE/>
        <w:autoSpaceDN/>
        <w:bidi w:val="0"/>
        <w:adjustRightInd w:val="0"/>
        <w:snapToGrid w:val="0"/>
        <w:spacing w:before="0" w:beforeAutospacing="0" w:after="0" w:afterAutospacing="0" w:line="578" w:lineRule="exact"/>
        <w:ind w:left="0" w:leftChars="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4.科技创新性评价（</w:t>
      </w:r>
      <w:r>
        <w:rPr>
          <w:rFonts w:hint="eastAsia" w:cs="宋体"/>
          <w:kern w:val="2"/>
          <w:sz w:val="24"/>
          <w:szCs w:val="24"/>
          <w:lang w:val="en-US" w:eastAsia="zh-CN" w:bidi="ar-SA"/>
        </w:rPr>
        <w:t>2</w:t>
      </w:r>
      <w:r>
        <w:rPr>
          <w:rFonts w:hint="eastAsia" w:ascii="宋体" w:hAnsi="宋体" w:eastAsia="宋体" w:cs="宋体"/>
          <w:kern w:val="2"/>
          <w:sz w:val="24"/>
          <w:szCs w:val="24"/>
          <w:lang w:val="en-US" w:eastAsia="zh-CN" w:bidi="ar-SA"/>
        </w:rPr>
        <w:t>分）</w:t>
      </w:r>
    </w:p>
    <w:p w14:paraId="52AB6DF0">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具体评价指标为：</w:t>
      </w:r>
    </w:p>
    <w:p w14:paraId="6B30B905">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（1）合理采用先进成熟的新工艺、新材料、新技术、新产品；</w:t>
      </w:r>
    </w:p>
    <w:p w14:paraId="15BB6F7A">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（2）积极应用BIM正向设计、装配式、绿色建筑等。</w:t>
      </w:r>
    </w:p>
    <w:p w14:paraId="7817382F">
      <w:pPr>
        <w:pStyle w:val="41"/>
        <w:keepNext w:val="0"/>
        <w:keepLines w:val="0"/>
        <w:pageBreakBefore w:val="0"/>
        <w:widowControl w:val="0"/>
        <w:kinsoku/>
        <w:wordWrap/>
        <w:overflowPunct/>
        <w:topLinePunct w:val="0"/>
        <w:autoSpaceDE/>
        <w:autoSpaceDN/>
        <w:bidi w:val="0"/>
        <w:adjustRightInd w:val="0"/>
        <w:snapToGrid w:val="0"/>
        <w:spacing w:before="0" w:beforeAutospacing="0" w:after="0" w:afterAutospacing="0" w:line="578" w:lineRule="exact"/>
        <w:ind w:left="0" w:leftChars="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5.其它评价（5分）</w:t>
      </w:r>
    </w:p>
    <w:p w14:paraId="6F2C9BA2">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具体评价指标为：</w:t>
      </w:r>
    </w:p>
    <w:p w14:paraId="54CE7014">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（1）设计文件完整，包括整体鸟瞰图、单体效果图、总平面图、单体建筑平面图、立面图、剖面图等，设计文件深度达到国家相关规范要求等；</w:t>
      </w:r>
    </w:p>
    <w:p w14:paraId="090CAB62">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（2）设计进度安排合理；</w:t>
      </w:r>
    </w:p>
    <w:p w14:paraId="443D83F6">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（3）设计人的服务承诺内容及措施，包括服务保证、问题处理、投资控制等；</w:t>
      </w:r>
    </w:p>
    <w:p w14:paraId="2531CF3C">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（4）设计质量承诺等情况。</w:t>
      </w:r>
    </w:p>
    <w:p w14:paraId="2B7600AC">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（三）市政基础设施工程技术标（</w:t>
      </w:r>
      <w:r>
        <w:rPr>
          <w:rFonts w:hint="eastAsia" w:cs="宋体"/>
          <w:kern w:val="2"/>
          <w:sz w:val="24"/>
          <w:szCs w:val="24"/>
          <w:lang w:val="en-US" w:eastAsia="zh-CN" w:bidi="ar-SA"/>
        </w:rPr>
        <w:t>20</w:t>
      </w:r>
      <w:r>
        <w:rPr>
          <w:rFonts w:hint="eastAsia" w:ascii="宋体" w:hAnsi="宋体" w:eastAsia="宋体" w:cs="宋体"/>
          <w:kern w:val="2"/>
          <w:sz w:val="24"/>
          <w:szCs w:val="24"/>
          <w:lang w:val="en-US" w:eastAsia="zh-CN" w:bidi="ar-SA"/>
        </w:rPr>
        <w:t>分）</w:t>
      </w:r>
    </w:p>
    <w:p w14:paraId="72737B42">
      <w:pPr>
        <w:pStyle w:val="41"/>
        <w:keepNext w:val="0"/>
        <w:keepLines w:val="0"/>
        <w:pageBreakBefore w:val="0"/>
        <w:widowControl w:val="0"/>
        <w:kinsoku/>
        <w:wordWrap/>
        <w:overflowPunct/>
        <w:topLinePunct w:val="0"/>
        <w:autoSpaceDE/>
        <w:autoSpaceDN/>
        <w:bidi w:val="0"/>
        <w:adjustRightInd w:val="0"/>
        <w:snapToGrid w:val="0"/>
        <w:spacing w:before="0" w:beforeAutospacing="0" w:after="0" w:afterAutospacing="0" w:line="578" w:lineRule="exact"/>
        <w:ind w:left="0" w:leftChars="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1.功能适用性评价（5分）</w:t>
      </w:r>
    </w:p>
    <w:p w14:paraId="4B189D5C">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具体评价指标为：</w:t>
      </w:r>
    </w:p>
    <w:p w14:paraId="448DFCA1">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（1）符合国土空间规划及有关专业专项规划要求；</w:t>
      </w:r>
    </w:p>
    <w:p w14:paraId="3C1B56E0">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（2）合理利用土地；</w:t>
      </w:r>
    </w:p>
    <w:p w14:paraId="078E9E25">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（3）有关专业考虑周全、布局合理、功能完善，能满足使用要求；</w:t>
      </w:r>
    </w:p>
    <w:p w14:paraId="0BE058A6">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（4）与周边路网、管网（给水、排水、热力、燃气、强电、弱电等）合理衔接；</w:t>
      </w:r>
    </w:p>
    <w:p w14:paraId="04FC64F0">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（5）安全适用，城市道路、桥梁等工程的艺术性。</w:t>
      </w:r>
    </w:p>
    <w:p w14:paraId="4F5A2B18">
      <w:pPr>
        <w:pStyle w:val="41"/>
        <w:keepNext w:val="0"/>
        <w:keepLines w:val="0"/>
        <w:pageBreakBefore w:val="0"/>
        <w:widowControl w:val="0"/>
        <w:kinsoku/>
        <w:wordWrap/>
        <w:overflowPunct/>
        <w:topLinePunct w:val="0"/>
        <w:autoSpaceDE/>
        <w:autoSpaceDN/>
        <w:bidi w:val="0"/>
        <w:adjustRightInd w:val="0"/>
        <w:snapToGrid w:val="0"/>
        <w:spacing w:before="0" w:beforeAutospacing="0" w:after="0" w:afterAutospacing="0" w:line="578" w:lineRule="exact"/>
        <w:ind w:left="0" w:leftChars="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2.技术合理性评价（</w:t>
      </w:r>
      <w:r>
        <w:rPr>
          <w:rFonts w:hint="eastAsia" w:cs="宋体"/>
          <w:kern w:val="2"/>
          <w:sz w:val="24"/>
          <w:szCs w:val="24"/>
          <w:lang w:val="en-US" w:eastAsia="zh-CN" w:bidi="ar-SA"/>
        </w:rPr>
        <w:t>5</w:t>
      </w:r>
      <w:r>
        <w:rPr>
          <w:rFonts w:hint="eastAsia" w:ascii="宋体" w:hAnsi="宋体" w:eastAsia="宋体" w:cs="宋体"/>
          <w:kern w:val="2"/>
          <w:sz w:val="24"/>
          <w:szCs w:val="24"/>
          <w:lang w:val="en-US" w:eastAsia="zh-CN" w:bidi="ar-SA"/>
        </w:rPr>
        <w:t>分）</w:t>
      </w:r>
    </w:p>
    <w:p w14:paraId="20C44959">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具体评价指标为：</w:t>
      </w:r>
    </w:p>
    <w:p w14:paraId="71E29B57">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（1）因地制宜，满足工程地形、地质、水文等工程要求，与沿线周边环境协调性；</w:t>
      </w:r>
    </w:p>
    <w:p w14:paraId="582B6041">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（2）主要专业方案设计需通过方案比选，且论述论证具有一定深度；</w:t>
      </w:r>
    </w:p>
    <w:p w14:paraId="328507ED">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（3）项目设计特点描述准确，设计内容有独到见解且具有创新性，关键技术问题解决方案完整、切实可行，解决措施行之有效；</w:t>
      </w:r>
    </w:p>
    <w:p w14:paraId="4F3244C5">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（4）设计方案绿色节能，融入海绵城市因素；</w:t>
      </w:r>
    </w:p>
    <w:p w14:paraId="073CDDA5">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（5）符合国家设计规范及相关建设标准。</w:t>
      </w:r>
    </w:p>
    <w:p w14:paraId="0DCD264D">
      <w:pPr>
        <w:pStyle w:val="41"/>
        <w:keepNext w:val="0"/>
        <w:keepLines w:val="0"/>
        <w:pageBreakBefore w:val="0"/>
        <w:widowControl w:val="0"/>
        <w:kinsoku/>
        <w:wordWrap/>
        <w:overflowPunct/>
        <w:topLinePunct w:val="0"/>
        <w:autoSpaceDE/>
        <w:autoSpaceDN/>
        <w:bidi w:val="0"/>
        <w:adjustRightInd w:val="0"/>
        <w:snapToGrid w:val="0"/>
        <w:spacing w:before="0" w:beforeAutospacing="0" w:after="0" w:afterAutospacing="0" w:line="578" w:lineRule="exact"/>
        <w:ind w:left="0" w:leftChars="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3.工程经济性评价（</w:t>
      </w:r>
      <w:r>
        <w:rPr>
          <w:rFonts w:hint="eastAsia" w:cs="宋体"/>
          <w:kern w:val="2"/>
          <w:sz w:val="24"/>
          <w:szCs w:val="24"/>
          <w:lang w:val="en-US" w:eastAsia="zh-CN" w:bidi="ar-SA"/>
        </w:rPr>
        <w:t>3</w:t>
      </w:r>
      <w:r>
        <w:rPr>
          <w:rFonts w:hint="eastAsia" w:ascii="宋体" w:hAnsi="宋体" w:eastAsia="宋体" w:cs="宋体"/>
          <w:kern w:val="2"/>
          <w:sz w:val="24"/>
          <w:szCs w:val="24"/>
          <w:lang w:val="en-US" w:eastAsia="zh-CN" w:bidi="ar-SA"/>
        </w:rPr>
        <w:t>分）</w:t>
      </w:r>
    </w:p>
    <w:p w14:paraId="3E35B9E7">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具体评价指标为：</w:t>
      </w:r>
    </w:p>
    <w:p w14:paraId="61863037">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（1）投资估算编制全面，技术经济指标合理；</w:t>
      </w:r>
    </w:p>
    <w:p w14:paraId="23F91B8F">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（2）有效控制工程造价，满足招标文件要求；</w:t>
      </w:r>
    </w:p>
    <w:p w14:paraId="730C82CA">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（3）建设、运营成本节约，绿色节能。</w:t>
      </w:r>
    </w:p>
    <w:p w14:paraId="2EEA1D83">
      <w:pPr>
        <w:pStyle w:val="41"/>
        <w:keepNext w:val="0"/>
        <w:keepLines w:val="0"/>
        <w:pageBreakBefore w:val="0"/>
        <w:widowControl w:val="0"/>
        <w:kinsoku/>
        <w:wordWrap/>
        <w:overflowPunct/>
        <w:topLinePunct w:val="0"/>
        <w:autoSpaceDE/>
        <w:autoSpaceDN/>
        <w:bidi w:val="0"/>
        <w:adjustRightInd w:val="0"/>
        <w:snapToGrid w:val="0"/>
        <w:spacing w:before="0" w:beforeAutospacing="0" w:after="0" w:afterAutospacing="0" w:line="578" w:lineRule="exact"/>
        <w:ind w:left="0" w:leftChars="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4.科技创新性评价（</w:t>
      </w:r>
      <w:r>
        <w:rPr>
          <w:rFonts w:hint="eastAsia" w:cs="宋体"/>
          <w:kern w:val="2"/>
          <w:sz w:val="24"/>
          <w:szCs w:val="24"/>
          <w:lang w:val="en-US" w:eastAsia="zh-CN" w:bidi="ar-SA"/>
        </w:rPr>
        <w:t>2</w:t>
      </w:r>
      <w:r>
        <w:rPr>
          <w:rFonts w:hint="eastAsia" w:ascii="宋体" w:hAnsi="宋体" w:eastAsia="宋体" w:cs="宋体"/>
          <w:kern w:val="2"/>
          <w:sz w:val="24"/>
          <w:szCs w:val="24"/>
          <w:lang w:val="en-US" w:eastAsia="zh-CN" w:bidi="ar-SA"/>
        </w:rPr>
        <w:t>分）</w:t>
      </w:r>
    </w:p>
    <w:p w14:paraId="39BAE527">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具体评价指标为：</w:t>
      </w:r>
    </w:p>
    <w:p w14:paraId="09019D69">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（1）合理采用先进成熟的新工艺、新材料、新技术、新产品；</w:t>
      </w:r>
    </w:p>
    <w:p w14:paraId="279EE098">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（2）积极应用BIM正向设计、装配式、绿色建筑等。</w:t>
      </w:r>
    </w:p>
    <w:p w14:paraId="2FCDB66F">
      <w:pPr>
        <w:pStyle w:val="41"/>
        <w:keepNext w:val="0"/>
        <w:keepLines w:val="0"/>
        <w:pageBreakBefore w:val="0"/>
        <w:widowControl w:val="0"/>
        <w:kinsoku/>
        <w:wordWrap/>
        <w:overflowPunct/>
        <w:topLinePunct w:val="0"/>
        <w:autoSpaceDE/>
        <w:autoSpaceDN/>
        <w:bidi w:val="0"/>
        <w:adjustRightInd w:val="0"/>
        <w:snapToGrid w:val="0"/>
        <w:spacing w:before="0" w:beforeAutospacing="0" w:after="0" w:afterAutospacing="0" w:line="578" w:lineRule="exact"/>
        <w:ind w:left="0" w:leftChars="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5.其它评价（5分）</w:t>
      </w:r>
    </w:p>
    <w:p w14:paraId="65B2F333">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具体评价指标为：</w:t>
      </w:r>
    </w:p>
    <w:p w14:paraId="7798BACB">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（1）设计文件完整，设计图纸包括效果图，管线综合图，主要专业总平面图、竖向图、断面图、重要节点图等；</w:t>
      </w:r>
    </w:p>
    <w:p w14:paraId="324F60E8">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（2）设计进度安排合理；</w:t>
      </w:r>
    </w:p>
    <w:p w14:paraId="6B7DC0DD">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（3）设计人的服务承诺内容及措施，包括设计质量保证措施、各项服务保证、问题处理等；</w:t>
      </w:r>
    </w:p>
    <w:p w14:paraId="5BF1A042">
      <w:pPr>
        <w:pStyle w:val="41"/>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0" w:beforeAutospacing="0" w:after="0" w:afterAutospacing="0" w:line="578" w:lineRule="exact"/>
        <w:ind w:left="0" w:leftChars="0" w:right="0" w:firstLine="480" w:firstLineChars="200"/>
        <w:jc w:val="both"/>
        <w:textAlignment w:val="auto"/>
        <w:rPr>
          <w:sz w:val="24"/>
        </w:rPr>
      </w:pPr>
      <w:r>
        <w:rPr>
          <w:rFonts w:hint="eastAsia" w:ascii="宋体" w:hAnsi="宋体" w:eastAsia="宋体" w:cs="宋体"/>
          <w:kern w:val="2"/>
          <w:sz w:val="24"/>
          <w:szCs w:val="24"/>
          <w:lang w:val="en-US" w:eastAsia="zh-CN" w:bidi="ar-SA"/>
        </w:rPr>
        <w:t>（4）设计质量承诺情况。</w:t>
      </w:r>
    </w:p>
    <w:p w14:paraId="11E839D1">
      <w:pPr>
        <w:keepNext/>
        <w:spacing w:line="360" w:lineRule="auto"/>
        <w:rPr>
          <w:rFonts w:ascii="宋体"/>
          <w:sz w:val="24"/>
        </w:rPr>
      </w:pPr>
      <w:r>
        <w:rPr>
          <w:rFonts w:hint="eastAsia" w:ascii="宋体" w:hAnsi="宋体"/>
          <w:sz w:val="24"/>
        </w:rPr>
        <w:t>二、承包人实施方案</w:t>
      </w:r>
      <w:r>
        <w:rPr>
          <w:rFonts w:ascii="宋体" w:hAnsi="宋体"/>
          <w:sz w:val="24"/>
        </w:rPr>
        <w:t>30</w:t>
      </w:r>
      <w:r>
        <w:rPr>
          <w:rFonts w:hint="eastAsia" w:ascii="宋体" w:hAnsi="宋体"/>
          <w:sz w:val="24"/>
        </w:rPr>
        <w:t>分</w:t>
      </w:r>
    </w:p>
    <w:p w14:paraId="2AB30D40">
      <w:pPr>
        <w:spacing w:line="360" w:lineRule="auto"/>
        <w:ind w:firstLine="480" w:firstLineChars="200"/>
        <w:rPr>
          <w:rFonts w:ascii="宋体" w:cs="宋体"/>
          <w:sz w:val="24"/>
        </w:rPr>
      </w:pPr>
      <w:r>
        <w:rPr>
          <w:rFonts w:hint="eastAsia" w:ascii="宋体" w:hAnsi="宋体" w:cs="宋体"/>
          <w:sz w:val="24"/>
        </w:rPr>
        <w:t>（一）承包人实施方案流程图</w:t>
      </w:r>
      <w:r>
        <w:rPr>
          <w:rFonts w:ascii="宋体" w:hAnsi="宋体" w:cs="宋体"/>
          <w:sz w:val="24"/>
        </w:rPr>
        <w:t>3</w:t>
      </w:r>
      <w:r>
        <w:rPr>
          <w:rFonts w:hint="eastAsia" w:ascii="宋体" w:hAnsi="宋体" w:cs="宋体"/>
          <w:sz w:val="24"/>
        </w:rPr>
        <w:t>分</w:t>
      </w:r>
    </w:p>
    <w:p w14:paraId="4B780643">
      <w:pPr>
        <w:pStyle w:val="19"/>
        <w:rPr>
          <w:sz w:val="24"/>
        </w:rPr>
      </w:pPr>
      <w:r>
        <w:rPr>
          <w:rFonts w:ascii="宋体" w:hAnsi="宋体" w:cs="宋体"/>
          <w:sz w:val="24"/>
        </w:rPr>
        <w:t xml:space="preserve">     </w:t>
      </w:r>
      <w:r>
        <w:rPr>
          <w:rFonts w:hint="eastAsia" w:ascii="宋体" w:hAnsi="宋体" w:cs="宋体"/>
          <w:sz w:val="24"/>
        </w:rPr>
        <w:t>树立明确目标，包括工期、投资、质量计划等。</w:t>
      </w:r>
    </w:p>
    <w:p w14:paraId="46C67E29">
      <w:pPr>
        <w:spacing w:line="360" w:lineRule="auto"/>
        <w:ind w:firstLine="480" w:firstLineChars="200"/>
        <w:rPr>
          <w:rFonts w:ascii="宋体" w:cs="宋体"/>
          <w:sz w:val="24"/>
        </w:rPr>
      </w:pPr>
      <w:r>
        <w:rPr>
          <w:rFonts w:ascii="宋体" w:hAnsi="宋体" w:cs="宋体"/>
          <w:sz w:val="24"/>
        </w:rPr>
        <w:t xml:space="preserve">  </w:t>
      </w:r>
      <w:r>
        <w:rPr>
          <w:rFonts w:hint="eastAsia" w:ascii="宋体" w:hAnsi="宋体" w:cs="宋体"/>
          <w:sz w:val="24"/>
        </w:rPr>
        <w:t>好：</w:t>
      </w:r>
      <w:r>
        <w:rPr>
          <w:rFonts w:ascii="宋体" w:hAnsi="宋体" w:cs="宋体"/>
          <w:sz w:val="24"/>
        </w:rPr>
        <w:t>3</w:t>
      </w:r>
      <w:r>
        <w:rPr>
          <w:rFonts w:hint="eastAsia" w:ascii="宋体" w:hAnsi="宋体" w:cs="宋体"/>
          <w:sz w:val="24"/>
        </w:rPr>
        <w:t>分；一般：</w:t>
      </w:r>
      <w:r>
        <w:rPr>
          <w:rFonts w:ascii="宋体" w:hAnsi="宋体" w:cs="宋体"/>
          <w:sz w:val="24"/>
        </w:rPr>
        <w:t>2.4</w:t>
      </w:r>
      <w:r>
        <w:rPr>
          <w:rFonts w:hint="eastAsia" w:ascii="宋体" w:hAnsi="宋体" w:cs="宋体"/>
          <w:sz w:val="24"/>
        </w:rPr>
        <w:t>分；差：</w:t>
      </w:r>
      <w:r>
        <w:rPr>
          <w:rFonts w:ascii="宋体" w:hAnsi="宋体" w:cs="宋体"/>
          <w:sz w:val="24"/>
        </w:rPr>
        <w:t>1.8</w:t>
      </w:r>
      <w:r>
        <w:rPr>
          <w:rFonts w:hint="eastAsia" w:ascii="宋体" w:hAnsi="宋体" w:cs="宋体"/>
          <w:sz w:val="24"/>
        </w:rPr>
        <w:t>分；</w:t>
      </w:r>
    </w:p>
    <w:p w14:paraId="1A6EEDC6">
      <w:pPr>
        <w:spacing w:line="360" w:lineRule="auto"/>
        <w:ind w:firstLine="480" w:firstLineChars="200"/>
        <w:rPr>
          <w:rFonts w:ascii="宋体"/>
          <w:sz w:val="24"/>
        </w:rPr>
      </w:pPr>
      <w:r>
        <w:rPr>
          <w:rFonts w:hint="eastAsia" w:ascii="宋体" w:hAnsi="宋体" w:cs="宋体"/>
          <w:sz w:val="24"/>
        </w:rPr>
        <w:t>（二）</w:t>
      </w:r>
      <w:r>
        <w:rPr>
          <w:rFonts w:hint="eastAsia" w:ascii="宋体" w:hAnsi="宋体"/>
          <w:sz w:val="24"/>
        </w:rPr>
        <w:t>承包人实施方案计划书和实施要点</w:t>
      </w:r>
      <w:r>
        <w:rPr>
          <w:rFonts w:ascii="宋体" w:hAnsi="宋体"/>
          <w:sz w:val="24"/>
        </w:rPr>
        <w:t xml:space="preserve"> 7</w:t>
      </w:r>
      <w:r>
        <w:rPr>
          <w:rFonts w:hint="eastAsia" w:ascii="宋体" w:hAnsi="宋体"/>
          <w:sz w:val="24"/>
        </w:rPr>
        <w:t>分</w:t>
      </w:r>
    </w:p>
    <w:p w14:paraId="6D12A4EF">
      <w:pPr>
        <w:spacing w:line="360" w:lineRule="auto"/>
        <w:ind w:firstLine="480" w:firstLineChars="200"/>
        <w:rPr>
          <w:rFonts w:ascii="宋体"/>
          <w:sz w:val="24"/>
        </w:rPr>
      </w:pPr>
      <w:r>
        <w:rPr>
          <w:rFonts w:hint="eastAsia" w:ascii="宋体" w:hAnsi="宋体" w:cs="宋体"/>
          <w:sz w:val="24"/>
        </w:rPr>
        <w:t>详细编制本项目实施步骤、总体管理、控制标准、控制计划及控制方法、组织形式、项目阶段划分、项目工作分解结构、项目分包和采购计划、项目沟通与协调程序。项目实施要点包括</w:t>
      </w:r>
      <w:r>
        <w:rPr>
          <w:rFonts w:hint="eastAsia" w:ascii="宋体" w:hAnsi="宋体"/>
          <w:sz w:val="24"/>
        </w:rPr>
        <w:t>施工图设计实施要点、采购实施要点、项目施工实施要点、试运行实施要点等；在节能、环保、低碳、智能、绿色设计理念的体现及科技成果的应用。</w:t>
      </w:r>
    </w:p>
    <w:p w14:paraId="157D3AC1">
      <w:pPr>
        <w:spacing w:line="360" w:lineRule="auto"/>
        <w:ind w:firstLine="480" w:firstLineChars="200"/>
        <w:rPr>
          <w:rFonts w:ascii="宋体" w:cs="宋体"/>
          <w:sz w:val="24"/>
        </w:rPr>
      </w:pPr>
      <w:r>
        <w:rPr>
          <w:rFonts w:ascii="宋体" w:hAnsi="宋体" w:cs="宋体"/>
          <w:sz w:val="24"/>
        </w:rPr>
        <w:t xml:space="preserve"> </w:t>
      </w:r>
      <w:r>
        <w:rPr>
          <w:rFonts w:hint="eastAsia" w:ascii="宋体" w:hAnsi="宋体" w:cs="宋体"/>
          <w:sz w:val="24"/>
        </w:rPr>
        <w:t>好：</w:t>
      </w:r>
      <w:r>
        <w:rPr>
          <w:rFonts w:ascii="宋体" w:hAnsi="宋体" w:cs="宋体"/>
          <w:sz w:val="24"/>
        </w:rPr>
        <w:t>7</w:t>
      </w:r>
      <w:r>
        <w:rPr>
          <w:rFonts w:hint="eastAsia" w:ascii="宋体" w:hAnsi="宋体" w:cs="宋体"/>
          <w:sz w:val="24"/>
        </w:rPr>
        <w:t>分；一般：</w:t>
      </w:r>
      <w:r>
        <w:rPr>
          <w:rFonts w:ascii="宋体" w:hAnsi="宋体" w:cs="宋体"/>
          <w:sz w:val="24"/>
        </w:rPr>
        <w:t>6</w:t>
      </w:r>
      <w:r>
        <w:rPr>
          <w:rFonts w:hint="eastAsia" w:ascii="宋体" w:hAnsi="宋体" w:cs="宋体"/>
          <w:sz w:val="24"/>
        </w:rPr>
        <w:t>分；差：</w:t>
      </w:r>
      <w:r>
        <w:rPr>
          <w:rFonts w:ascii="宋体" w:hAnsi="宋体" w:cs="宋体"/>
          <w:sz w:val="24"/>
        </w:rPr>
        <w:t>5</w:t>
      </w:r>
      <w:r>
        <w:rPr>
          <w:rFonts w:hint="eastAsia" w:ascii="宋体" w:hAnsi="宋体" w:cs="宋体"/>
          <w:sz w:val="24"/>
        </w:rPr>
        <w:t>分；</w:t>
      </w:r>
    </w:p>
    <w:p w14:paraId="36EAF5D6">
      <w:pPr>
        <w:pStyle w:val="19"/>
        <w:rPr>
          <w:rFonts w:ascii="宋体" w:cs="宋体"/>
          <w:sz w:val="24"/>
        </w:rPr>
      </w:pPr>
      <w:r>
        <w:rPr>
          <w:rFonts w:hint="eastAsia" w:ascii="宋体" w:hAnsi="宋体" w:cs="宋体"/>
          <w:sz w:val="24"/>
        </w:rPr>
        <w:t>（三）施工组织设计</w:t>
      </w:r>
      <w:r>
        <w:rPr>
          <w:rFonts w:ascii="宋体" w:hAnsi="宋体" w:cs="宋体"/>
          <w:sz w:val="24"/>
        </w:rPr>
        <w:t>20</w:t>
      </w:r>
      <w:r>
        <w:rPr>
          <w:rFonts w:hint="eastAsia" w:ascii="宋体" w:hAnsi="宋体" w:cs="宋体"/>
          <w:sz w:val="24"/>
        </w:rPr>
        <w:t>分</w:t>
      </w:r>
    </w:p>
    <w:p w14:paraId="46F629C0">
      <w:pPr>
        <w:spacing w:line="360" w:lineRule="auto"/>
        <w:ind w:firstLine="480" w:firstLineChars="200"/>
        <w:rPr>
          <w:rFonts w:ascii="宋体" w:cs="宋体"/>
          <w:sz w:val="24"/>
        </w:rPr>
      </w:pPr>
      <w:r>
        <w:rPr>
          <w:rFonts w:hint="eastAsia" w:ascii="宋体" w:hAnsi="宋体" w:cs="宋体"/>
          <w:sz w:val="24"/>
        </w:rPr>
        <w:t>（一）评审因素及赋分</w:t>
      </w:r>
    </w:p>
    <w:p w14:paraId="557CD06B">
      <w:pPr>
        <w:spacing w:line="360" w:lineRule="auto"/>
        <w:ind w:firstLine="480" w:firstLineChars="200"/>
        <w:rPr>
          <w:rFonts w:hint="eastAsia" w:ascii="宋体" w:hAnsi="宋体"/>
          <w:sz w:val="24"/>
          <w:szCs w:val="24"/>
        </w:rPr>
      </w:pPr>
      <w:r>
        <w:rPr>
          <w:rFonts w:hint="eastAsia" w:ascii="宋体" w:hAnsi="宋体"/>
          <w:sz w:val="24"/>
          <w:szCs w:val="24"/>
        </w:rPr>
        <w:t>1.施工方案1</w:t>
      </w:r>
      <w:r>
        <w:rPr>
          <w:rFonts w:hint="eastAsia" w:ascii="宋体" w:hAnsi="宋体"/>
          <w:sz w:val="24"/>
          <w:szCs w:val="24"/>
          <w:lang w:val="en-US" w:eastAsia="zh-CN"/>
        </w:rPr>
        <w:t>5</w:t>
      </w:r>
      <w:r>
        <w:rPr>
          <w:rFonts w:hint="eastAsia" w:ascii="宋体" w:hAnsi="宋体"/>
          <w:sz w:val="24"/>
          <w:szCs w:val="24"/>
        </w:rPr>
        <w:t>分。</w:t>
      </w:r>
    </w:p>
    <w:p w14:paraId="56056F28">
      <w:pPr>
        <w:spacing w:line="360" w:lineRule="auto"/>
        <w:ind w:firstLine="480" w:firstLineChars="200"/>
        <w:rPr>
          <w:rFonts w:hint="eastAsia" w:ascii="宋体" w:hAnsi="宋体"/>
          <w:sz w:val="24"/>
          <w:szCs w:val="24"/>
        </w:rPr>
      </w:pPr>
      <w:r>
        <w:rPr>
          <w:rFonts w:hint="eastAsia" w:ascii="宋体" w:hAnsi="宋体"/>
          <w:sz w:val="24"/>
          <w:szCs w:val="24"/>
        </w:rPr>
        <w:t>（1）拟招标工程施工总体方案：</w:t>
      </w:r>
      <w:r>
        <w:rPr>
          <w:rFonts w:hint="eastAsia" w:ascii="宋体" w:hAnsi="宋体"/>
          <w:sz w:val="24"/>
          <w:szCs w:val="24"/>
          <w:lang w:val="en-US" w:eastAsia="zh-CN"/>
        </w:rPr>
        <w:t>2</w:t>
      </w:r>
      <w:r>
        <w:rPr>
          <w:rFonts w:hint="eastAsia" w:ascii="宋体" w:hAnsi="宋体"/>
          <w:sz w:val="24"/>
          <w:szCs w:val="24"/>
        </w:rPr>
        <w:t>分</w:t>
      </w:r>
    </w:p>
    <w:p w14:paraId="101FBF2B">
      <w:pPr>
        <w:pStyle w:val="19"/>
        <w:rPr>
          <w:rFonts w:hint="eastAsia"/>
          <w:sz w:val="24"/>
          <w:szCs w:val="24"/>
        </w:rPr>
      </w:pPr>
      <w:r>
        <w:rPr>
          <w:rFonts w:hint="eastAsia"/>
          <w:sz w:val="24"/>
          <w:szCs w:val="24"/>
        </w:rPr>
        <w:t xml:space="preserve">      好：</w:t>
      </w:r>
      <w:r>
        <w:rPr>
          <w:rFonts w:hint="eastAsia"/>
          <w:sz w:val="24"/>
          <w:szCs w:val="24"/>
          <w:lang w:val="en-US" w:eastAsia="zh-CN"/>
        </w:rPr>
        <w:t>2</w:t>
      </w:r>
      <w:r>
        <w:rPr>
          <w:rFonts w:hint="eastAsia"/>
          <w:sz w:val="24"/>
          <w:szCs w:val="24"/>
        </w:rPr>
        <w:t>分；一般</w:t>
      </w:r>
      <w:r>
        <w:rPr>
          <w:rFonts w:hint="eastAsia"/>
          <w:sz w:val="24"/>
          <w:szCs w:val="24"/>
          <w:lang w:val="en-US" w:eastAsia="zh-CN"/>
        </w:rPr>
        <w:t>1.6</w:t>
      </w:r>
      <w:r>
        <w:rPr>
          <w:rFonts w:hint="eastAsia"/>
          <w:sz w:val="24"/>
          <w:szCs w:val="24"/>
        </w:rPr>
        <w:t>分；差</w:t>
      </w:r>
      <w:r>
        <w:rPr>
          <w:rFonts w:hint="eastAsia"/>
          <w:sz w:val="24"/>
          <w:szCs w:val="24"/>
          <w:lang w:val="en-US" w:eastAsia="zh-CN"/>
        </w:rPr>
        <w:t>1.2</w:t>
      </w:r>
      <w:r>
        <w:rPr>
          <w:rFonts w:hint="eastAsia"/>
          <w:sz w:val="24"/>
          <w:szCs w:val="24"/>
        </w:rPr>
        <w:t>分</w:t>
      </w:r>
    </w:p>
    <w:p w14:paraId="5B2ACA87">
      <w:pPr>
        <w:spacing w:line="360" w:lineRule="auto"/>
        <w:ind w:left="420" w:firstLine="120" w:firstLineChars="50"/>
        <w:rPr>
          <w:rFonts w:hint="eastAsia" w:ascii="宋体" w:hAnsi="宋体"/>
          <w:sz w:val="24"/>
          <w:szCs w:val="24"/>
        </w:rPr>
      </w:pPr>
      <w:r>
        <w:rPr>
          <w:rFonts w:hint="eastAsia" w:ascii="宋体" w:hAnsi="宋体"/>
          <w:sz w:val="24"/>
          <w:szCs w:val="24"/>
        </w:rPr>
        <w:t>(2)关键部位施工方案：2分</w:t>
      </w:r>
    </w:p>
    <w:p w14:paraId="39D9F706">
      <w:pPr>
        <w:pStyle w:val="19"/>
        <w:rPr>
          <w:rFonts w:hint="eastAsia"/>
          <w:sz w:val="24"/>
          <w:szCs w:val="24"/>
        </w:rPr>
      </w:pPr>
      <w:r>
        <w:rPr>
          <w:rFonts w:hint="eastAsia"/>
          <w:sz w:val="24"/>
          <w:szCs w:val="24"/>
        </w:rPr>
        <w:t xml:space="preserve">      好：2分；一般1.6分；差1.2分</w:t>
      </w:r>
    </w:p>
    <w:p w14:paraId="11170E40">
      <w:pPr>
        <w:spacing w:line="360" w:lineRule="auto"/>
        <w:ind w:left="420" w:firstLine="120" w:firstLineChars="50"/>
        <w:rPr>
          <w:rFonts w:hint="eastAsia" w:ascii="宋体" w:hAnsi="宋体"/>
          <w:sz w:val="24"/>
          <w:szCs w:val="24"/>
        </w:rPr>
      </w:pPr>
      <w:r>
        <w:rPr>
          <w:rFonts w:hint="eastAsia" w:ascii="宋体" w:hAnsi="宋体"/>
          <w:sz w:val="24"/>
          <w:szCs w:val="24"/>
        </w:rPr>
        <w:t>(3)大型机械进出场方案：1分</w:t>
      </w:r>
    </w:p>
    <w:p w14:paraId="569B58DD">
      <w:pPr>
        <w:pStyle w:val="19"/>
        <w:rPr>
          <w:rFonts w:hint="eastAsia"/>
          <w:sz w:val="24"/>
          <w:szCs w:val="24"/>
        </w:rPr>
      </w:pPr>
      <w:r>
        <w:rPr>
          <w:rFonts w:hint="eastAsia"/>
          <w:sz w:val="24"/>
          <w:szCs w:val="24"/>
        </w:rPr>
        <w:t xml:space="preserve">      好：1分；一般0.8分；差0.6分</w:t>
      </w:r>
    </w:p>
    <w:p w14:paraId="676B8E22">
      <w:pPr>
        <w:spacing w:line="360" w:lineRule="auto"/>
        <w:ind w:firstLine="600" w:firstLineChars="250"/>
        <w:rPr>
          <w:rFonts w:hint="eastAsia" w:ascii="宋体" w:hAnsi="宋体"/>
          <w:sz w:val="24"/>
          <w:szCs w:val="24"/>
        </w:rPr>
      </w:pPr>
      <w:r>
        <w:rPr>
          <w:rFonts w:hint="eastAsia" w:ascii="宋体" w:hAnsi="宋体"/>
          <w:sz w:val="24"/>
          <w:szCs w:val="24"/>
        </w:rPr>
        <w:t>(4)冬雨季施工方案：1分</w:t>
      </w:r>
    </w:p>
    <w:p w14:paraId="5CC45471">
      <w:pPr>
        <w:pStyle w:val="19"/>
        <w:rPr>
          <w:rFonts w:hint="eastAsia"/>
          <w:sz w:val="24"/>
          <w:szCs w:val="24"/>
        </w:rPr>
      </w:pPr>
      <w:r>
        <w:rPr>
          <w:rFonts w:hint="eastAsia"/>
          <w:sz w:val="24"/>
          <w:szCs w:val="24"/>
        </w:rPr>
        <w:t xml:space="preserve">      好：1分；一般0.8分；差0.6分</w:t>
      </w:r>
    </w:p>
    <w:p w14:paraId="723AC949">
      <w:pPr>
        <w:spacing w:line="360" w:lineRule="auto"/>
        <w:ind w:left="420" w:firstLine="120" w:firstLineChars="50"/>
        <w:rPr>
          <w:rFonts w:hint="eastAsia" w:ascii="宋体" w:hAnsi="宋体"/>
          <w:sz w:val="24"/>
          <w:szCs w:val="24"/>
        </w:rPr>
      </w:pPr>
      <w:r>
        <w:rPr>
          <w:rFonts w:hint="eastAsia" w:ascii="宋体" w:hAnsi="宋体"/>
          <w:sz w:val="24"/>
          <w:szCs w:val="24"/>
        </w:rPr>
        <w:t>(5)夜间施工方案：1分</w:t>
      </w:r>
    </w:p>
    <w:p w14:paraId="04BC2214">
      <w:pPr>
        <w:pStyle w:val="19"/>
        <w:rPr>
          <w:rFonts w:hint="eastAsia"/>
          <w:sz w:val="24"/>
          <w:szCs w:val="24"/>
        </w:rPr>
      </w:pPr>
      <w:r>
        <w:rPr>
          <w:rFonts w:hint="eastAsia"/>
          <w:sz w:val="24"/>
          <w:szCs w:val="24"/>
        </w:rPr>
        <w:t xml:space="preserve">      好：1分；一般0.8分；差0.6分</w:t>
      </w:r>
    </w:p>
    <w:p w14:paraId="40CB2179">
      <w:pPr>
        <w:spacing w:line="360" w:lineRule="auto"/>
        <w:ind w:firstLine="600" w:firstLineChars="250"/>
        <w:rPr>
          <w:rFonts w:hint="eastAsia" w:ascii="宋体" w:hAnsi="宋体"/>
          <w:sz w:val="24"/>
          <w:szCs w:val="24"/>
        </w:rPr>
      </w:pPr>
      <w:r>
        <w:rPr>
          <w:rFonts w:hint="eastAsia" w:ascii="宋体" w:hAnsi="宋体"/>
          <w:sz w:val="24"/>
          <w:szCs w:val="24"/>
        </w:rPr>
        <w:t>(6)材料进出场及二次搬运方案：1分</w:t>
      </w:r>
    </w:p>
    <w:p w14:paraId="28605245">
      <w:pPr>
        <w:pStyle w:val="19"/>
        <w:rPr>
          <w:rFonts w:hint="eastAsia"/>
          <w:sz w:val="24"/>
          <w:szCs w:val="24"/>
        </w:rPr>
      </w:pPr>
      <w:r>
        <w:rPr>
          <w:rFonts w:hint="eastAsia"/>
          <w:sz w:val="24"/>
          <w:szCs w:val="24"/>
        </w:rPr>
        <w:t xml:space="preserve">      好：1分；一般0.8分；差0.6分</w:t>
      </w:r>
    </w:p>
    <w:p w14:paraId="7B199114">
      <w:pPr>
        <w:spacing w:line="360" w:lineRule="auto"/>
        <w:ind w:left="420" w:firstLine="120" w:firstLineChars="50"/>
        <w:rPr>
          <w:rFonts w:hint="eastAsia" w:ascii="宋体" w:hAnsi="宋体"/>
          <w:sz w:val="24"/>
          <w:szCs w:val="24"/>
        </w:rPr>
      </w:pPr>
      <w:r>
        <w:rPr>
          <w:rFonts w:hint="eastAsia" w:ascii="宋体" w:hAnsi="宋体"/>
          <w:sz w:val="24"/>
          <w:szCs w:val="24"/>
        </w:rPr>
        <w:t>(7)安全文明施工方案：2分</w:t>
      </w:r>
    </w:p>
    <w:p w14:paraId="47CFBAFB">
      <w:pPr>
        <w:pStyle w:val="19"/>
        <w:rPr>
          <w:rFonts w:hint="eastAsia"/>
          <w:b/>
          <w:sz w:val="24"/>
          <w:szCs w:val="24"/>
        </w:rPr>
      </w:pPr>
      <w:r>
        <w:rPr>
          <w:rFonts w:hint="eastAsia"/>
          <w:sz w:val="24"/>
          <w:szCs w:val="24"/>
        </w:rPr>
        <w:t xml:space="preserve">      好：2分；一般1.6分；差1.2分</w:t>
      </w:r>
    </w:p>
    <w:p w14:paraId="6A69E172">
      <w:pPr>
        <w:spacing w:line="360" w:lineRule="auto"/>
        <w:ind w:firstLine="600" w:firstLineChars="250"/>
        <w:rPr>
          <w:rFonts w:hint="eastAsia" w:ascii="宋体" w:hAnsi="宋体"/>
          <w:sz w:val="24"/>
          <w:szCs w:val="24"/>
        </w:rPr>
      </w:pPr>
      <w:r>
        <w:rPr>
          <w:rFonts w:hint="eastAsia" w:ascii="宋体" w:hAnsi="宋体"/>
          <w:sz w:val="24"/>
          <w:szCs w:val="24"/>
        </w:rPr>
        <w:t>(8)生活性和生产性临时设施方案：1分</w:t>
      </w:r>
    </w:p>
    <w:p w14:paraId="32A3109E">
      <w:pPr>
        <w:spacing w:line="360" w:lineRule="auto"/>
        <w:ind w:left="420" w:firstLine="480" w:firstLineChars="200"/>
        <w:rPr>
          <w:rFonts w:hint="eastAsia"/>
          <w:sz w:val="24"/>
          <w:szCs w:val="24"/>
        </w:rPr>
      </w:pPr>
      <w:r>
        <w:rPr>
          <w:rFonts w:hint="eastAsia"/>
          <w:sz w:val="24"/>
          <w:szCs w:val="24"/>
        </w:rPr>
        <w:t>好：1分；一般0.8分；差0.6分</w:t>
      </w:r>
    </w:p>
    <w:p w14:paraId="263FFDED">
      <w:pPr>
        <w:spacing w:line="360" w:lineRule="auto"/>
        <w:ind w:firstLine="480" w:firstLineChars="200"/>
        <w:rPr>
          <w:rFonts w:hint="eastAsia" w:ascii="宋体" w:hAnsi="宋体"/>
          <w:sz w:val="24"/>
          <w:szCs w:val="24"/>
        </w:rPr>
      </w:pPr>
      <w:r>
        <w:rPr>
          <w:rFonts w:hint="eastAsia" w:ascii="宋体" w:hAnsi="宋体"/>
          <w:sz w:val="24"/>
          <w:szCs w:val="24"/>
        </w:rPr>
        <w:t>(9)环境保护及环境污染检测方案：1分</w:t>
      </w:r>
    </w:p>
    <w:p w14:paraId="3DF2AAC7">
      <w:pPr>
        <w:spacing w:line="360" w:lineRule="auto"/>
        <w:ind w:left="420" w:firstLine="480" w:firstLineChars="200"/>
        <w:rPr>
          <w:rFonts w:hint="eastAsia"/>
          <w:sz w:val="24"/>
          <w:szCs w:val="24"/>
        </w:rPr>
      </w:pPr>
      <w:r>
        <w:rPr>
          <w:rFonts w:hint="eastAsia"/>
          <w:sz w:val="24"/>
          <w:szCs w:val="24"/>
        </w:rPr>
        <w:t>好：1分；一般0.8分；差0.6分</w:t>
      </w:r>
    </w:p>
    <w:p w14:paraId="0D69D20A">
      <w:pPr>
        <w:pStyle w:val="19"/>
        <w:ind w:firstLine="360" w:firstLineChars="150"/>
        <w:rPr>
          <w:rFonts w:hint="default"/>
          <w:sz w:val="24"/>
          <w:szCs w:val="24"/>
          <w:lang w:val="en-US"/>
        </w:rPr>
      </w:pPr>
      <w:r>
        <w:rPr>
          <w:rFonts w:hint="eastAsia" w:ascii="宋体" w:hAnsi="宋体"/>
          <w:sz w:val="24"/>
          <w:szCs w:val="24"/>
        </w:rPr>
        <w:t>（10）新技术应用方案</w:t>
      </w:r>
      <w:r>
        <w:rPr>
          <w:rFonts w:hint="eastAsia" w:ascii="宋体" w:hAnsi="宋体"/>
          <w:sz w:val="24"/>
          <w:szCs w:val="24"/>
          <w:lang w:eastAsia="zh-CN"/>
        </w:rPr>
        <w:t>：</w:t>
      </w:r>
      <w:r>
        <w:rPr>
          <w:rFonts w:hint="eastAsia" w:ascii="宋体" w:hAnsi="宋体"/>
          <w:sz w:val="24"/>
          <w:szCs w:val="24"/>
          <w:lang w:val="en-US" w:eastAsia="zh-CN"/>
        </w:rPr>
        <w:t>1分</w:t>
      </w:r>
    </w:p>
    <w:p w14:paraId="60F30310">
      <w:pPr>
        <w:spacing w:line="360" w:lineRule="auto"/>
        <w:ind w:left="420" w:firstLine="480" w:firstLineChars="200"/>
        <w:rPr>
          <w:rFonts w:hint="eastAsia"/>
          <w:sz w:val="24"/>
          <w:szCs w:val="24"/>
        </w:rPr>
      </w:pPr>
      <w:r>
        <w:rPr>
          <w:rFonts w:hint="eastAsia"/>
          <w:sz w:val="24"/>
          <w:szCs w:val="24"/>
        </w:rPr>
        <w:t>好：1分；一般0.8分；差0.6分</w:t>
      </w:r>
    </w:p>
    <w:p w14:paraId="639654D4">
      <w:pPr>
        <w:spacing w:line="360" w:lineRule="auto"/>
        <w:ind w:firstLine="480" w:firstLineChars="200"/>
        <w:rPr>
          <w:rFonts w:hint="eastAsia" w:ascii="宋体" w:hAnsi="宋体"/>
          <w:sz w:val="24"/>
          <w:szCs w:val="24"/>
        </w:rPr>
      </w:pPr>
      <w:r>
        <w:rPr>
          <w:rFonts w:hint="eastAsia" w:ascii="宋体" w:hAnsi="宋体"/>
          <w:sz w:val="24"/>
          <w:szCs w:val="24"/>
        </w:rPr>
        <w:t>（11）降排水方案：1分</w:t>
      </w:r>
    </w:p>
    <w:p w14:paraId="46E3A851">
      <w:pPr>
        <w:spacing w:line="360" w:lineRule="auto"/>
        <w:ind w:left="420" w:firstLine="480" w:firstLineChars="200"/>
        <w:rPr>
          <w:rFonts w:hint="eastAsia"/>
          <w:sz w:val="24"/>
          <w:szCs w:val="24"/>
        </w:rPr>
      </w:pPr>
      <w:r>
        <w:rPr>
          <w:rFonts w:hint="eastAsia"/>
          <w:sz w:val="24"/>
          <w:szCs w:val="24"/>
        </w:rPr>
        <w:t>好：1分；一般0.8分；差0.6分</w:t>
      </w:r>
    </w:p>
    <w:p w14:paraId="4D9A17BF">
      <w:pPr>
        <w:pStyle w:val="19"/>
        <w:ind w:firstLine="360" w:firstLineChars="150"/>
        <w:rPr>
          <w:rFonts w:hint="eastAsia"/>
          <w:sz w:val="24"/>
          <w:szCs w:val="24"/>
        </w:rPr>
      </w:pPr>
      <w:r>
        <w:rPr>
          <w:rFonts w:hint="eastAsia" w:ascii="宋体" w:hAnsi="宋体"/>
          <w:sz w:val="24"/>
          <w:szCs w:val="24"/>
          <w:lang w:eastAsia="zh-CN"/>
        </w:rPr>
        <w:t>（</w:t>
      </w:r>
      <w:r>
        <w:rPr>
          <w:rFonts w:hint="eastAsia" w:ascii="宋体" w:hAnsi="宋体"/>
          <w:sz w:val="24"/>
          <w:szCs w:val="24"/>
          <w:lang w:val="en-US" w:eastAsia="zh-CN"/>
        </w:rPr>
        <w:t>12）</w:t>
      </w:r>
      <w:r>
        <w:rPr>
          <w:rFonts w:hint="eastAsia" w:ascii="宋体" w:hAnsi="宋体"/>
          <w:sz w:val="24"/>
          <w:szCs w:val="24"/>
        </w:rPr>
        <w:t>招标人根据工程实际提出的其他方案：</w:t>
      </w:r>
      <w:r>
        <w:rPr>
          <w:rFonts w:hint="eastAsia" w:ascii="宋体" w:hAnsi="宋体"/>
          <w:sz w:val="24"/>
          <w:szCs w:val="24"/>
          <w:lang w:val="en-US" w:eastAsia="zh-CN"/>
        </w:rPr>
        <w:t>1</w:t>
      </w:r>
      <w:r>
        <w:rPr>
          <w:rFonts w:hint="eastAsia" w:ascii="宋体" w:hAnsi="宋体"/>
          <w:sz w:val="24"/>
          <w:szCs w:val="24"/>
        </w:rPr>
        <w:t>分</w:t>
      </w:r>
    </w:p>
    <w:p w14:paraId="6C1C4800">
      <w:pPr>
        <w:spacing w:line="360" w:lineRule="auto"/>
        <w:ind w:left="420" w:firstLine="480" w:firstLineChars="200"/>
        <w:rPr>
          <w:rFonts w:hint="eastAsia"/>
          <w:sz w:val="24"/>
          <w:szCs w:val="24"/>
        </w:rPr>
      </w:pPr>
      <w:r>
        <w:rPr>
          <w:rFonts w:hint="eastAsia"/>
          <w:sz w:val="24"/>
          <w:szCs w:val="24"/>
        </w:rPr>
        <w:t>好：1分；一般0.8分；差0.6分</w:t>
      </w:r>
    </w:p>
    <w:p w14:paraId="260F4E27">
      <w:pPr>
        <w:spacing w:line="360" w:lineRule="auto"/>
        <w:ind w:firstLine="360" w:firstLineChars="150"/>
        <w:rPr>
          <w:rFonts w:hint="eastAsia" w:ascii="宋体" w:hAnsi="宋体"/>
          <w:sz w:val="24"/>
          <w:szCs w:val="24"/>
        </w:rPr>
      </w:pPr>
      <w:r>
        <w:rPr>
          <w:rFonts w:hint="eastAsia" w:ascii="宋体" w:hAnsi="宋体"/>
          <w:sz w:val="24"/>
          <w:szCs w:val="24"/>
        </w:rPr>
        <w:t>3.保障措施。质量、安全、环保</w:t>
      </w:r>
      <w:r>
        <w:rPr>
          <w:rFonts w:hint="eastAsia" w:ascii="宋体" w:hAnsi="宋体"/>
          <w:sz w:val="24"/>
          <w:szCs w:val="24"/>
          <w:lang w:eastAsia="zh-CN"/>
        </w:rPr>
        <w:t>、消防、降噪</w:t>
      </w:r>
      <w:r>
        <w:rPr>
          <w:rFonts w:hint="eastAsia" w:ascii="宋体" w:hAnsi="宋体"/>
          <w:sz w:val="24"/>
          <w:szCs w:val="24"/>
        </w:rPr>
        <w:t>等措施。</w:t>
      </w:r>
      <w:r>
        <w:rPr>
          <w:rFonts w:hint="eastAsia" w:ascii="宋体" w:hAnsi="宋体"/>
          <w:sz w:val="24"/>
          <w:szCs w:val="24"/>
          <w:lang w:val="en-US" w:eastAsia="zh-CN"/>
        </w:rPr>
        <w:t>3</w:t>
      </w:r>
      <w:r>
        <w:rPr>
          <w:rFonts w:hint="eastAsia" w:ascii="宋体" w:hAnsi="宋体"/>
          <w:sz w:val="24"/>
          <w:szCs w:val="24"/>
        </w:rPr>
        <w:t>分</w:t>
      </w:r>
    </w:p>
    <w:p w14:paraId="5AC772EB">
      <w:pPr>
        <w:spacing w:line="360" w:lineRule="auto"/>
        <w:ind w:firstLine="960" w:firstLineChars="400"/>
        <w:rPr>
          <w:rFonts w:hint="eastAsia"/>
          <w:sz w:val="24"/>
          <w:szCs w:val="24"/>
        </w:rPr>
      </w:pPr>
      <w:r>
        <w:rPr>
          <w:rFonts w:hint="eastAsia"/>
          <w:sz w:val="24"/>
          <w:szCs w:val="24"/>
        </w:rPr>
        <w:t>好：</w:t>
      </w:r>
      <w:r>
        <w:rPr>
          <w:rFonts w:hint="eastAsia"/>
          <w:sz w:val="24"/>
          <w:szCs w:val="24"/>
          <w:lang w:val="en-US" w:eastAsia="zh-CN"/>
        </w:rPr>
        <w:t>3</w:t>
      </w:r>
      <w:r>
        <w:rPr>
          <w:rFonts w:hint="eastAsia"/>
          <w:sz w:val="24"/>
          <w:szCs w:val="24"/>
        </w:rPr>
        <w:t>分；一般</w:t>
      </w:r>
      <w:r>
        <w:rPr>
          <w:rFonts w:hint="eastAsia"/>
          <w:sz w:val="24"/>
          <w:szCs w:val="24"/>
          <w:lang w:val="en-US" w:eastAsia="zh-CN"/>
        </w:rPr>
        <w:t>2.</w:t>
      </w:r>
      <w:r>
        <w:rPr>
          <w:rFonts w:hint="eastAsia"/>
          <w:sz w:val="24"/>
          <w:szCs w:val="24"/>
        </w:rPr>
        <w:t>4分；差</w:t>
      </w:r>
      <w:r>
        <w:rPr>
          <w:rFonts w:hint="eastAsia"/>
          <w:sz w:val="24"/>
          <w:szCs w:val="24"/>
          <w:lang w:val="en-US" w:eastAsia="zh-CN"/>
        </w:rPr>
        <w:t>1.8</w:t>
      </w:r>
      <w:r>
        <w:rPr>
          <w:rFonts w:hint="eastAsia"/>
          <w:sz w:val="24"/>
          <w:szCs w:val="24"/>
        </w:rPr>
        <w:t>分</w:t>
      </w:r>
    </w:p>
    <w:p w14:paraId="6F16FBE0">
      <w:pPr>
        <w:spacing w:line="360" w:lineRule="auto"/>
        <w:ind w:firstLine="480" w:firstLineChars="200"/>
        <w:rPr>
          <w:rFonts w:hint="eastAsia" w:ascii="宋体" w:hAnsi="宋体"/>
          <w:sz w:val="24"/>
          <w:szCs w:val="24"/>
        </w:rPr>
      </w:pPr>
      <w:r>
        <w:rPr>
          <w:rFonts w:hint="eastAsia" w:ascii="宋体" w:hAnsi="宋体"/>
          <w:sz w:val="24"/>
          <w:szCs w:val="24"/>
        </w:rPr>
        <w:t>4．计划安排:拟投入劳动力、机械设备、工期计划和项目班子配备情况。</w:t>
      </w:r>
      <w:r>
        <w:rPr>
          <w:rFonts w:hint="eastAsia" w:ascii="宋体" w:hAnsi="宋体"/>
          <w:sz w:val="24"/>
          <w:szCs w:val="24"/>
          <w:lang w:val="en-US" w:eastAsia="zh-CN"/>
        </w:rPr>
        <w:t>2</w:t>
      </w:r>
      <w:r>
        <w:rPr>
          <w:rFonts w:hint="eastAsia" w:ascii="宋体" w:hAnsi="宋体"/>
          <w:sz w:val="24"/>
          <w:szCs w:val="24"/>
        </w:rPr>
        <w:t>分</w:t>
      </w:r>
    </w:p>
    <w:p w14:paraId="0FCF4385">
      <w:pPr>
        <w:spacing w:line="360" w:lineRule="auto"/>
        <w:ind w:firstLine="960" w:firstLineChars="400"/>
        <w:rPr>
          <w:rFonts w:hint="eastAsia" w:ascii="宋体" w:hAnsi="宋体"/>
          <w:sz w:val="24"/>
        </w:rPr>
      </w:pPr>
      <w:r>
        <w:rPr>
          <w:rFonts w:hint="eastAsia"/>
          <w:sz w:val="24"/>
          <w:szCs w:val="24"/>
        </w:rPr>
        <w:t>好：</w:t>
      </w:r>
      <w:r>
        <w:rPr>
          <w:rFonts w:hint="eastAsia"/>
          <w:sz w:val="24"/>
          <w:szCs w:val="24"/>
          <w:lang w:val="en-US" w:eastAsia="zh-CN"/>
        </w:rPr>
        <w:t>2</w:t>
      </w:r>
      <w:r>
        <w:rPr>
          <w:rFonts w:hint="eastAsia"/>
          <w:sz w:val="24"/>
          <w:szCs w:val="24"/>
        </w:rPr>
        <w:t>分；一般</w:t>
      </w:r>
      <w:r>
        <w:rPr>
          <w:rFonts w:hint="eastAsia"/>
          <w:sz w:val="24"/>
          <w:szCs w:val="24"/>
          <w:lang w:val="en-US" w:eastAsia="zh-CN"/>
        </w:rPr>
        <w:t>1.6</w:t>
      </w:r>
      <w:r>
        <w:rPr>
          <w:rFonts w:hint="eastAsia"/>
          <w:sz w:val="24"/>
          <w:szCs w:val="24"/>
        </w:rPr>
        <w:t>分；差</w:t>
      </w:r>
      <w:r>
        <w:rPr>
          <w:rFonts w:hint="eastAsia"/>
          <w:sz w:val="24"/>
          <w:szCs w:val="24"/>
          <w:lang w:val="en-US" w:eastAsia="zh-CN"/>
        </w:rPr>
        <w:t>1.2</w:t>
      </w:r>
      <w:r>
        <w:rPr>
          <w:rFonts w:hint="eastAsia"/>
          <w:sz w:val="24"/>
          <w:szCs w:val="24"/>
        </w:rPr>
        <w:t>分</w:t>
      </w:r>
    </w:p>
    <w:p w14:paraId="0BE801B4">
      <w:pPr>
        <w:spacing w:line="360" w:lineRule="auto"/>
        <w:ind w:firstLine="480" w:firstLineChars="200"/>
        <w:rPr>
          <w:rFonts w:ascii="宋体"/>
          <w:sz w:val="24"/>
        </w:rPr>
      </w:pPr>
      <w:r>
        <w:rPr>
          <w:rFonts w:hint="eastAsia" w:ascii="宋体" w:hAnsi="宋体"/>
          <w:sz w:val="24"/>
        </w:rPr>
        <w:t>缺项或者完全不符合施工图设计方案和承包人实施方案评分要求时可打</w:t>
      </w:r>
      <w:r>
        <w:rPr>
          <w:rFonts w:ascii="宋体"/>
          <w:sz w:val="24"/>
        </w:rPr>
        <w:t>0</w:t>
      </w:r>
      <w:r>
        <w:rPr>
          <w:rFonts w:hint="eastAsia" w:ascii="宋体" w:hAnsi="宋体"/>
          <w:sz w:val="24"/>
        </w:rPr>
        <w:t>分，对某项打</w:t>
      </w:r>
      <w:r>
        <w:rPr>
          <w:rFonts w:ascii="宋体"/>
          <w:sz w:val="24"/>
        </w:rPr>
        <w:t>0</w:t>
      </w:r>
      <w:r>
        <w:rPr>
          <w:rFonts w:hint="eastAsia" w:ascii="宋体" w:hAnsi="宋体"/>
          <w:sz w:val="24"/>
        </w:rPr>
        <w:t>分的，评标委员会成员应当注明评审依据或理由，没有依据或理由的评审结果按无效处理。</w:t>
      </w:r>
    </w:p>
    <w:p w14:paraId="08B45761">
      <w:pPr>
        <w:spacing w:line="360" w:lineRule="auto"/>
        <w:ind w:firstLine="480" w:firstLineChars="200"/>
        <w:rPr>
          <w:rFonts w:hint="eastAsia" w:ascii="宋体" w:hAnsi="宋体" w:eastAsia="宋体" w:cs="Times New Roman"/>
          <w:sz w:val="24"/>
          <w:szCs w:val="24"/>
        </w:rPr>
      </w:pPr>
      <w:r>
        <w:rPr>
          <w:rFonts w:hint="eastAsia" w:ascii="宋体" w:hAnsi="宋体" w:eastAsia="宋体" w:cs="Times New Roman"/>
          <w:sz w:val="24"/>
          <w:szCs w:val="24"/>
        </w:rPr>
        <w:t>（</w:t>
      </w:r>
      <w:r>
        <w:rPr>
          <w:rFonts w:hint="eastAsia" w:ascii="宋体" w:hAnsi="宋体" w:cs="Times New Roman"/>
          <w:sz w:val="24"/>
          <w:szCs w:val="24"/>
          <w:lang w:eastAsia="zh-CN"/>
        </w:rPr>
        <w:t>四</w:t>
      </w:r>
      <w:r>
        <w:rPr>
          <w:rFonts w:hint="eastAsia" w:ascii="宋体" w:hAnsi="宋体" w:eastAsia="宋体" w:cs="Times New Roman"/>
          <w:sz w:val="24"/>
          <w:szCs w:val="24"/>
        </w:rPr>
        <w:t>）施工组织设计得分</w:t>
      </w:r>
    </w:p>
    <w:p w14:paraId="4AC6F01B">
      <w:pPr>
        <w:spacing w:line="360" w:lineRule="auto"/>
        <w:ind w:firstLine="480" w:firstLineChars="200"/>
        <w:rPr>
          <w:rFonts w:ascii="宋体" w:hAnsi="宋体"/>
          <w:sz w:val="24"/>
          <w:szCs w:val="24"/>
        </w:rPr>
      </w:pPr>
      <w:r>
        <w:rPr>
          <w:rFonts w:hint="eastAsia" w:ascii="宋体" w:hAnsi="宋体" w:eastAsia="宋体" w:cs="Times New Roman"/>
          <w:sz w:val="24"/>
          <w:szCs w:val="24"/>
        </w:rPr>
        <w:t>所有评标委员会成员评分中，去掉一个最高分和一个最低分后算术平均为施工组织设计得分。</w:t>
      </w:r>
    </w:p>
    <w:p w14:paraId="4AB5A586">
      <w:pPr>
        <w:spacing w:line="360" w:lineRule="auto"/>
        <w:ind w:firstLine="480" w:firstLineChars="200"/>
        <w:rPr>
          <w:rFonts w:hint="eastAsia" w:ascii="宋体" w:hAnsi="宋体" w:eastAsia="宋体" w:cs="Times New Roman"/>
          <w:sz w:val="24"/>
          <w:szCs w:val="24"/>
        </w:rPr>
      </w:pPr>
      <w:r>
        <w:rPr>
          <w:rFonts w:hint="eastAsia" w:ascii="宋体" w:hAnsi="宋体" w:cs="Times New Roman"/>
          <w:sz w:val="24"/>
          <w:szCs w:val="24"/>
          <w:lang w:eastAsia="zh-CN"/>
        </w:rPr>
        <w:t>三</w:t>
      </w:r>
      <w:r>
        <w:rPr>
          <w:rFonts w:hint="eastAsia" w:ascii="宋体" w:hAnsi="宋体" w:eastAsia="宋体" w:cs="Times New Roman"/>
          <w:sz w:val="24"/>
          <w:szCs w:val="24"/>
        </w:rPr>
        <w:t>、投标人资信（</w:t>
      </w:r>
      <w:r>
        <w:rPr>
          <w:rFonts w:hint="eastAsia" w:ascii="宋体" w:hAnsi="宋体" w:cs="Times New Roman"/>
          <w:sz w:val="24"/>
          <w:szCs w:val="24"/>
          <w:lang w:val="en-US" w:eastAsia="zh-CN"/>
        </w:rPr>
        <w:t>2</w:t>
      </w:r>
      <w:r>
        <w:rPr>
          <w:rFonts w:hint="eastAsia" w:ascii="宋体" w:hAnsi="宋体" w:eastAsia="宋体" w:cs="Times New Roman"/>
          <w:sz w:val="24"/>
          <w:szCs w:val="24"/>
          <w:lang w:val="en-US" w:eastAsia="zh-CN"/>
        </w:rPr>
        <w:t>0</w:t>
      </w:r>
      <w:r>
        <w:rPr>
          <w:rFonts w:hint="eastAsia" w:ascii="宋体" w:hAnsi="宋体" w:eastAsia="宋体" w:cs="Times New Roman"/>
          <w:sz w:val="24"/>
          <w:szCs w:val="24"/>
        </w:rPr>
        <w:t>分）</w:t>
      </w:r>
    </w:p>
    <w:p w14:paraId="4A966E04">
      <w:pPr>
        <w:spacing w:line="360" w:lineRule="auto"/>
        <w:ind w:firstLine="480" w:firstLineChars="200"/>
        <w:rPr>
          <w:rFonts w:hint="eastAsia" w:ascii="宋体" w:hAnsi="宋体" w:eastAsia="宋体" w:cs="Times New Roman"/>
          <w:sz w:val="24"/>
          <w:szCs w:val="24"/>
        </w:rPr>
      </w:pPr>
      <w:r>
        <w:rPr>
          <w:rFonts w:hint="eastAsia" w:ascii="宋体" w:hAnsi="宋体" w:eastAsia="宋体" w:cs="Times New Roman"/>
          <w:sz w:val="24"/>
          <w:szCs w:val="24"/>
        </w:rPr>
        <w:t>（一）评审因素和分值构成</w:t>
      </w:r>
    </w:p>
    <w:p w14:paraId="68587174">
      <w:pPr>
        <w:spacing w:line="360" w:lineRule="auto"/>
        <w:ind w:firstLine="480" w:firstLineChars="200"/>
        <w:rPr>
          <w:rFonts w:hint="eastAsia" w:ascii="宋体" w:hAnsi="宋体" w:eastAsia="宋体" w:cs="Times New Roman"/>
          <w:sz w:val="24"/>
          <w:szCs w:val="24"/>
          <w:lang w:val="en-US" w:eastAsia="zh-CN"/>
        </w:rPr>
      </w:pPr>
      <w:r>
        <w:rPr>
          <w:rFonts w:hint="eastAsia" w:ascii="宋体" w:hAnsi="宋体" w:eastAsia="宋体" w:cs="Times New Roman"/>
          <w:sz w:val="24"/>
          <w:szCs w:val="24"/>
          <w:lang w:val="en-US" w:eastAsia="zh-CN"/>
        </w:rPr>
        <w:t>1.良好记录（2</w:t>
      </w:r>
      <w:r>
        <w:rPr>
          <w:rFonts w:hint="eastAsia" w:ascii="宋体" w:hAnsi="宋体" w:cs="Times New Roman"/>
          <w:sz w:val="24"/>
          <w:szCs w:val="24"/>
          <w:lang w:val="en-US" w:eastAsia="zh-CN"/>
        </w:rPr>
        <w:t>0</w:t>
      </w:r>
      <w:r>
        <w:rPr>
          <w:rFonts w:hint="eastAsia" w:ascii="宋体" w:hAnsi="宋体" w:eastAsia="宋体" w:cs="Times New Roman"/>
          <w:sz w:val="24"/>
          <w:szCs w:val="24"/>
          <w:lang w:val="en-US" w:eastAsia="zh-CN"/>
        </w:rPr>
        <w:t>分）</w:t>
      </w:r>
    </w:p>
    <w:p w14:paraId="50732A12">
      <w:pPr>
        <w:spacing w:line="360" w:lineRule="auto"/>
        <w:ind w:firstLine="480" w:firstLineChars="200"/>
        <w:rPr>
          <w:rFonts w:hint="eastAsia" w:ascii="宋体" w:hAnsi="宋体" w:eastAsia="宋体" w:cs="Times New Roman"/>
          <w:sz w:val="24"/>
          <w:szCs w:val="24"/>
          <w:lang w:val="en-US" w:eastAsia="zh-CN"/>
        </w:rPr>
      </w:pPr>
      <w:r>
        <w:rPr>
          <w:rFonts w:hint="eastAsia" w:ascii="宋体" w:hAnsi="宋体" w:eastAsia="宋体" w:cs="Times New Roman"/>
          <w:sz w:val="24"/>
          <w:szCs w:val="24"/>
          <w:lang w:val="en-US" w:eastAsia="zh-CN"/>
        </w:rPr>
        <w:t>（1）投标人良好记录（20分）</w:t>
      </w:r>
    </w:p>
    <w:p w14:paraId="0A6F76C6">
      <w:pPr>
        <w:spacing w:line="360" w:lineRule="auto"/>
        <w:ind w:firstLine="480" w:firstLineChars="200"/>
        <w:rPr>
          <w:rFonts w:hint="eastAsia" w:ascii="宋体" w:hAnsi="宋体" w:eastAsia="宋体" w:cs="Times New Roman"/>
          <w:sz w:val="24"/>
          <w:szCs w:val="24"/>
          <w:lang w:val="en-US" w:eastAsia="zh-CN"/>
        </w:rPr>
      </w:pPr>
      <w:r>
        <w:rPr>
          <w:rFonts w:hint="eastAsia" w:ascii="宋体" w:hAnsi="宋体" w:eastAsia="宋体" w:cs="Times New Roman"/>
          <w:sz w:val="24"/>
          <w:szCs w:val="24"/>
          <w:lang w:val="en-US" w:eastAsia="zh-CN"/>
        </w:rPr>
        <w:t>①投标人承担与招标工程同类型工程获得质量类良好记录的，省部级以上最高计5.5分；省级行业主管部门或市级人民政府最高计3.5分；市级行业主管部门最高计1.5分。以最高分计，不累加计算。（5.5分）</w:t>
      </w:r>
    </w:p>
    <w:p w14:paraId="39367C3F">
      <w:pPr>
        <w:spacing w:line="360" w:lineRule="auto"/>
        <w:ind w:firstLine="480" w:firstLineChars="200"/>
        <w:rPr>
          <w:rFonts w:hint="eastAsia" w:ascii="宋体" w:hAnsi="宋体" w:eastAsia="宋体" w:cs="Times New Roman"/>
          <w:sz w:val="24"/>
          <w:szCs w:val="24"/>
          <w:lang w:val="en-US" w:eastAsia="zh-CN"/>
        </w:rPr>
      </w:pPr>
      <w:r>
        <w:rPr>
          <w:rFonts w:hint="eastAsia" w:ascii="宋体" w:hAnsi="宋体" w:eastAsia="宋体" w:cs="Times New Roman"/>
          <w:sz w:val="24"/>
          <w:szCs w:val="24"/>
          <w:lang w:val="en-US" w:eastAsia="zh-CN"/>
        </w:rPr>
        <w:t>②投标人承担与招标工程同类型工程获得安全类良好记录的，省部级以上最高计5.5分；省级行业主管部门或市级人民政府最高计3.5分；市级行业主管部门最高计1.5分。以最高分计，不累加计算。（5.5分）</w:t>
      </w:r>
    </w:p>
    <w:p w14:paraId="362A0452">
      <w:pPr>
        <w:spacing w:line="360" w:lineRule="auto"/>
        <w:ind w:firstLine="480" w:firstLineChars="200"/>
        <w:rPr>
          <w:rFonts w:hint="eastAsia" w:ascii="宋体" w:hAnsi="宋体" w:eastAsia="宋体" w:cs="Times New Roman"/>
          <w:sz w:val="24"/>
          <w:szCs w:val="24"/>
          <w:lang w:val="en-US" w:eastAsia="zh-CN"/>
        </w:rPr>
      </w:pPr>
      <w:r>
        <w:rPr>
          <w:rFonts w:hint="eastAsia" w:ascii="宋体" w:hAnsi="宋体" w:eastAsia="宋体" w:cs="Times New Roman"/>
          <w:sz w:val="24"/>
          <w:szCs w:val="24"/>
          <w:lang w:val="en-US" w:eastAsia="zh-CN"/>
        </w:rPr>
        <w:t>③投标人获得建筑行业相关管理类良好记录的，省部级以上最高计5.5分；省级行业主管部门或市级人民政府最高计3.5分；市级行业主管部门最高计1.5分。以最高分计，不累加计算。（5.5分）</w:t>
      </w:r>
    </w:p>
    <w:p w14:paraId="298531DC">
      <w:pPr>
        <w:spacing w:line="360" w:lineRule="auto"/>
        <w:ind w:firstLine="480" w:firstLineChars="200"/>
        <w:rPr>
          <w:rFonts w:hint="eastAsia" w:ascii="宋体" w:hAnsi="宋体" w:eastAsia="宋体" w:cs="Times New Roman"/>
          <w:sz w:val="24"/>
          <w:szCs w:val="24"/>
          <w:lang w:val="en-US" w:eastAsia="zh-CN"/>
        </w:rPr>
      </w:pPr>
      <w:r>
        <w:rPr>
          <w:rFonts w:hint="eastAsia" w:ascii="宋体" w:hAnsi="宋体" w:eastAsia="宋体" w:cs="Times New Roman"/>
          <w:sz w:val="24"/>
          <w:szCs w:val="24"/>
          <w:lang w:val="en-US" w:eastAsia="zh-CN"/>
        </w:rPr>
        <w:t>④投标人获得建筑行业相关科技类良好记录的，省部级以上最高计3.5分；省级行业主管部门或市级人民政府最高计2分；市级行业主管部门最高计1分。以最高分计，不累加计算。（3.5分）</w:t>
      </w:r>
    </w:p>
    <w:p w14:paraId="13B0ECF5">
      <w:pPr>
        <w:spacing w:line="360" w:lineRule="auto"/>
        <w:ind w:firstLine="480" w:firstLineChars="200"/>
        <w:rPr>
          <w:rFonts w:hint="eastAsia" w:ascii="宋体" w:hAnsi="宋体" w:eastAsia="宋体" w:cs="Times New Roman"/>
          <w:sz w:val="24"/>
          <w:szCs w:val="24"/>
          <w:lang w:val="en-US" w:eastAsia="zh-CN"/>
        </w:rPr>
      </w:pPr>
      <w:r>
        <w:rPr>
          <w:rFonts w:hint="eastAsia" w:ascii="宋体" w:hAnsi="宋体" w:cs="Times New Roman"/>
          <w:sz w:val="24"/>
          <w:szCs w:val="24"/>
          <w:lang w:val="en-US" w:eastAsia="zh-CN"/>
        </w:rPr>
        <w:t>2</w:t>
      </w:r>
      <w:r>
        <w:rPr>
          <w:rFonts w:hint="eastAsia" w:ascii="宋体" w:hAnsi="宋体" w:eastAsia="宋体" w:cs="Times New Roman"/>
          <w:sz w:val="24"/>
          <w:szCs w:val="24"/>
          <w:lang w:val="en-US" w:eastAsia="zh-CN"/>
        </w:rPr>
        <w:t>.不良记录</w:t>
      </w:r>
    </w:p>
    <w:p w14:paraId="6B2365D5">
      <w:pPr>
        <w:spacing w:line="360" w:lineRule="auto"/>
        <w:ind w:firstLine="480" w:firstLineChars="200"/>
        <w:rPr>
          <w:rFonts w:hint="eastAsia" w:ascii="宋体" w:hAnsi="宋体" w:eastAsia="宋体" w:cs="Times New Roman"/>
          <w:sz w:val="24"/>
          <w:szCs w:val="24"/>
          <w:lang w:val="en-US" w:eastAsia="zh-CN"/>
        </w:rPr>
      </w:pPr>
      <w:r>
        <w:rPr>
          <w:rFonts w:hint="eastAsia" w:ascii="宋体" w:hAnsi="宋体" w:eastAsia="宋体" w:cs="Times New Roman"/>
          <w:sz w:val="24"/>
          <w:szCs w:val="24"/>
          <w:lang w:val="en-US" w:eastAsia="zh-CN"/>
        </w:rPr>
        <w:t>投标人及其在投标文件中载明的主要管理人员，近2年内存在围标串标、弄虚作假骗取中标、出借资质资格、挂靠、转包、发生质量安全事故等行政处罚不良记录的，每条扣5分；近1年存在除上述以外且与工程建设活动相关行政处罚不良记录的，每条扣2分。投标人资信扣至0分为止。</w:t>
      </w:r>
    </w:p>
    <w:p w14:paraId="035DC1A8">
      <w:pPr>
        <w:keepNext/>
        <w:spacing w:line="360" w:lineRule="auto"/>
        <w:ind w:firstLine="570"/>
        <w:rPr>
          <w:rFonts w:ascii="宋体"/>
          <w:sz w:val="24"/>
        </w:rPr>
      </w:pPr>
      <w:r>
        <w:rPr>
          <w:rFonts w:hint="eastAsia" w:ascii="宋体" w:hAnsi="宋体"/>
          <w:sz w:val="24"/>
          <w:lang w:eastAsia="zh-CN"/>
        </w:rPr>
        <w:t>四</w:t>
      </w:r>
      <w:r>
        <w:rPr>
          <w:rFonts w:hint="eastAsia" w:ascii="宋体" w:hAnsi="宋体"/>
          <w:sz w:val="24"/>
        </w:rPr>
        <w:t>、投标报价</w:t>
      </w:r>
      <w:r>
        <w:rPr>
          <w:rFonts w:hint="eastAsia" w:ascii="宋体" w:hAnsi="宋体"/>
          <w:sz w:val="24"/>
          <w:lang w:val="en-US" w:eastAsia="zh-CN"/>
        </w:rPr>
        <w:t>3</w:t>
      </w:r>
      <w:r>
        <w:rPr>
          <w:rFonts w:ascii="宋体" w:hAnsi="宋体"/>
          <w:sz w:val="24"/>
        </w:rPr>
        <w:t>0</w:t>
      </w:r>
      <w:r>
        <w:rPr>
          <w:rFonts w:hint="eastAsia" w:ascii="宋体" w:hAnsi="宋体"/>
          <w:sz w:val="24"/>
        </w:rPr>
        <w:t>分</w:t>
      </w:r>
    </w:p>
    <w:p w14:paraId="31A4CFE6">
      <w:pPr>
        <w:keepNext/>
        <w:spacing w:line="360" w:lineRule="auto"/>
        <w:ind w:firstLine="570"/>
        <w:rPr>
          <w:rFonts w:ascii="宋体"/>
          <w:sz w:val="24"/>
        </w:rPr>
      </w:pPr>
      <w:r>
        <w:rPr>
          <w:rFonts w:hint="eastAsia" w:ascii="宋体" w:hAnsi="宋体"/>
          <w:sz w:val="24"/>
        </w:rPr>
        <w:t>（一）评标基准价</w:t>
      </w:r>
      <w:r>
        <w:rPr>
          <w:rFonts w:ascii="宋体" w:hAnsi="宋体"/>
          <w:sz w:val="24"/>
        </w:rPr>
        <w:t>=</w:t>
      </w:r>
      <w:r>
        <w:rPr>
          <w:rFonts w:hint="eastAsia" w:ascii="宋体" w:hAnsi="宋体"/>
          <w:sz w:val="24"/>
        </w:rPr>
        <w:t>各投标人的有效报价去掉一个最高值去掉一个最低值的算术平均值（不足</w:t>
      </w:r>
      <w:r>
        <w:rPr>
          <w:rFonts w:ascii="宋体" w:hAnsi="宋体"/>
          <w:sz w:val="24"/>
        </w:rPr>
        <w:t>5</w:t>
      </w:r>
      <w:r>
        <w:rPr>
          <w:rFonts w:hint="eastAsia" w:ascii="宋体" w:hAnsi="宋体"/>
          <w:sz w:val="24"/>
        </w:rPr>
        <w:t>家时不去最高和最低值）。</w:t>
      </w:r>
    </w:p>
    <w:p w14:paraId="1686A62B">
      <w:pPr>
        <w:keepNext/>
        <w:spacing w:line="360" w:lineRule="auto"/>
        <w:ind w:firstLine="570"/>
        <w:rPr>
          <w:rFonts w:ascii="宋体"/>
          <w:sz w:val="24"/>
        </w:rPr>
      </w:pPr>
      <w:r>
        <w:rPr>
          <w:rFonts w:hint="eastAsia" w:ascii="宋体" w:hAnsi="宋体"/>
          <w:sz w:val="24"/>
        </w:rPr>
        <w:t>（二）偏差率</w:t>
      </w:r>
      <w:r>
        <w:rPr>
          <w:rFonts w:ascii="宋体" w:hAnsi="宋体"/>
          <w:sz w:val="24"/>
        </w:rPr>
        <w:t>=</w:t>
      </w:r>
      <w:r>
        <w:rPr>
          <w:rFonts w:hint="eastAsia" w:ascii="宋体" w:hAnsi="宋体"/>
          <w:sz w:val="24"/>
        </w:rPr>
        <w:t>│投标人报价－评标基准价│</w:t>
      </w:r>
      <w:r>
        <w:rPr>
          <w:rFonts w:ascii="宋体" w:hAnsi="宋体"/>
          <w:sz w:val="24"/>
        </w:rPr>
        <w:t>/</w:t>
      </w:r>
      <w:r>
        <w:rPr>
          <w:rFonts w:hint="eastAsia" w:ascii="宋体" w:hAnsi="宋体"/>
          <w:sz w:val="24"/>
        </w:rPr>
        <w:t>评标基准价×</w:t>
      </w:r>
      <w:r>
        <w:rPr>
          <w:rFonts w:ascii="宋体" w:hAnsi="宋体"/>
          <w:sz w:val="24"/>
        </w:rPr>
        <w:t>100%</w:t>
      </w:r>
      <w:r>
        <w:rPr>
          <w:rFonts w:hint="eastAsia" w:ascii="宋体" w:hAnsi="宋体"/>
          <w:sz w:val="24"/>
        </w:rPr>
        <w:t>。</w:t>
      </w:r>
    </w:p>
    <w:p w14:paraId="219A4194">
      <w:pPr>
        <w:keepNext/>
        <w:spacing w:line="360" w:lineRule="auto"/>
        <w:ind w:firstLine="480" w:firstLineChars="200"/>
        <w:rPr>
          <w:sz w:val="24"/>
        </w:rPr>
      </w:pPr>
      <w:r>
        <w:rPr>
          <w:rFonts w:hint="eastAsia" w:ascii="宋体" w:hAnsi="宋体"/>
          <w:sz w:val="24"/>
        </w:rPr>
        <w:t>（三）投标价得分</w:t>
      </w:r>
      <w:r>
        <w:rPr>
          <w:rFonts w:ascii="宋体" w:hAnsi="宋体"/>
          <w:sz w:val="24"/>
        </w:rPr>
        <w:t>=</w:t>
      </w:r>
      <w:r>
        <w:rPr>
          <w:rFonts w:hint="eastAsia" w:ascii="宋体" w:hAnsi="宋体"/>
          <w:sz w:val="24"/>
        </w:rPr>
        <w:t>各项分值</w:t>
      </w:r>
      <w:r>
        <w:rPr>
          <w:rFonts w:ascii="宋体"/>
          <w:sz w:val="24"/>
        </w:rPr>
        <w:t>-</w:t>
      </w:r>
      <w:r>
        <w:rPr>
          <w:rFonts w:hint="eastAsia" w:ascii="宋体" w:hAnsi="宋体"/>
          <w:sz w:val="24"/>
        </w:rPr>
        <w:t>偏差率×</w:t>
      </w:r>
      <w:r>
        <w:rPr>
          <w:rFonts w:ascii="宋体" w:hAnsi="宋体"/>
          <w:sz w:val="24"/>
        </w:rPr>
        <w:t>100</w:t>
      </w:r>
      <w:r>
        <w:rPr>
          <w:sz w:val="24"/>
        </w:rPr>
        <w:t xml:space="preserve">      </w:t>
      </w:r>
    </w:p>
    <w:p w14:paraId="345A485F">
      <w:pPr>
        <w:pStyle w:val="19"/>
        <w:rPr>
          <w:sz w:val="24"/>
        </w:rPr>
      </w:pPr>
      <w:r>
        <w:rPr>
          <w:rFonts w:hint="eastAsia"/>
          <w:sz w:val="24"/>
        </w:rPr>
        <w:t>五、评审要求</w:t>
      </w:r>
    </w:p>
    <w:p w14:paraId="7D2ECAA1">
      <w:pPr>
        <w:spacing w:line="360" w:lineRule="auto"/>
        <w:ind w:firstLine="480" w:firstLineChars="200"/>
        <w:rPr>
          <w:rFonts w:hint="eastAsia" w:ascii="宋体" w:hAnsi="宋体" w:eastAsia="宋体" w:cs="Times New Roman"/>
          <w:sz w:val="24"/>
          <w:szCs w:val="24"/>
          <w:lang w:val="en-US" w:eastAsia="zh-CN"/>
        </w:rPr>
      </w:pPr>
      <w:r>
        <w:rPr>
          <w:rFonts w:hint="eastAsia" w:ascii="宋体" w:hAnsi="宋体" w:eastAsia="宋体" w:cs="Times New Roman"/>
          <w:sz w:val="24"/>
          <w:szCs w:val="24"/>
          <w:lang w:val="en-US" w:eastAsia="zh-CN"/>
        </w:rPr>
        <w:t>1.同类型工程是指结构相同的工程，一般不区分规模和层数。</w:t>
      </w:r>
    </w:p>
    <w:p w14:paraId="77C218D2">
      <w:pPr>
        <w:spacing w:line="360" w:lineRule="auto"/>
        <w:ind w:firstLine="480" w:firstLineChars="200"/>
        <w:rPr>
          <w:rFonts w:hint="eastAsia" w:ascii="宋体" w:hAnsi="宋体" w:eastAsia="宋体" w:cs="Times New Roman"/>
          <w:sz w:val="24"/>
          <w:szCs w:val="24"/>
          <w:lang w:val="en-US" w:eastAsia="zh-CN"/>
        </w:rPr>
      </w:pPr>
      <w:r>
        <w:rPr>
          <w:rFonts w:hint="eastAsia" w:ascii="宋体" w:hAnsi="宋体" w:eastAsia="宋体" w:cs="Times New Roman"/>
          <w:sz w:val="24"/>
          <w:szCs w:val="24"/>
          <w:lang w:val="en-US" w:eastAsia="zh-CN"/>
        </w:rPr>
        <w:t>2.良好记录划分等级的，从次等级起计分递减20%，即从次等级起分别按最高分值的80%、60%计分，以此类推；在建筑行业内具有较强影响力的协会奖项荣誉，按同级行业主管部门计分分值的50%至70%之间的整数作为权重进行良好记录计分，具体权重由招标人自行确定并在招标文件中载明。省级以上人民政府及有关行业主管部门另有规定的，从其规定。</w:t>
      </w:r>
    </w:p>
    <w:p w14:paraId="073284BA">
      <w:pPr>
        <w:spacing w:line="360" w:lineRule="auto"/>
        <w:ind w:firstLine="480" w:firstLineChars="200"/>
        <w:rPr>
          <w:rFonts w:hint="eastAsia" w:ascii="宋体" w:hAnsi="宋体" w:eastAsia="宋体" w:cs="Times New Roman"/>
          <w:sz w:val="24"/>
          <w:szCs w:val="24"/>
          <w:lang w:val="en-US" w:eastAsia="zh-CN"/>
        </w:rPr>
      </w:pPr>
      <w:r>
        <w:rPr>
          <w:rFonts w:hint="eastAsia" w:ascii="宋体" w:hAnsi="宋体" w:eastAsia="宋体" w:cs="Times New Roman"/>
          <w:sz w:val="24"/>
          <w:szCs w:val="24"/>
          <w:lang w:val="en-US" w:eastAsia="zh-CN"/>
        </w:rPr>
        <w:t>3.良好记录的认定时限不得超过其评选周期，超过认定时限的良好记录不计分。</w:t>
      </w:r>
    </w:p>
    <w:p w14:paraId="410F1038">
      <w:pPr>
        <w:spacing w:line="360" w:lineRule="auto"/>
        <w:ind w:firstLine="480" w:firstLineChars="200"/>
        <w:rPr>
          <w:rFonts w:hint="eastAsia" w:ascii="宋体" w:hAnsi="宋体" w:eastAsia="宋体" w:cs="Times New Roman"/>
          <w:sz w:val="24"/>
          <w:szCs w:val="24"/>
          <w:lang w:val="en-US" w:eastAsia="zh-CN"/>
        </w:rPr>
      </w:pPr>
      <w:r>
        <w:rPr>
          <w:rFonts w:hint="eastAsia" w:ascii="宋体" w:hAnsi="宋体" w:eastAsia="宋体" w:cs="Times New Roman"/>
          <w:sz w:val="24"/>
          <w:szCs w:val="24"/>
          <w:lang w:val="en-US" w:eastAsia="zh-CN"/>
        </w:rPr>
        <w:t>4.投标人和主要管理人员资信时间节点的计算，应当以投标文件提交截止之日向前递推计算。</w:t>
      </w:r>
    </w:p>
    <w:p w14:paraId="461CEC5E">
      <w:pPr>
        <w:spacing w:line="360" w:lineRule="auto"/>
        <w:ind w:firstLine="480" w:firstLineChars="200"/>
        <w:rPr>
          <w:rFonts w:hint="eastAsia" w:ascii="宋体" w:hAnsi="宋体" w:eastAsia="宋体" w:cs="Times New Roman"/>
          <w:sz w:val="24"/>
          <w:szCs w:val="24"/>
          <w:lang w:val="en-US" w:eastAsia="zh-CN"/>
        </w:rPr>
      </w:pPr>
      <w:r>
        <w:rPr>
          <w:rFonts w:hint="eastAsia" w:ascii="宋体" w:hAnsi="宋体" w:eastAsia="宋体" w:cs="Times New Roman"/>
          <w:sz w:val="24"/>
          <w:szCs w:val="24"/>
          <w:lang w:val="en-US" w:eastAsia="zh-CN"/>
        </w:rPr>
        <w:t>5.本办法所指的良好和不良记录是已经国家、我省相关信用信息公示平台或者建筑市场监管公共服务平台公布的工程建设领域信用信息。</w:t>
      </w:r>
    </w:p>
    <w:p w14:paraId="03620870">
      <w:pPr>
        <w:spacing w:line="360" w:lineRule="auto"/>
        <w:ind w:firstLine="480" w:firstLineChars="200"/>
        <w:rPr>
          <w:rFonts w:hint="eastAsia" w:ascii="宋体" w:hAnsi="宋体" w:eastAsia="宋体" w:cs="Times New Roman"/>
          <w:sz w:val="24"/>
          <w:szCs w:val="24"/>
          <w:lang w:val="en-US" w:eastAsia="zh-CN"/>
        </w:rPr>
      </w:pPr>
      <w:r>
        <w:rPr>
          <w:rFonts w:hint="eastAsia" w:ascii="宋体" w:hAnsi="宋体" w:eastAsia="宋体" w:cs="Times New Roman"/>
          <w:sz w:val="24"/>
          <w:szCs w:val="24"/>
          <w:lang w:val="en-US" w:eastAsia="zh-CN"/>
        </w:rPr>
        <w:t>6.投标人应将评审内容需要的证书、证件的复印件清晰的编入投标文件，加盖单位公章并对真实性负责。</w:t>
      </w:r>
    </w:p>
    <w:p w14:paraId="3677DE61">
      <w:pPr>
        <w:spacing w:line="360" w:lineRule="auto"/>
        <w:ind w:firstLine="480" w:firstLineChars="200"/>
        <w:rPr>
          <w:rFonts w:hint="eastAsia" w:ascii="宋体" w:hAnsi="宋体" w:eastAsia="宋体" w:cs="Times New Roman"/>
          <w:sz w:val="24"/>
          <w:szCs w:val="24"/>
          <w:lang w:val="en-US" w:eastAsia="zh-CN"/>
        </w:rPr>
      </w:pPr>
      <w:r>
        <w:rPr>
          <w:rFonts w:hint="eastAsia" w:ascii="宋体" w:hAnsi="宋体" w:eastAsia="宋体" w:cs="Times New Roman"/>
          <w:sz w:val="24"/>
          <w:szCs w:val="24"/>
          <w:lang w:val="en-US" w:eastAsia="zh-CN"/>
        </w:rPr>
        <w:t>7.主要管理人员是否有在建工程，应以相关行业主管部门备案或者监管公共服务平台的记录为依据。</w:t>
      </w:r>
    </w:p>
    <w:p w14:paraId="7F6750F6">
      <w:pPr>
        <w:spacing w:line="360" w:lineRule="auto"/>
        <w:ind w:firstLine="480" w:firstLineChars="200"/>
        <w:rPr>
          <w:rFonts w:hint="eastAsia" w:ascii="宋体" w:hAnsi="宋体" w:eastAsia="宋体" w:cs="Times New Roman"/>
          <w:sz w:val="24"/>
          <w:szCs w:val="24"/>
          <w:lang w:val="en-US" w:eastAsia="zh-CN"/>
        </w:rPr>
      </w:pPr>
      <w:r>
        <w:rPr>
          <w:rFonts w:hint="eastAsia" w:ascii="宋体" w:hAnsi="宋体" w:eastAsia="宋体" w:cs="Times New Roman"/>
          <w:sz w:val="24"/>
          <w:szCs w:val="24"/>
          <w:lang w:val="en-US" w:eastAsia="zh-CN"/>
        </w:rPr>
        <w:t>8.本办法所指在建工程是指主体工程未竣工的工程，因非承包方原因致使工程项目停工超过120天（含），经建设单位同意的除外。</w:t>
      </w:r>
    </w:p>
    <w:p w14:paraId="0722B0A8">
      <w:pPr>
        <w:pStyle w:val="42"/>
        <w:numPr>
          <w:ilvl w:val="0"/>
          <w:numId w:val="1"/>
        </w:numPr>
        <w:rPr>
          <w:rStyle w:val="95"/>
          <w:rFonts w:ascii="Times New Roman" w:hAnsi="Times New Roman" w:cs="Times New Roman"/>
          <w:b w:val="0"/>
          <w:bCs w:val="0"/>
        </w:rPr>
      </w:pPr>
    </w:p>
    <w:p w14:paraId="51B5F38D">
      <w:pPr>
        <w:pStyle w:val="42"/>
        <w:numPr>
          <w:ilvl w:val="0"/>
          <w:numId w:val="1"/>
        </w:numPr>
        <w:rPr>
          <w:rStyle w:val="95"/>
          <w:rFonts w:ascii="Times New Roman" w:hAnsi="Times New Roman" w:cs="Times New Roman"/>
          <w:b w:val="0"/>
          <w:bCs w:val="0"/>
        </w:rPr>
      </w:pPr>
    </w:p>
    <w:p w14:paraId="409CA763">
      <w:pPr>
        <w:pStyle w:val="42"/>
        <w:jc w:val="both"/>
        <w:rPr>
          <w:rStyle w:val="95"/>
          <w:rFonts w:ascii="Times New Roman" w:hAnsi="Times New Roman" w:cs="Times New Roman"/>
          <w:b w:val="0"/>
          <w:bCs w:val="0"/>
        </w:rPr>
      </w:pPr>
    </w:p>
    <w:p w14:paraId="26F016FC">
      <w:pPr>
        <w:pStyle w:val="42"/>
        <w:numPr>
          <w:ilvl w:val="0"/>
          <w:numId w:val="1"/>
        </w:numPr>
        <w:rPr>
          <w:rStyle w:val="95"/>
          <w:rFonts w:ascii="Times New Roman" w:hAnsi="Times New Roman" w:cs="Times New Roman"/>
          <w:b w:val="0"/>
          <w:bCs w:val="0"/>
        </w:rPr>
      </w:pPr>
    </w:p>
    <w:p w14:paraId="0B8075A5">
      <w:pPr>
        <w:pStyle w:val="42"/>
        <w:numPr>
          <w:ilvl w:val="0"/>
          <w:numId w:val="1"/>
        </w:numPr>
        <w:rPr>
          <w:rStyle w:val="95"/>
          <w:rFonts w:ascii="Times New Roman" w:hAnsi="Times New Roman" w:cs="Times New Roman"/>
          <w:b w:val="0"/>
          <w:bCs w:val="0"/>
        </w:rPr>
      </w:pPr>
    </w:p>
    <w:p w14:paraId="79EA916E">
      <w:pPr>
        <w:pStyle w:val="42"/>
        <w:numPr>
          <w:ilvl w:val="0"/>
          <w:numId w:val="1"/>
        </w:numPr>
        <w:rPr>
          <w:rStyle w:val="95"/>
          <w:rFonts w:ascii="Times New Roman" w:hAnsi="Times New Roman" w:cs="Times New Roman"/>
          <w:b w:val="0"/>
          <w:bCs w:val="0"/>
        </w:rPr>
      </w:pPr>
    </w:p>
    <w:p w14:paraId="067EC874">
      <w:pPr>
        <w:pStyle w:val="42"/>
        <w:rPr>
          <w:rStyle w:val="95"/>
          <w:rFonts w:ascii="Times New Roman" w:hAnsi="Times New Roman" w:cs="Times New Roman"/>
          <w:b w:val="0"/>
          <w:bCs w:val="0"/>
        </w:rPr>
      </w:pPr>
    </w:p>
    <w:p w14:paraId="5B374568">
      <w:pPr>
        <w:rPr>
          <w:rStyle w:val="95"/>
        </w:rPr>
      </w:pPr>
    </w:p>
    <w:p w14:paraId="37DCBF52">
      <w:pPr>
        <w:pStyle w:val="19"/>
        <w:rPr>
          <w:rStyle w:val="95"/>
        </w:rPr>
      </w:pPr>
    </w:p>
    <w:p w14:paraId="38101EAF">
      <w:pPr>
        <w:pStyle w:val="19"/>
        <w:rPr>
          <w:rStyle w:val="95"/>
        </w:rPr>
      </w:pPr>
    </w:p>
    <w:p w14:paraId="0E7C0E1A">
      <w:pPr>
        <w:pStyle w:val="19"/>
        <w:rPr>
          <w:rStyle w:val="95"/>
        </w:rPr>
      </w:pPr>
    </w:p>
    <w:p w14:paraId="7D595498">
      <w:pPr>
        <w:pStyle w:val="19"/>
        <w:rPr>
          <w:rStyle w:val="95"/>
        </w:rPr>
      </w:pPr>
    </w:p>
    <w:p w14:paraId="59575757">
      <w:pPr>
        <w:pStyle w:val="19"/>
        <w:rPr>
          <w:rStyle w:val="95"/>
        </w:rPr>
      </w:pPr>
    </w:p>
    <w:p w14:paraId="454DF685">
      <w:pPr>
        <w:pStyle w:val="19"/>
        <w:rPr>
          <w:rStyle w:val="95"/>
        </w:rPr>
      </w:pPr>
    </w:p>
    <w:p w14:paraId="3991CC5C">
      <w:pPr>
        <w:pStyle w:val="19"/>
        <w:rPr>
          <w:rStyle w:val="95"/>
        </w:rPr>
      </w:pPr>
    </w:p>
    <w:p w14:paraId="0A28277F">
      <w:pPr>
        <w:pStyle w:val="19"/>
        <w:rPr>
          <w:rStyle w:val="95"/>
        </w:rPr>
      </w:pPr>
    </w:p>
    <w:p w14:paraId="6D96AD41">
      <w:pPr>
        <w:pStyle w:val="42"/>
        <w:numPr>
          <w:ilvl w:val="0"/>
          <w:numId w:val="1"/>
        </w:numPr>
        <w:rPr>
          <w:rStyle w:val="95"/>
          <w:rFonts w:ascii="Times New Roman" w:hAnsi="Times New Roman" w:cs="Times New Roman"/>
          <w:b w:val="0"/>
          <w:bCs w:val="0"/>
        </w:rPr>
      </w:pPr>
    </w:p>
    <w:p w14:paraId="41E47FBE">
      <w:pPr>
        <w:pStyle w:val="42"/>
        <w:numPr>
          <w:ilvl w:val="0"/>
          <w:numId w:val="1"/>
        </w:numPr>
        <w:rPr>
          <w:rStyle w:val="95"/>
          <w:rFonts w:ascii="Times New Roman" w:hAnsi="Times New Roman" w:cs="Times New Roman"/>
          <w:b w:val="0"/>
          <w:bCs w:val="0"/>
        </w:rPr>
      </w:pPr>
    </w:p>
    <w:p w14:paraId="4BDF6E62">
      <w:pPr>
        <w:pStyle w:val="42"/>
        <w:numPr>
          <w:ilvl w:val="0"/>
          <w:numId w:val="1"/>
        </w:numPr>
        <w:rPr>
          <w:rStyle w:val="95"/>
          <w:rFonts w:ascii="Times New Roman" w:hAnsi="Times New Roman" w:cs="Times New Roman"/>
          <w:b w:val="0"/>
          <w:bCs w:val="0"/>
        </w:rPr>
      </w:pPr>
      <w:r>
        <w:rPr>
          <w:rStyle w:val="95"/>
          <w:rFonts w:hint="eastAsia" w:ascii="Times New Roman" w:hAnsi="Times New Roman" w:cs="Times New Roman"/>
          <w:sz w:val="44"/>
          <w:szCs w:val="44"/>
        </w:rPr>
        <w:t>第四章</w:t>
      </w:r>
      <w:r>
        <w:rPr>
          <w:rStyle w:val="95"/>
          <w:rFonts w:ascii="Times New Roman" w:hAnsi="Times New Roman" w:cs="Times New Roman"/>
          <w:sz w:val="44"/>
          <w:szCs w:val="44"/>
        </w:rPr>
        <w:t xml:space="preserve">  </w:t>
      </w:r>
      <w:r>
        <w:rPr>
          <w:rStyle w:val="95"/>
          <w:rFonts w:hint="eastAsia" w:ascii="Times New Roman" w:hAnsi="Times New Roman" w:cs="Times New Roman"/>
          <w:sz w:val="44"/>
          <w:szCs w:val="44"/>
        </w:rPr>
        <w:t>合同条款及格式</w:t>
      </w:r>
    </w:p>
    <w:p w14:paraId="4387EA35">
      <w:pPr>
        <w:pStyle w:val="311"/>
        <w:spacing w:before="120"/>
        <w:ind w:left="0" w:right="640"/>
        <w:rPr>
          <w:rStyle w:val="95"/>
          <w:rFonts w:ascii="Times New Roman" w:hAnsi="Times New Roman"/>
          <w:color w:val="000000"/>
        </w:rPr>
      </w:pPr>
    </w:p>
    <w:p w14:paraId="4BEE34B8">
      <w:pPr>
        <w:pStyle w:val="311"/>
        <w:spacing w:before="120"/>
        <w:ind w:left="0" w:right="640"/>
        <w:rPr>
          <w:rStyle w:val="95"/>
          <w:rFonts w:ascii="Times New Roman" w:hAnsi="Times New Roman"/>
          <w:color w:val="000000"/>
        </w:rPr>
      </w:pPr>
    </w:p>
    <w:p w14:paraId="1E903E4E">
      <w:pPr>
        <w:pStyle w:val="311"/>
        <w:spacing w:before="120"/>
        <w:ind w:left="0" w:right="640"/>
        <w:rPr>
          <w:rStyle w:val="95"/>
          <w:rFonts w:ascii="Times New Roman" w:hAnsi="Times New Roman"/>
          <w:color w:val="000000"/>
        </w:rPr>
      </w:pPr>
    </w:p>
    <w:p w14:paraId="4806F42F">
      <w:pPr>
        <w:pStyle w:val="311"/>
        <w:spacing w:before="120"/>
        <w:ind w:left="0" w:right="640"/>
        <w:rPr>
          <w:rStyle w:val="95"/>
          <w:rFonts w:ascii="Times New Roman" w:hAnsi="Times New Roman"/>
          <w:color w:val="000000"/>
        </w:rPr>
      </w:pPr>
    </w:p>
    <w:p w14:paraId="7DB5A944">
      <w:pPr>
        <w:pStyle w:val="311"/>
        <w:spacing w:before="120"/>
        <w:ind w:left="0" w:right="640"/>
        <w:rPr>
          <w:rStyle w:val="95"/>
          <w:rFonts w:ascii="Times New Roman" w:hAnsi="Times New Roman"/>
          <w:color w:val="000000"/>
        </w:rPr>
      </w:pPr>
    </w:p>
    <w:p w14:paraId="0A9E3D81">
      <w:pPr>
        <w:pStyle w:val="311"/>
        <w:spacing w:before="120"/>
        <w:ind w:left="0" w:right="640"/>
        <w:rPr>
          <w:rStyle w:val="95"/>
          <w:rFonts w:ascii="Times New Roman" w:hAnsi="Times New Roman"/>
          <w:color w:val="000000"/>
        </w:rPr>
      </w:pPr>
    </w:p>
    <w:p w14:paraId="2E2C70C3">
      <w:pPr>
        <w:pStyle w:val="311"/>
        <w:spacing w:before="120"/>
        <w:ind w:left="0" w:right="640"/>
        <w:rPr>
          <w:rFonts w:cs="仿宋_GB2312"/>
          <w:sz w:val="32"/>
          <w:szCs w:val="32"/>
        </w:rPr>
      </w:pPr>
    </w:p>
    <w:p w14:paraId="6E57DB90">
      <w:pPr>
        <w:pStyle w:val="311"/>
        <w:spacing w:before="120"/>
        <w:ind w:left="0" w:right="640"/>
        <w:rPr>
          <w:rFonts w:cs="仿宋_GB2312"/>
          <w:sz w:val="32"/>
          <w:szCs w:val="32"/>
        </w:rPr>
      </w:pPr>
    </w:p>
    <w:p w14:paraId="4214E2DE">
      <w:pPr>
        <w:pStyle w:val="311"/>
        <w:spacing w:before="120"/>
        <w:ind w:left="0" w:right="640"/>
        <w:rPr>
          <w:rFonts w:cs="仿宋_GB2312"/>
          <w:sz w:val="32"/>
          <w:szCs w:val="32"/>
        </w:rPr>
      </w:pPr>
    </w:p>
    <w:p w14:paraId="1C5B2FB4">
      <w:pPr>
        <w:pStyle w:val="311"/>
        <w:spacing w:before="120"/>
        <w:ind w:left="0" w:right="640"/>
        <w:rPr>
          <w:rFonts w:cs="仿宋_GB2312"/>
          <w:sz w:val="32"/>
          <w:szCs w:val="32"/>
        </w:rPr>
      </w:pPr>
    </w:p>
    <w:p w14:paraId="48A7F074">
      <w:pPr>
        <w:pStyle w:val="311"/>
        <w:spacing w:before="120"/>
        <w:ind w:left="0" w:right="640"/>
        <w:rPr>
          <w:rFonts w:cs="仿宋_GB2312"/>
          <w:sz w:val="32"/>
          <w:szCs w:val="32"/>
        </w:rPr>
      </w:pPr>
    </w:p>
    <w:p w14:paraId="7748B29C">
      <w:pPr>
        <w:pStyle w:val="311"/>
        <w:spacing w:before="120"/>
        <w:ind w:left="0" w:right="640"/>
        <w:rPr>
          <w:rFonts w:cs="仿宋_GB2312"/>
          <w:sz w:val="32"/>
          <w:szCs w:val="32"/>
        </w:rPr>
      </w:pPr>
    </w:p>
    <w:p w14:paraId="09E911B2">
      <w:pPr>
        <w:pStyle w:val="311"/>
        <w:spacing w:before="120"/>
        <w:ind w:left="0" w:right="640"/>
        <w:rPr>
          <w:rFonts w:cs="仿宋_GB2312"/>
          <w:sz w:val="32"/>
          <w:szCs w:val="32"/>
        </w:rPr>
      </w:pPr>
    </w:p>
    <w:p w14:paraId="4579E4E1">
      <w:pPr>
        <w:pStyle w:val="311"/>
        <w:spacing w:before="120"/>
        <w:ind w:left="0" w:right="640"/>
        <w:rPr>
          <w:rFonts w:cs="仿宋_GB2312"/>
          <w:sz w:val="32"/>
          <w:szCs w:val="32"/>
        </w:rPr>
      </w:pPr>
    </w:p>
    <w:p w14:paraId="10F1E4AB">
      <w:pPr>
        <w:pStyle w:val="311"/>
        <w:spacing w:before="120"/>
        <w:ind w:left="0" w:right="640"/>
        <w:rPr>
          <w:rFonts w:cs="仿宋_GB2312"/>
          <w:sz w:val="32"/>
          <w:szCs w:val="32"/>
        </w:rPr>
      </w:pPr>
    </w:p>
    <w:p w14:paraId="28F6A3F6">
      <w:pPr>
        <w:pStyle w:val="311"/>
        <w:spacing w:before="120"/>
        <w:ind w:left="0" w:right="640"/>
        <w:rPr>
          <w:rFonts w:hint="eastAsia" w:cs="仿宋_GB2312"/>
          <w:sz w:val="32"/>
          <w:szCs w:val="32"/>
        </w:rPr>
      </w:pPr>
    </w:p>
    <w:p w14:paraId="6C33CA6B">
      <w:pPr>
        <w:pStyle w:val="311"/>
        <w:spacing w:before="120"/>
        <w:ind w:left="0" w:right="640"/>
        <w:rPr>
          <w:rFonts w:hint="eastAsia" w:cs="仿宋_GB2312"/>
          <w:sz w:val="32"/>
          <w:szCs w:val="32"/>
        </w:rPr>
      </w:pPr>
    </w:p>
    <w:p w14:paraId="43BB4511">
      <w:pPr>
        <w:pStyle w:val="311"/>
        <w:spacing w:before="120"/>
        <w:ind w:left="0" w:right="640"/>
        <w:rPr>
          <w:rFonts w:hint="eastAsia" w:cs="仿宋_GB2312"/>
          <w:sz w:val="32"/>
          <w:szCs w:val="32"/>
        </w:rPr>
      </w:pPr>
    </w:p>
    <w:p w14:paraId="531EFA9D">
      <w:pPr>
        <w:pStyle w:val="311"/>
        <w:spacing w:before="120"/>
        <w:ind w:left="0" w:right="640"/>
        <w:rPr>
          <w:rFonts w:hint="eastAsia" w:cs="仿宋_GB2312"/>
          <w:sz w:val="32"/>
          <w:szCs w:val="32"/>
        </w:rPr>
      </w:pPr>
    </w:p>
    <w:p w14:paraId="7558277E">
      <w:pPr>
        <w:pStyle w:val="311"/>
        <w:spacing w:before="120"/>
        <w:ind w:left="0" w:right="640"/>
        <w:rPr>
          <w:rFonts w:hint="eastAsia" w:cs="仿宋_GB2312"/>
          <w:sz w:val="32"/>
          <w:szCs w:val="32"/>
        </w:rPr>
      </w:pPr>
    </w:p>
    <w:p w14:paraId="79B9D035">
      <w:pPr>
        <w:pStyle w:val="311"/>
        <w:spacing w:before="120"/>
        <w:ind w:left="0" w:right="640"/>
        <w:rPr>
          <w:rFonts w:hint="eastAsia" w:cs="仿宋_GB2312"/>
          <w:sz w:val="32"/>
          <w:szCs w:val="32"/>
        </w:rPr>
      </w:pPr>
    </w:p>
    <w:p w14:paraId="23BDDE51">
      <w:pPr>
        <w:pStyle w:val="311"/>
        <w:spacing w:before="120"/>
        <w:ind w:left="0" w:right="640"/>
        <w:rPr>
          <w:rFonts w:hint="eastAsia" w:cs="仿宋_GB2312"/>
          <w:sz w:val="32"/>
          <w:szCs w:val="32"/>
        </w:rPr>
      </w:pPr>
    </w:p>
    <w:p w14:paraId="221DE53D">
      <w:pPr>
        <w:pStyle w:val="311"/>
        <w:spacing w:before="120"/>
        <w:ind w:left="0" w:right="640"/>
        <w:rPr>
          <w:rFonts w:hint="eastAsia" w:cs="仿宋_GB2312"/>
          <w:sz w:val="32"/>
          <w:szCs w:val="32"/>
        </w:rPr>
      </w:pPr>
    </w:p>
    <w:p w14:paraId="412A6D16">
      <w:pPr>
        <w:pStyle w:val="311"/>
        <w:spacing w:before="120"/>
        <w:ind w:left="0" w:right="640"/>
        <w:rPr>
          <w:rFonts w:hint="eastAsia" w:cs="仿宋_GB2312"/>
          <w:sz w:val="32"/>
          <w:szCs w:val="32"/>
        </w:rPr>
      </w:pPr>
    </w:p>
    <w:p w14:paraId="17E8F39B">
      <w:pPr>
        <w:pStyle w:val="311"/>
        <w:spacing w:before="120"/>
        <w:ind w:left="0" w:right="640"/>
        <w:rPr>
          <w:rFonts w:hint="eastAsia" w:cs="仿宋_GB2312"/>
          <w:sz w:val="32"/>
          <w:szCs w:val="32"/>
        </w:rPr>
      </w:pPr>
    </w:p>
    <w:p w14:paraId="59F2796A">
      <w:pPr>
        <w:pStyle w:val="311"/>
        <w:spacing w:before="120"/>
        <w:ind w:left="0" w:right="640"/>
      </w:pPr>
      <w:r>
        <w:rPr>
          <w:rFonts w:hint="eastAsia" w:cs="仿宋_GB2312"/>
          <w:sz w:val="32"/>
          <w:szCs w:val="32"/>
        </w:rPr>
        <w:t>GF-2020-0216</w:t>
      </w:r>
    </w:p>
    <w:p w14:paraId="53A8E2BE">
      <w:pPr>
        <w:rPr>
          <w:rFonts w:ascii="宋体" w:hAnsi="宋体"/>
        </w:rPr>
      </w:pPr>
    </w:p>
    <w:p w14:paraId="118013F5">
      <w:pPr>
        <w:rPr>
          <w:rFonts w:ascii="宋体" w:hAnsi="宋体"/>
        </w:rPr>
      </w:pPr>
    </w:p>
    <w:p w14:paraId="13FB7446">
      <w:pPr>
        <w:rPr>
          <w:rFonts w:ascii="宋体" w:hAnsi="宋体"/>
        </w:rPr>
      </w:pPr>
    </w:p>
    <w:p w14:paraId="48F643DD">
      <w:pPr>
        <w:pStyle w:val="19"/>
      </w:pPr>
    </w:p>
    <w:p w14:paraId="01BF2683">
      <w:pPr>
        <w:pStyle w:val="19"/>
      </w:pPr>
    </w:p>
    <w:p w14:paraId="7C3C02C4">
      <w:pPr>
        <w:pStyle w:val="19"/>
      </w:pPr>
    </w:p>
    <w:p w14:paraId="11CB685A">
      <w:pPr>
        <w:pStyle w:val="19"/>
      </w:pPr>
    </w:p>
    <w:p w14:paraId="395ABE71">
      <w:pPr>
        <w:pStyle w:val="997"/>
        <w:jc w:val="both"/>
        <w:rPr>
          <w:rFonts w:ascii="宋体" w:hAnsi="宋体" w:eastAsia="宋体" w:cs="方正小标宋简体"/>
          <w:b w:val="0"/>
          <w:bCs/>
          <w:sz w:val="52"/>
          <w:szCs w:val="52"/>
        </w:rPr>
      </w:pPr>
      <w:r>
        <w:rPr>
          <w:rFonts w:hint="eastAsia" w:ascii="宋体" w:hAnsi="宋体" w:eastAsia="宋体"/>
          <w:b w:val="0"/>
          <w:sz w:val="21"/>
          <w:szCs w:val="24"/>
          <w:lang w:val="en-US"/>
        </w:rPr>
        <w:t xml:space="preserve"> </w:t>
      </w:r>
      <w:r>
        <w:rPr>
          <w:rFonts w:hint="eastAsia" w:ascii="宋体" w:hAnsi="宋体" w:eastAsia="宋体" w:cs="方正小标宋简体"/>
          <w:b w:val="0"/>
          <w:bCs/>
          <w:sz w:val="72"/>
          <w:szCs w:val="72"/>
        </w:rPr>
        <w:t>建设项目工程总承包合同</w:t>
      </w:r>
    </w:p>
    <w:p w14:paraId="0AD40AFE">
      <w:pPr>
        <w:pStyle w:val="997"/>
        <w:ind w:firstLine="1080"/>
        <w:rPr>
          <w:rFonts w:ascii="宋体" w:hAnsi="宋体" w:eastAsia="宋体"/>
          <w:b w:val="0"/>
          <w:bCs/>
          <w:sz w:val="52"/>
          <w:szCs w:val="52"/>
        </w:rPr>
      </w:pPr>
      <w:r>
        <w:rPr>
          <w:rFonts w:hint="eastAsia" w:ascii="宋体" w:hAnsi="宋体" w:eastAsia="宋体" w:cs="方正小标宋简体"/>
          <w:b w:val="0"/>
          <w:bCs/>
          <w:sz w:val="52"/>
          <w:szCs w:val="52"/>
        </w:rPr>
        <w:t>（示范文本）</w:t>
      </w:r>
    </w:p>
    <w:p w14:paraId="2960703C">
      <w:pPr>
        <w:pStyle w:val="997"/>
        <w:ind w:firstLine="840"/>
        <w:rPr>
          <w:rFonts w:ascii="宋体" w:hAnsi="宋体" w:eastAsia="宋体"/>
          <w:sz w:val="40"/>
          <w:szCs w:val="40"/>
        </w:rPr>
      </w:pPr>
    </w:p>
    <w:p w14:paraId="09C1359F">
      <w:pPr>
        <w:pStyle w:val="997"/>
        <w:ind w:firstLine="840"/>
        <w:rPr>
          <w:rFonts w:ascii="宋体" w:hAnsi="宋体" w:eastAsia="宋体"/>
          <w:sz w:val="40"/>
          <w:szCs w:val="40"/>
        </w:rPr>
      </w:pPr>
    </w:p>
    <w:p w14:paraId="0DE48826">
      <w:pPr>
        <w:rPr>
          <w:rFonts w:ascii="宋体" w:hAnsi="宋体"/>
        </w:rPr>
      </w:pPr>
    </w:p>
    <w:p w14:paraId="5593938A">
      <w:pPr>
        <w:pStyle w:val="997"/>
        <w:ind w:firstLine="840"/>
        <w:rPr>
          <w:rFonts w:ascii="宋体" w:hAnsi="宋体" w:eastAsia="宋体"/>
          <w:sz w:val="40"/>
          <w:szCs w:val="40"/>
        </w:rPr>
      </w:pPr>
    </w:p>
    <w:p w14:paraId="469FB804">
      <w:pPr>
        <w:rPr>
          <w:rFonts w:ascii="宋体" w:hAnsi="宋体"/>
        </w:rPr>
      </w:pPr>
    </w:p>
    <w:p w14:paraId="3BEED5A3">
      <w:pPr>
        <w:pStyle w:val="997"/>
        <w:ind w:firstLine="680"/>
        <w:rPr>
          <w:rFonts w:ascii="宋体" w:hAnsi="宋体" w:eastAsia="宋体"/>
          <w:sz w:val="32"/>
          <w:szCs w:val="32"/>
        </w:rPr>
      </w:pPr>
    </w:p>
    <w:p w14:paraId="039283E5">
      <w:pPr>
        <w:ind w:right="2182" w:rightChars="1039"/>
        <w:jc w:val="distribute"/>
        <w:rPr>
          <w:rFonts w:ascii="宋体" w:hAnsi="宋体"/>
          <w:b/>
          <w:bCs/>
          <w:sz w:val="32"/>
          <w:szCs w:val="32"/>
        </w:rPr>
      </w:pPr>
      <w:r>
        <w:rPr>
          <w:rFonts w:hint="eastAsia" w:ascii="宋体" w:hAnsi="宋体"/>
          <w:b/>
          <w:color w:val="000000"/>
          <w:sz w:val="32"/>
          <w:szCs w:val="28"/>
        </w:rPr>
        <w:t xml:space="preserve">     </w:t>
      </w:r>
      <w:r>
        <w:rPr>
          <w:rFonts w:ascii="宋体" w:hAnsi="宋体"/>
          <w:b/>
          <w:bCs/>
          <w:sz w:val="32"/>
          <w:szCs w:val="32"/>
        </w:rPr>
        <w:pict>
          <v:shape id="_x0000_s1026" o:spid="_x0000_s1026" o:spt="202" type="#_x0000_t202" style="position:absolute;left:0pt;margin-left:311.4pt;margin-top:11.85pt;height:139.55pt;width:59.4pt;z-index:251659264;mso-width-relative:page;mso-height-relative:margin;mso-height-percent:200;" stroked="f" coordsize="21600,21600">
            <v:path/>
            <v:fill focussize="0,0"/>
            <v:stroke on="f" joinstyle="miter"/>
            <v:imagedata o:title=""/>
            <o:lock v:ext="edit"/>
            <v:textbox style="mso-fit-shape-to-text:t;">
              <w:txbxContent>
                <w:p w14:paraId="6BE21085">
                  <w:pPr>
                    <w:jc w:val="center"/>
                    <w:rPr>
                      <w:b/>
                      <w:bCs/>
                      <w:sz w:val="32"/>
                      <w:szCs w:val="32"/>
                    </w:rPr>
                  </w:pPr>
                  <w:r>
                    <w:rPr>
                      <w:rFonts w:hint="eastAsia"/>
                      <w:b/>
                      <w:bCs/>
                      <w:sz w:val="32"/>
                      <w:szCs w:val="32"/>
                    </w:rPr>
                    <w:t>制定</w:t>
                  </w:r>
                </w:p>
              </w:txbxContent>
            </v:textbox>
          </v:shape>
        </w:pict>
      </w:r>
      <w:r>
        <w:rPr>
          <w:rFonts w:hint="eastAsia" w:ascii="宋体" w:hAnsi="宋体"/>
          <w:b/>
          <w:bCs/>
          <w:sz w:val="32"/>
          <w:szCs w:val="32"/>
        </w:rPr>
        <w:t>中华人民共和国</w:t>
      </w:r>
      <w:r>
        <w:rPr>
          <w:rFonts w:ascii="宋体" w:hAnsi="宋体"/>
          <w:b/>
          <w:bCs/>
          <w:sz w:val="32"/>
          <w:szCs w:val="32"/>
        </w:rPr>
        <w:t>住房</w:t>
      </w:r>
      <w:r>
        <w:rPr>
          <w:rFonts w:hint="eastAsia" w:ascii="宋体" w:hAnsi="宋体"/>
          <w:b/>
          <w:bCs/>
          <w:sz w:val="32"/>
          <w:szCs w:val="32"/>
        </w:rPr>
        <w:t>和</w:t>
      </w:r>
      <w:r>
        <w:rPr>
          <w:rFonts w:ascii="宋体" w:hAnsi="宋体"/>
          <w:b/>
          <w:bCs/>
          <w:sz w:val="32"/>
          <w:szCs w:val="32"/>
        </w:rPr>
        <w:t>城乡建设部</w:t>
      </w:r>
    </w:p>
    <w:p w14:paraId="5D69A548">
      <w:pPr>
        <w:ind w:right="2182" w:rightChars="1039"/>
        <w:jc w:val="distribute"/>
        <w:rPr>
          <w:rFonts w:ascii="宋体" w:hAnsi="宋体"/>
          <w:b/>
          <w:bCs/>
          <w:sz w:val="32"/>
          <w:szCs w:val="32"/>
        </w:rPr>
        <w:sectPr>
          <w:footerReference r:id="rId7" w:type="default"/>
          <w:footerReference r:id="rId8" w:type="even"/>
          <w:pgSz w:w="11906" w:h="16838"/>
          <w:pgMar w:top="1440" w:right="1800" w:bottom="1440" w:left="1800" w:header="720" w:footer="998" w:gutter="0"/>
          <w:pgNumType w:start="1"/>
          <w:cols w:space="720" w:num="1"/>
          <w:titlePg/>
          <w:docGrid w:linePitch="326" w:charSpace="0"/>
        </w:sectPr>
      </w:pPr>
      <w:r>
        <w:rPr>
          <w:rFonts w:hint="eastAsia" w:ascii="宋体" w:hAnsi="宋体"/>
          <w:b/>
          <w:color w:val="000000"/>
          <w:sz w:val="32"/>
          <w:szCs w:val="28"/>
        </w:rPr>
        <w:t xml:space="preserve">     国家</w:t>
      </w:r>
      <w:r>
        <w:rPr>
          <w:rFonts w:hint="eastAsia" w:ascii="宋体" w:hAnsi="宋体"/>
          <w:b/>
          <w:bCs/>
          <w:sz w:val="32"/>
          <w:szCs w:val="32"/>
        </w:rPr>
        <w:t>市场监</w:t>
      </w:r>
      <w:r>
        <w:rPr>
          <w:rFonts w:hint="eastAsia" w:ascii="宋体" w:hAnsi="宋体"/>
          <w:b/>
          <w:color w:val="000000"/>
          <w:sz w:val="32"/>
          <w:szCs w:val="28"/>
        </w:rPr>
        <w:t>督</w:t>
      </w:r>
      <w:r>
        <w:rPr>
          <w:rFonts w:hint="eastAsia" w:ascii="宋体" w:hAnsi="宋体"/>
          <w:b/>
          <w:bCs/>
          <w:sz w:val="32"/>
          <w:szCs w:val="32"/>
        </w:rPr>
        <w:t>管理</w:t>
      </w:r>
      <w:r>
        <w:rPr>
          <w:rFonts w:ascii="宋体" w:hAnsi="宋体"/>
          <w:b/>
          <w:bCs/>
          <w:sz w:val="32"/>
          <w:szCs w:val="32"/>
        </w:rPr>
        <w:t>总局</w:t>
      </w:r>
    </w:p>
    <w:p w14:paraId="383C8BD5">
      <w:pPr>
        <w:pStyle w:val="997"/>
        <w:spacing w:after="0" w:afterLines="0"/>
        <w:ind w:firstLine="920"/>
        <w:rPr>
          <w:rFonts w:ascii="宋体" w:hAnsi="宋体" w:eastAsia="宋体"/>
          <w:sz w:val="44"/>
          <w:szCs w:val="44"/>
        </w:rPr>
      </w:pPr>
      <w:bookmarkStart w:id="0" w:name="_Toc523410369"/>
      <w:r>
        <w:rPr>
          <w:rFonts w:hint="eastAsia" w:ascii="宋体" w:hAnsi="宋体" w:eastAsia="宋体"/>
          <w:sz w:val="44"/>
          <w:szCs w:val="44"/>
        </w:rPr>
        <w:t>说</w:t>
      </w:r>
      <w:r>
        <w:rPr>
          <w:rFonts w:ascii="宋体" w:hAnsi="宋体" w:eastAsia="宋体"/>
          <w:sz w:val="44"/>
          <w:szCs w:val="44"/>
        </w:rPr>
        <w:t xml:space="preserve">  </w:t>
      </w:r>
      <w:r>
        <w:rPr>
          <w:rFonts w:hint="eastAsia" w:ascii="宋体" w:hAnsi="宋体" w:eastAsia="宋体"/>
          <w:sz w:val="44"/>
          <w:szCs w:val="44"/>
        </w:rPr>
        <w:t>明</w:t>
      </w:r>
      <w:bookmarkEnd w:id="0"/>
    </w:p>
    <w:p w14:paraId="497E25A2">
      <w:pPr>
        <w:ind w:firstLine="600"/>
        <w:rPr>
          <w:rFonts w:ascii="宋体" w:hAnsi="宋体"/>
          <w:sz w:val="30"/>
          <w:szCs w:val="30"/>
        </w:rPr>
      </w:pPr>
      <w:r>
        <w:rPr>
          <w:rFonts w:hint="eastAsia" w:ascii="宋体" w:hAnsi="宋体"/>
          <w:sz w:val="30"/>
          <w:szCs w:val="30"/>
        </w:rPr>
        <w:t>为指导建设项目工程总承包合同当事人的签约行为，维护合同当事人的合法权益，依据《中华人民共和国民法典》、《中华人民共和国建筑法》、《中华人民共和国招标投标法》以及相关法律、法规，住房和城乡建设部、市场监管总局对《建设项目工程总承包合同示范文本（试行）》（GF-2011-0216）进行了修订，制定了《建设项目工程总承包合同（示范文本）》（GF-2020-0216）（以下简称《示范文本》）。现就有关问题说明如下：</w:t>
      </w:r>
    </w:p>
    <w:p w14:paraId="01A02F43">
      <w:pPr>
        <w:pStyle w:val="978"/>
        <w:numPr>
          <w:ilvl w:val="0"/>
          <w:numId w:val="0"/>
        </w:numPr>
        <w:spacing w:line="360" w:lineRule="auto"/>
        <w:ind w:firstLine="600" w:firstLineChars="200"/>
        <w:rPr>
          <w:rFonts w:ascii="宋体" w:hAnsi="宋体" w:eastAsia="宋体"/>
          <w:b w:val="0"/>
          <w:bCs/>
          <w:sz w:val="30"/>
          <w:szCs w:val="30"/>
        </w:rPr>
      </w:pPr>
      <w:bookmarkStart w:id="1" w:name="_Toc521079598"/>
      <w:r>
        <w:rPr>
          <w:rFonts w:hint="eastAsia" w:ascii="宋体" w:hAnsi="宋体" w:eastAsia="宋体"/>
          <w:b w:val="0"/>
          <w:bCs/>
          <w:sz w:val="30"/>
          <w:szCs w:val="30"/>
        </w:rPr>
        <w:t>一、《示范文本》的组成</w:t>
      </w:r>
      <w:bookmarkEnd w:id="1"/>
    </w:p>
    <w:p w14:paraId="1EC5F30E">
      <w:pPr>
        <w:ind w:firstLine="600"/>
        <w:rPr>
          <w:rFonts w:ascii="宋体" w:hAnsi="宋体"/>
          <w:sz w:val="30"/>
          <w:szCs w:val="30"/>
        </w:rPr>
      </w:pPr>
      <w:r>
        <w:rPr>
          <w:rFonts w:hint="eastAsia" w:ascii="宋体" w:hAnsi="宋体"/>
          <w:sz w:val="30"/>
          <w:szCs w:val="30"/>
        </w:rPr>
        <w:t>《示范文本》由合同协议书、通用合同条件和专用合同条件三部分组成。</w:t>
      </w:r>
    </w:p>
    <w:p w14:paraId="700626B9">
      <w:pPr>
        <w:ind w:firstLine="600"/>
        <w:rPr>
          <w:rFonts w:ascii="宋体" w:hAnsi="宋体"/>
          <w:sz w:val="30"/>
          <w:szCs w:val="30"/>
        </w:rPr>
      </w:pPr>
      <w:bookmarkStart w:id="2" w:name="_Toc521079599"/>
      <w:r>
        <w:rPr>
          <w:rFonts w:hint="eastAsia" w:ascii="宋体" w:hAnsi="宋体"/>
          <w:sz w:val="30"/>
          <w:szCs w:val="30"/>
        </w:rPr>
        <w:t>（一）合同协议书</w:t>
      </w:r>
      <w:bookmarkEnd w:id="2"/>
    </w:p>
    <w:p w14:paraId="77BDE202">
      <w:pPr>
        <w:ind w:firstLine="600"/>
        <w:rPr>
          <w:rFonts w:ascii="宋体" w:hAnsi="宋体"/>
          <w:sz w:val="30"/>
          <w:szCs w:val="30"/>
        </w:rPr>
      </w:pPr>
      <w:r>
        <w:rPr>
          <w:rFonts w:hint="eastAsia" w:ascii="宋体" w:hAnsi="宋体"/>
          <w:sz w:val="30"/>
          <w:szCs w:val="30"/>
        </w:rPr>
        <w:t>《示范文本》合同协议书共计</w:t>
      </w:r>
      <w:r>
        <w:rPr>
          <w:rFonts w:ascii="宋体" w:hAnsi="宋体"/>
          <w:sz w:val="30"/>
          <w:szCs w:val="30"/>
        </w:rPr>
        <w:t>11</w:t>
      </w:r>
      <w:r>
        <w:rPr>
          <w:rFonts w:hint="eastAsia" w:ascii="宋体" w:hAnsi="宋体"/>
          <w:sz w:val="30"/>
          <w:szCs w:val="30"/>
        </w:rPr>
        <w:t>条，主要包括：工程概况、合同工期、质量标准、签约合同价与合同价格形式、工程总承包项目经理、合同文件构成、承诺、订立时间、订立地点、合同生效和合同份数，集中约定了合同当事人基本的合同权利义务。</w:t>
      </w:r>
    </w:p>
    <w:p w14:paraId="4BE7E15A">
      <w:pPr>
        <w:ind w:firstLine="600"/>
        <w:rPr>
          <w:rFonts w:ascii="宋体" w:hAnsi="宋体"/>
          <w:sz w:val="30"/>
          <w:szCs w:val="30"/>
        </w:rPr>
      </w:pPr>
      <w:bookmarkStart w:id="3" w:name="_Toc521079600"/>
      <w:r>
        <w:rPr>
          <w:rFonts w:hint="eastAsia" w:ascii="宋体" w:hAnsi="宋体"/>
          <w:sz w:val="30"/>
          <w:szCs w:val="30"/>
        </w:rPr>
        <w:t>（二）通用合同条件</w:t>
      </w:r>
      <w:bookmarkEnd w:id="3"/>
    </w:p>
    <w:p w14:paraId="5E08CF9D">
      <w:pPr>
        <w:ind w:firstLine="600"/>
        <w:rPr>
          <w:rFonts w:ascii="宋体" w:hAnsi="宋体"/>
          <w:sz w:val="30"/>
          <w:szCs w:val="30"/>
        </w:rPr>
      </w:pPr>
      <w:r>
        <w:rPr>
          <w:rFonts w:hint="eastAsia" w:ascii="宋体" w:hAnsi="宋体"/>
          <w:sz w:val="30"/>
          <w:szCs w:val="30"/>
        </w:rPr>
        <w:t>通用合同条件是合同当事人根据《中华人民共和国民法典》、《中华人民共和国建筑法》等法律法规的规定，就工程总承包项目的实施及相关事项，对合同当事人的权利义务作出的原则性约定。通用合同条件共计20条，具体条款分别为：</w:t>
      </w:r>
      <w:bookmarkStart w:id="4" w:name="_Hlk54448922"/>
      <w:r>
        <w:rPr>
          <w:rFonts w:hint="eastAsia" w:ascii="宋体" w:hAnsi="宋体"/>
          <w:sz w:val="30"/>
          <w:szCs w:val="30"/>
        </w:rPr>
        <w:t>第</w:t>
      </w:r>
      <w:r>
        <w:rPr>
          <w:rFonts w:ascii="宋体" w:hAnsi="宋体"/>
          <w:sz w:val="30"/>
          <w:szCs w:val="30"/>
        </w:rPr>
        <w:t>1条 一般约定，第2条 发包人，第3条 发包人的管理，第4条 承包人，第5条 设计，第6条 材料、工程设备，第7条 施工，第8条 工期和进度，第9条 竣工试验，第10条 验收和工程接收，第11条 缺陷责任与保修，第12条 竣工后试验，第13条 变更与调整，第14条 合同价格与支付，第15条 违约，第16条 合同解除，第17条 不可抗力，第18条 保险，第19条 索赔，第20条 争议解决</w:t>
      </w:r>
      <w:r>
        <w:rPr>
          <w:rFonts w:hint="eastAsia" w:ascii="宋体" w:hAnsi="宋体"/>
          <w:sz w:val="30"/>
          <w:szCs w:val="30"/>
        </w:rPr>
        <w:t>。</w:t>
      </w:r>
      <w:bookmarkEnd w:id="4"/>
      <w:r>
        <w:rPr>
          <w:rFonts w:hint="eastAsia" w:ascii="宋体" w:hAnsi="宋体"/>
          <w:sz w:val="30"/>
          <w:szCs w:val="30"/>
        </w:rPr>
        <w:t>前述条款安排既考虑了现行法律法规对工程总承包活动的有关要求，也考虑了工程总承包项目管理的实际需要。</w:t>
      </w:r>
    </w:p>
    <w:p w14:paraId="2982A351">
      <w:pPr>
        <w:ind w:firstLine="600"/>
        <w:rPr>
          <w:rFonts w:ascii="宋体" w:hAnsi="宋体"/>
          <w:sz w:val="30"/>
          <w:szCs w:val="30"/>
        </w:rPr>
      </w:pPr>
      <w:bookmarkStart w:id="5" w:name="_Toc521079601"/>
      <w:r>
        <w:rPr>
          <w:rFonts w:hint="eastAsia" w:ascii="宋体" w:hAnsi="宋体"/>
          <w:sz w:val="30"/>
          <w:szCs w:val="30"/>
        </w:rPr>
        <w:t>（三）专用合同条件</w:t>
      </w:r>
      <w:bookmarkEnd w:id="5"/>
    </w:p>
    <w:p w14:paraId="155328CC">
      <w:pPr>
        <w:ind w:firstLine="600"/>
        <w:rPr>
          <w:rFonts w:ascii="宋体" w:hAnsi="宋体"/>
          <w:sz w:val="30"/>
          <w:szCs w:val="30"/>
        </w:rPr>
      </w:pPr>
      <w:r>
        <w:rPr>
          <w:rFonts w:hint="eastAsia" w:ascii="宋体" w:hAnsi="宋体"/>
          <w:sz w:val="30"/>
          <w:szCs w:val="30"/>
        </w:rPr>
        <w:t>专用合同条件是合同当事人根据不同建设项目的特点及具体情况，通过双方的谈判、协商对通用合同条件原则性约定细化、完善、补充、修改或另行约定的合同条件。在编写专用合同条件时，应注意以下事项：</w:t>
      </w:r>
    </w:p>
    <w:p w14:paraId="3F8D49C6">
      <w:pPr>
        <w:ind w:firstLine="600"/>
        <w:rPr>
          <w:rFonts w:ascii="宋体" w:hAnsi="宋体"/>
          <w:sz w:val="30"/>
          <w:szCs w:val="30"/>
        </w:rPr>
      </w:pPr>
      <w:r>
        <w:rPr>
          <w:rFonts w:hint="eastAsia" w:ascii="宋体" w:hAnsi="宋体"/>
          <w:sz w:val="30"/>
          <w:szCs w:val="30"/>
        </w:rPr>
        <w:t>1.专用合同条件的编号应与相应的通用合同条件的编号一致；</w:t>
      </w:r>
    </w:p>
    <w:p w14:paraId="7EED04E1">
      <w:pPr>
        <w:ind w:firstLine="600"/>
        <w:rPr>
          <w:rFonts w:ascii="宋体" w:hAnsi="宋体"/>
          <w:sz w:val="30"/>
          <w:szCs w:val="30"/>
        </w:rPr>
      </w:pPr>
      <w:r>
        <w:rPr>
          <w:rFonts w:hint="eastAsia" w:ascii="宋体" w:hAnsi="宋体"/>
          <w:sz w:val="30"/>
          <w:szCs w:val="30"/>
        </w:rPr>
        <w:t>2.在专用合同条件中有横道线的地方，合同当事人可针对相应的通用合同条件进行细化、完善、补充、修改或另行约定；如无细化、完善、补充、修改或另行约定，则填写“无”或划“/”；</w:t>
      </w:r>
    </w:p>
    <w:p w14:paraId="712441F6">
      <w:pPr>
        <w:ind w:firstLine="600"/>
        <w:rPr>
          <w:rFonts w:ascii="宋体" w:hAnsi="宋体"/>
          <w:sz w:val="30"/>
          <w:szCs w:val="30"/>
        </w:rPr>
      </w:pPr>
      <w:r>
        <w:rPr>
          <w:rFonts w:hint="eastAsia" w:ascii="宋体" w:hAnsi="宋体"/>
          <w:sz w:val="30"/>
          <w:szCs w:val="30"/>
        </w:rPr>
        <w:t>3.对于在专用合同条件中未列出的通用合同条件中的条款，合同当事人根据建设项目的具体情况认为需要进行细化、完善、补充、修改或另行约定的，可在专用合同条件中，以同一条款号增加相关条款的内容。</w:t>
      </w:r>
    </w:p>
    <w:p w14:paraId="312DB303">
      <w:pPr>
        <w:pStyle w:val="978"/>
        <w:numPr>
          <w:ilvl w:val="0"/>
          <w:numId w:val="0"/>
        </w:numPr>
        <w:spacing w:line="360" w:lineRule="auto"/>
        <w:rPr>
          <w:rFonts w:ascii="宋体" w:hAnsi="宋体" w:eastAsia="宋体"/>
          <w:b w:val="0"/>
          <w:bCs/>
          <w:sz w:val="30"/>
          <w:szCs w:val="30"/>
        </w:rPr>
      </w:pPr>
      <w:bookmarkStart w:id="6" w:name="_Toc521079602"/>
      <w:r>
        <w:rPr>
          <w:rFonts w:hint="eastAsia" w:ascii="宋体" w:hAnsi="宋体" w:eastAsia="宋体"/>
          <w:b w:val="0"/>
          <w:bCs/>
          <w:sz w:val="30"/>
          <w:szCs w:val="30"/>
        </w:rPr>
        <w:t>二、《示范文本》的适用范围</w:t>
      </w:r>
      <w:bookmarkEnd w:id="6"/>
    </w:p>
    <w:p w14:paraId="556A746D">
      <w:pPr>
        <w:ind w:firstLine="600"/>
        <w:rPr>
          <w:rFonts w:ascii="宋体" w:hAnsi="宋体"/>
          <w:sz w:val="30"/>
          <w:szCs w:val="30"/>
        </w:rPr>
      </w:pPr>
      <w:r>
        <w:rPr>
          <w:rFonts w:hint="eastAsia" w:ascii="宋体" w:hAnsi="宋体"/>
          <w:sz w:val="30"/>
          <w:szCs w:val="30"/>
        </w:rPr>
        <w:t>《示范文本》适用于房屋建筑和市政基础设施项目工程总承包承发包活动。</w:t>
      </w:r>
    </w:p>
    <w:p w14:paraId="5D574DF5">
      <w:pPr>
        <w:pStyle w:val="978"/>
        <w:numPr>
          <w:ilvl w:val="0"/>
          <w:numId w:val="0"/>
        </w:numPr>
        <w:spacing w:line="360" w:lineRule="auto"/>
        <w:rPr>
          <w:rFonts w:ascii="宋体" w:hAnsi="宋体" w:eastAsia="宋体"/>
          <w:b w:val="0"/>
          <w:bCs/>
          <w:sz w:val="30"/>
          <w:szCs w:val="30"/>
        </w:rPr>
      </w:pPr>
      <w:r>
        <w:rPr>
          <w:rFonts w:hint="eastAsia" w:ascii="宋体" w:hAnsi="宋体" w:eastAsia="宋体"/>
          <w:b w:val="0"/>
          <w:bCs/>
          <w:sz w:val="30"/>
          <w:szCs w:val="30"/>
        </w:rPr>
        <w:t>三、《示范文本》的性质</w:t>
      </w:r>
    </w:p>
    <w:p w14:paraId="1F665864">
      <w:pPr>
        <w:ind w:firstLine="600"/>
        <w:rPr>
          <w:rFonts w:ascii="宋体" w:hAnsi="宋体"/>
          <w:sz w:val="30"/>
          <w:szCs w:val="30"/>
        </w:rPr>
        <w:sectPr>
          <w:footerReference r:id="rId10" w:type="first"/>
          <w:footerReference r:id="rId9" w:type="default"/>
          <w:pgSz w:w="11906" w:h="16838"/>
          <w:pgMar w:top="1440" w:right="1800" w:bottom="1440" w:left="1800" w:header="720" w:footer="998" w:gutter="0"/>
          <w:pgNumType w:start="1"/>
          <w:cols w:space="720" w:num="1"/>
          <w:titlePg/>
          <w:docGrid w:linePitch="326" w:charSpace="0"/>
        </w:sectPr>
      </w:pPr>
      <w:r>
        <w:rPr>
          <w:rFonts w:hint="eastAsia" w:ascii="宋体" w:hAnsi="宋体"/>
          <w:sz w:val="30"/>
          <w:szCs w:val="30"/>
        </w:rPr>
        <w:t>《示范文本》为推荐使用的非强制性使用文本。合同当事人可结合建设工程具体情况，参照《示范文本》订立合同，并按照法律法规和合同约定承担相应的法律责任及合同权利义务。</w:t>
      </w:r>
    </w:p>
    <w:p w14:paraId="2815CEF3">
      <w:pPr>
        <w:ind w:firstLine="600"/>
        <w:rPr>
          <w:rFonts w:ascii="宋体" w:hAnsi="宋体"/>
          <w:sz w:val="30"/>
          <w:szCs w:val="30"/>
        </w:rPr>
        <w:sectPr>
          <w:pgSz w:w="11906" w:h="16838"/>
          <w:pgMar w:top="1440" w:right="1800" w:bottom="1440" w:left="1800" w:header="720" w:footer="998" w:gutter="0"/>
          <w:pgNumType w:start="1"/>
          <w:cols w:space="720" w:num="1"/>
          <w:titlePg/>
          <w:docGrid w:linePitch="326" w:charSpace="0"/>
        </w:sectPr>
      </w:pPr>
    </w:p>
    <w:p w14:paraId="61000D9C">
      <w:pPr>
        <w:rPr>
          <w:rFonts w:ascii="宋体" w:hAnsi="宋体"/>
          <w:sz w:val="30"/>
          <w:szCs w:val="30"/>
        </w:rPr>
        <w:sectPr>
          <w:type w:val="continuous"/>
          <w:pgSz w:w="11906" w:h="16838"/>
          <w:pgMar w:top="1440" w:right="1800" w:bottom="1440" w:left="1800" w:header="720" w:footer="998" w:gutter="0"/>
          <w:pgNumType w:start="1"/>
          <w:cols w:space="720" w:num="1"/>
          <w:titlePg/>
          <w:docGrid w:linePitch="326" w:charSpace="0"/>
        </w:sectPr>
      </w:pPr>
    </w:p>
    <w:p w14:paraId="3F8C0757">
      <w:pPr>
        <w:pStyle w:val="931"/>
        <w:spacing w:after="50" w:line="360" w:lineRule="auto"/>
        <w:rPr>
          <w:rFonts w:ascii="宋体" w:eastAsia="宋体"/>
          <w:b/>
          <w:bCs/>
          <w:kern w:val="44"/>
          <w:sz w:val="44"/>
          <w:szCs w:val="44"/>
          <w:lang w:val="zh-CN"/>
        </w:rPr>
      </w:pPr>
      <w:bookmarkStart w:id="7" w:name="_Toc521267369"/>
      <w:r>
        <w:rPr>
          <w:rFonts w:hint="eastAsia" w:ascii="宋体" w:eastAsia="宋体"/>
          <w:b/>
          <w:bCs/>
          <w:kern w:val="44"/>
          <w:sz w:val="44"/>
          <w:szCs w:val="44"/>
          <w:lang w:val="zh-CN"/>
        </w:rPr>
        <w:t>目</w:t>
      </w:r>
      <w:r>
        <w:rPr>
          <w:rFonts w:ascii="宋体" w:eastAsia="宋体"/>
          <w:b/>
          <w:bCs/>
          <w:kern w:val="44"/>
          <w:sz w:val="44"/>
          <w:szCs w:val="44"/>
          <w:lang w:val="zh-CN"/>
        </w:rPr>
        <w:t xml:space="preserve">  </w:t>
      </w:r>
      <w:r>
        <w:rPr>
          <w:rFonts w:hint="eastAsia" w:ascii="宋体" w:eastAsia="宋体"/>
          <w:b/>
          <w:bCs/>
          <w:kern w:val="44"/>
          <w:sz w:val="44"/>
          <w:szCs w:val="44"/>
          <w:lang w:val="zh-CN"/>
        </w:rPr>
        <w:t>录</w:t>
      </w:r>
      <w:bookmarkEnd w:id="7"/>
    </w:p>
    <w:p w14:paraId="03F8726E">
      <w:pPr>
        <w:pStyle w:val="31"/>
        <w:tabs>
          <w:tab w:val="right" w:leader="dot" w:pos="8296"/>
        </w:tabs>
        <w:ind w:firstLine="560"/>
        <w:rPr>
          <w:rFonts w:ascii="宋体" w:hAnsi="宋体"/>
          <w:b w:val="0"/>
          <w:bCs w:val="0"/>
          <w:sz w:val="22"/>
          <w:szCs w:val="24"/>
        </w:rPr>
      </w:pPr>
      <w:r>
        <w:rPr>
          <w:rFonts w:hint="eastAsia" w:ascii="宋体" w:hAnsi="宋体"/>
          <w:sz w:val="28"/>
          <w:szCs w:val="28"/>
        </w:rPr>
        <w:fldChar w:fldCharType="begin"/>
      </w:r>
      <w:r>
        <w:rPr>
          <w:rFonts w:hint="eastAsia" w:ascii="宋体" w:hAnsi="宋体"/>
          <w:sz w:val="28"/>
          <w:szCs w:val="28"/>
        </w:rPr>
        <w:instrText xml:space="preserve"> TOC \o "1-3" \u </w:instrText>
      </w:r>
      <w:r>
        <w:rPr>
          <w:rFonts w:hint="eastAsia" w:ascii="宋体" w:hAnsi="宋体"/>
          <w:sz w:val="28"/>
          <w:szCs w:val="28"/>
        </w:rPr>
        <w:fldChar w:fldCharType="separate"/>
      </w:r>
      <w:r>
        <w:rPr>
          <w:rFonts w:hint="eastAsia" w:ascii="宋体" w:hAnsi="宋体"/>
          <w:b w:val="0"/>
          <w:bCs w:val="0"/>
          <w:sz w:val="28"/>
          <w:szCs w:val="21"/>
        </w:rPr>
        <w:t>第一部分 合同协议书</w:t>
      </w:r>
      <w:r>
        <w:rPr>
          <w:rFonts w:hint="eastAsia" w:ascii="宋体" w:hAnsi="宋体"/>
          <w:b w:val="0"/>
          <w:bCs w:val="0"/>
          <w:sz w:val="28"/>
          <w:szCs w:val="21"/>
        </w:rPr>
        <w:tab/>
      </w:r>
      <w:r>
        <w:rPr>
          <w:rFonts w:hint="eastAsia" w:ascii="宋体" w:hAnsi="宋体"/>
          <w:b w:val="0"/>
          <w:bCs w:val="0"/>
          <w:sz w:val="28"/>
          <w:szCs w:val="21"/>
        </w:rPr>
        <w:fldChar w:fldCharType="begin"/>
      </w:r>
      <w:r>
        <w:rPr>
          <w:rFonts w:hint="eastAsia" w:ascii="宋体" w:hAnsi="宋体"/>
          <w:b w:val="0"/>
          <w:bCs w:val="0"/>
          <w:sz w:val="28"/>
          <w:szCs w:val="21"/>
        </w:rPr>
        <w:instrText xml:space="preserve"> PAGEREF _Toc54862164 \h </w:instrText>
      </w:r>
      <w:r>
        <w:rPr>
          <w:rFonts w:hint="eastAsia" w:ascii="宋体" w:hAnsi="宋体"/>
          <w:b w:val="0"/>
          <w:bCs w:val="0"/>
          <w:sz w:val="28"/>
          <w:szCs w:val="21"/>
        </w:rPr>
        <w:fldChar w:fldCharType="separate"/>
      </w:r>
      <w:r>
        <w:rPr>
          <w:rFonts w:ascii="宋体" w:hAnsi="宋体"/>
          <w:b w:val="0"/>
          <w:bCs w:val="0"/>
          <w:sz w:val="28"/>
          <w:szCs w:val="21"/>
        </w:rPr>
        <w:t>1</w:t>
      </w:r>
      <w:r>
        <w:rPr>
          <w:rFonts w:hint="eastAsia" w:ascii="宋体" w:hAnsi="宋体"/>
          <w:b w:val="0"/>
          <w:bCs w:val="0"/>
          <w:sz w:val="28"/>
          <w:szCs w:val="21"/>
        </w:rPr>
        <w:fldChar w:fldCharType="end"/>
      </w:r>
    </w:p>
    <w:p w14:paraId="0B6CD892">
      <w:pPr>
        <w:pStyle w:val="37"/>
        <w:tabs>
          <w:tab w:val="right" w:leader="dot" w:pos="8296"/>
        </w:tabs>
        <w:ind w:left="480"/>
        <w:rPr>
          <w:rFonts w:ascii="宋体" w:hAnsi="宋体"/>
          <w:sz w:val="21"/>
          <w:szCs w:val="22"/>
        </w:rPr>
      </w:pPr>
      <w:r>
        <w:rPr>
          <w:rFonts w:hint="eastAsia" w:ascii="宋体" w:hAnsi="宋体"/>
          <w:bCs/>
        </w:rPr>
        <w:t>一、工程概况</w:t>
      </w:r>
      <w:r>
        <w:rPr>
          <w:rFonts w:hint="eastAsia" w:ascii="宋体" w:hAnsi="宋体"/>
        </w:rPr>
        <w:tab/>
      </w:r>
      <w:r>
        <w:rPr>
          <w:rFonts w:hint="eastAsia" w:ascii="宋体" w:hAnsi="宋体"/>
        </w:rPr>
        <w:fldChar w:fldCharType="begin"/>
      </w:r>
      <w:r>
        <w:rPr>
          <w:rFonts w:hint="eastAsia" w:ascii="宋体" w:hAnsi="宋体"/>
        </w:rPr>
        <w:instrText xml:space="preserve"> PAGEREF _Toc54862165 \h </w:instrText>
      </w:r>
      <w:r>
        <w:rPr>
          <w:rFonts w:hint="eastAsia" w:ascii="宋体" w:hAnsi="宋体"/>
        </w:rPr>
        <w:fldChar w:fldCharType="separate"/>
      </w:r>
      <w:r>
        <w:rPr>
          <w:rFonts w:ascii="宋体" w:hAnsi="宋体"/>
        </w:rPr>
        <w:t>1</w:t>
      </w:r>
      <w:r>
        <w:rPr>
          <w:rFonts w:hint="eastAsia" w:ascii="宋体" w:hAnsi="宋体"/>
        </w:rPr>
        <w:fldChar w:fldCharType="end"/>
      </w:r>
    </w:p>
    <w:p w14:paraId="7AEC5766">
      <w:pPr>
        <w:pStyle w:val="37"/>
        <w:tabs>
          <w:tab w:val="right" w:leader="dot" w:pos="8296"/>
        </w:tabs>
        <w:ind w:left="480"/>
        <w:rPr>
          <w:rFonts w:ascii="宋体" w:hAnsi="宋体"/>
          <w:sz w:val="21"/>
          <w:szCs w:val="22"/>
        </w:rPr>
      </w:pPr>
      <w:r>
        <w:rPr>
          <w:rFonts w:hint="eastAsia" w:ascii="宋体" w:hAnsi="宋体"/>
          <w:bCs/>
        </w:rPr>
        <w:t>二、合同工期</w:t>
      </w:r>
      <w:r>
        <w:rPr>
          <w:rFonts w:hint="eastAsia" w:ascii="宋体" w:hAnsi="宋体"/>
        </w:rPr>
        <w:tab/>
      </w:r>
      <w:r>
        <w:rPr>
          <w:rFonts w:hint="eastAsia" w:ascii="宋体" w:hAnsi="宋体"/>
        </w:rPr>
        <w:fldChar w:fldCharType="begin"/>
      </w:r>
      <w:r>
        <w:rPr>
          <w:rFonts w:hint="eastAsia" w:ascii="宋体" w:hAnsi="宋体"/>
        </w:rPr>
        <w:instrText xml:space="preserve"> PAGEREF _Toc54862166 \h </w:instrText>
      </w:r>
      <w:r>
        <w:rPr>
          <w:rFonts w:hint="eastAsia" w:ascii="宋体" w:hAnsi="宋体"/>
        </w:rPr>
        <w:fldChar w:fldCharType="separate"/>
      </w:r>
      <w:r>
        <w:rPr>
          <w:rFonts w:ascii="宋体" w:hAnsi="宋体"/>
        </w:rPr>
        <w:t>1</w:t>
      </w:r>
      <w:r>
        <w:rPr>
          <w:rFonts w:hint="eastAsia" w:ascii="宋体" w:hAnsi="宋体"/>
        </w:rPr>
        <w:fldChar w:fldCharType="end"/>
      </w:r>
    </w:p>
    <w:p w14:paraId="1ABD6DA4">
      <w:pPr>
        <w:pStyle w:val="37"/>
        <w:tabs>
          <w:tab w:val="right" w:leader="dot" w:pos="8296"/>
        </w:tabs>
        <w:ind w:left="480"/>
        <w:rPr>
          <w:rFonts w:ascii="宋体" w:hAnsi="宋体"/>
          <w:sz w:val="21"/>
          <w:szCs w:val="22"/>
        </w:rPr>
      </w:pPr>
      <w:r>
        <w:rPr>
          <w:rFonts w:hint="eastAsia" w:ascii="宋体" w:hAnsi="宋体"/>
          <w:bCs/>
        </w:rPr>
        <w:t>三、质量标准</w:t>
      </w:r>
      <w:r>
        <w:rPr>
          <w:rFonts w:hint="eastAsia" w:ascii="宋体" w:hAnsi="宋体"/>
        </w:rPr>
        <w:tab/>
      </w:r>
      <w:r>
        <w:rPr>
          <w:rFonts w:hint="eastAsia" w:ascii="宋体" w:hAnsi="宋体"/>
        </w:rPr>
        <w:fldChar w:fldCharType="begin"/>
      </w:r>
      <w:r>
        <w:rPr>
          <w:rFonts w:hint="eastAsia" w:ascii="宋体" w:hAnsi="宋体"/>
        </w:rPr>
        <w:instrText xml:space="preserve"> PAGEREF _Toc54862167 \h </w:instrText>
      </w:r>
      <w:r>
        <w:rPr>
          <w:rFonts w:hint="eastAsia" w:ascii="宋体" w:hAnsi="宋体"/>
        </w:rPr>
        <w:fldChar w:fldCharType="separate"/>
      </w:r>
      <w:r>
        <w:rPr>
          <w:rFonts w:ascii="宋体" w:hAnsi="宋体"/>
        </w:rPr>
        <w:t>2</w:t>
      </w:r>
      <w:r>
        <w:rPr>
          <w:rFonts w:hint="eastAsia" w:ascii="宋体" w:hAnsi="宋体"/>
        </w:rPr>
        <w:fldChar w:fldCharType="end"/>
      </w:r>
    </w:p>
    <w:p w14:paraId="282129A7">
      <w:pPr>
        <w:pStyle w:val="37"/>
        <w:tabs>
          <w:tab w:val="right" w:leader="dot" w:pos="8296"/>
        </w:tabs>
        <w:ind w:left="480"/>
        <w:rPr>
          <w:rFonts w:ascii="宋体" w:hAnsi="宋体"/>
          <w:sz w:val="21"/>
          <w:szCs w:val="22"/>
        </w:rPr>
      </w:pPr>
      <w:r>
        <w:rPr>
          <w:rFonts w:hint="eastAsia" w:ascii="宋体" w:hAnsi="宋体"/>
          <w:bCs/>
        </w:rPr>
        <w:t>四、签约合同价与合同价格形式</w:t>
      </w:r>
      <w:r>
        <w:rPr>
          <w:rFonts w:hint="eastAsia" w:ascii="宋体" w:hAnsi="宋体"/>
        </w:rPr>
        <w:tab/>
      </w:r>
      <w:r>
        <w:rPr>
          <w:rFonts w:hint="eastAsia" w:ascii="宋体" w:hAnsi="宋体"/>
        </w:rPr>
        <w:fldChar w:fldCharType="begin"/>
      </w:r>
      <w:r>
        <w:rPr>
          <w:rFonts w:hint="eastAsia" w:ascii="宋体" w:hAnsi="宋体"/>
        </w:rPr>
        <w:instrText xml:space="preserve"> PAGEREF _Toc54862168 \h </w:instrText>
      </w:r>
      <w:r>
        <w:rPr>
          <w:rFonts w:hint="eastAsia" w:ascii="宋体" w:hAnsi="宋体"/>
        </w:rPr>
        <w:fldChar w:fldCharType="separate"/>
      </w:r>
      <w:r>
        <w:rPr>
          <w:rFonts w:ascii="宋体" w:hAnsi="宋体"/>
        </w:rPr>
        <w:t>2</w:t>
      </w:r>
      <w:r>
        <w:rPr>
          <w:rFonts w:hint="eastAsia" w:ascii="宋体" w:hAnsi="宋体"/>
        </w:rPr>
        <w:fldChar w:fldCharType="end"/>
      </w:r>
    </w:p>
    <w:p w14:paraId="79DD4F96">
      <w:pPr>
        <w:pStyle w:val="37"/>
        <w:tabs>
          <w:tab w:val="right" w:leader="dot" w:pos="8296"/>
        </w:tabs>
        <w:ind w:left="480"/>
        <w:rPr>
          <w:rFonts w:ascii="宋体" w:hAnsi="宋体"/>
          <w:sz w:val="21"/>
          <w:szCs w:val="22"/>
        </w:rPr>
      </w:pPr>
      <w:r>
        <w:rPr>
          <w:rFonts w:hint="eastAsia" w:ascii="宋体" w:hAnsi="宋体"/>
          <w:bCs/>
        </w:rPr>
        <w:t>五、工程总承包项目经理</w:t>
      </w:r>
      <w:r>
        <w:rPr>
          <w:rFonts w:hint="eastAsia" w:ascii="宋体" w:hAnsi="宋体"/>
        </w:rPr>
        <w:tab/>
      </w:r>
      <w:r>
        <w:rPr>
          <w:rFonts w:hint="eastAsia" w:ascii="宋体" w:hAnsi="宋体"/>
        </w:rPr>
        <w:fldChar w:fldCharType="begin"/>
      </w:r>
      <w:r>
        <w:rPr>
          <w:rFonts w:hint="eastAsia" w:ascii="宋体" w:hAnsi="宋体"/>
        </w:rPr>
        <w:instrText xml:space="preserve"> PAGEREF _Toc54862169 \h </w:instrText>
      </w:r>
      <w:r>
        <w:rPr>
          <w:rFonts w:hint="eastAsia" w:ascii="宋体" w:hAnsi="宋体"/>
        </w:rPr>
        <w:fldChar w:fldCharType="separate"/>
      </w:r>
      <w:r>
        <w:rPr>
          <w:rFonts w:ascii="宋体" w:hAnsi="宋体"/>
        </w:rPr>
        <w:t>3</w:t>
      </w:r>
      <w:r>
        <w:rPr>
          <w:rFonts w:hint="eastAsia" w:ascii="宋体" w:hAnsi="宋体"/>
        </w:rPr>
        <w:fldChar w:fldCharType="end"/>
      </w:r>
    </w:p>
    <w:p w14:paraId="642E1204">
      <w:pPr>
        <w:pStyle w:val="37"/>
        <w:tabs>
          <w:tab w:val="right" w:leader="dot" w:pos="8296"/>
        </w:tabs>
        <w:ind w:left="480"/>
        <w:rPr>
          <w:rFonts w:ascii="宋体" w:hAnsi="宋体"/>
          <w:sz w:val="21"/>
          <w:szCs w:val="22"/>
        </w:rPr>
      </w:pPr>
      <w:r>
        <w:rPr>
          <w:rFonts w:hint="eastAsia" w:ascii="宋体" w:hAnsi="宋体"/>
          <w:bCs/>
        </w:rPr>
        <w:t>六、合同文件构成</w:t>
      </w:r>
      <w:r>
        <w:rPr>
          <w:rFonts w:hint="eastAsia" w:ascii="宋体" w:hAnsi="宋体"/>
        </w:rPr>
        <w:tab/>
      </w:r>
      <w:r>
        <w:rPr>
          <w:rFonts w:hint="eastAsia" w:ascii="宋体" w:hAnsi="宋体"/>
        </w:rPr>
        <w:fldChar w:fldCharType="begin"/>
      </w:r>
      <w:r>
        <w:rPr>
          <w:rFonts w:hint="eastAsia" w:ascii="宋体" w:hAnsi="宋体"/>
        </w:rPr>
        <w:instrText xml:space="preserve"> PAGEREF _Toc54862170 \h </w:instrText>
      </w:r>
      <w:r>
        <w:rPr>
          <w:rFonts w:hint="eastAsia" w:ascii="宋体" w:hAnsi="宋体"/>
        </w:rPr>
        <w:fldChar w:fldCharType="separate"/>
      </w:r>
      <w:r>
        <w:rPr>
          <w:rFonts w:ascii="宋体" w:hAnsi="宋体"/>
        </w:rPr>
        <w:t>3</w:t>
      </w:r>
      <w:r>
        <w:rPr>
          <w:rFonts w:hint="eastAsia" w:ascii="宋体" w:hAnsi="宋体"/>
        </w:rPr>
        <w:fldChar w:fldCharType="end"/>
      </w:r>
    </w:p>
    <w:p w14:paraId="3F56C33C">
      <w:pPr>
        <w:pStyle w:val="37"/>
        <w:tabs>
          <w:tab w:val="right" w:leader="dot" w:pos="8296"/>
        </w:tabs>
        <w:ind w:left="480"/>
        <w:rPr>
          <w:rFonts w:ascii="宋体" w:hAnsi="宋体"/>
          <w:sz w:val="21"/>
          <w:szCs w:val="22"/>
        </w:rPr>
      </w:pPr>
      <w:r>
        <w:rPr>
          <w:rFonts w:hint="eastAsia" w:ascii="宋体" w:hAnsi="宋体"/>
          <w:bCs/>
        </w:rPr>
        <w:t>七、承诺</w:t>
      </w:r>
      <w:r>
        <w:rPr>
          <w:rFonts w:hint="eastAsia" w:ascii="宋体" w:hAnsi="宋体"/>
        </w:rPr>
        <w:tab/>
      </w:r>
      <w:r>
        <w:rPr>
          <w:rFonts w:hint="eastAsia" w:ascii="宋体" w:hAnsi="宋体"/>
        </w:rPr>
        <w:fldChar w:fldCharType="begin"/>
      </w:r>
      <w:r>
        <w:rPr>
          <w:rFonts w:hint="eastAsia" w:ascii="宋体" w:hAnsi="宋体"/>
        </w:rPr>
        <w:instrText xml:space="preserve"> PAGEREF _Toc54862171 \h </w:instrText>
      </w:r>
      <w:r>
        <w:rPr>
          <w:rFonts w:hint="eastAsia" w:ascii="宋体" w:hAnsi="宋体"/>
        </w:rPr>
        <w:fldChar w:fldCharType="separate"/>
      </w:r>
      <w:r>
        <w:rPr>
          <w:rFonts w:ascii="宋体" w:hAnsi="宋体"/>
        </w:rPr>
        <w:t>4</w:t>
      </w:r>
      <w:r>
        <w:rPr>
          <w:rFonts w:hint="eastAsia" w:ascii="宋体" w:hAnsi="宋体"/>
        </w:rPr>
        <w:fldChar w:fldCharType="end"/>
      </w:r>
    </w:p>
    <w:p w14:paraId="63ED23F9">
      <w:pPr>
        <w:pStyle w:val="37"/>
        <w:tabs>
          <w:tab w:val="right" w:leader="dot" w:pos="8296"/>
        </w:tabs>
        <w:ind w:left="480"/>
        <w:rPr>
          <w:rFonts w:ascii="宋体" w:hAnsi="宋体"/>
          <w:sz w:val="21"/>
          <w:szCs w:val="22"/>
        </w:rPr>
      </w:pPr>
      <w:r>
        <w:rPr>
          <w:rFonts w:hint="eastAsia" w:ascii="宋体" w:hAnsi="宋体"/>
          <w:bCs/>
        </w:rPr>
        <w:t>八、订立时间</w:t>
      </w:r>
      <w:r>
        <w:rPr>
          <w:rFonts w:hint="eastAsia" w:ascii="宋体" w:hAnsi="宋体"/>
        </w:rPr>
        <w:tab/>
      </w:r>
      <w:r>
        <w:rPr>
          <w:rFonts w:hint="eastAsia" w:ascii="宋体" w:hAnsi="宋体"/>
        </w:rPr>
        <w:fldChar w:fldCharType="begin"/>
      </w:r>
      <w:r>
        <w:rPr>
          <w:rFonts w:hint="eastAsia" w:ascii="宋体" w:hAnsi="宋体"/>
        </w:rPr>
        <w:instrText xml:space="preserve"> PAGEREF _Toc54862172 \h </w:instrText>
      </w:r>
      <w:r>
        <w:rPr>
          <w:rFonts w:hint="eastAsia" w:ascii="宋体" w:hAnsi="宋体"/>
        </w:rPr>
        <w:fldChar w:fldCharType="separate"/>
      </w:r>
      <w:r>
        <w:rPr>
          <w:rFonts w:ascii="宋体" w:hAnsi="宋体"/>
        </w:rPr>
        <w:t>4</w:t>
      </w:r>
      <w:r>
        <w:rPr>
          <w:rFonts w:hint="eastAsia" w:ascii="宋体" w:hAnsi="宋体"/>
        </w:rPr>
        <w:fldChar w:fldCharType="end"/>
      </w:r>
    </w:p>
    <w:p w14:paraId="009B821D">
      <w:pPr>
        <w:pStyle w:val="37"/>
        <w:tabs>
          <w:tab w:val="right" w:leader="dot" w:pos="8296"/>
        </w:tabs>
        <w:ind w:left="480"/>
        <w:rPr>
          <w:rFonts w:ascii="宋体" w:hAnsi="宋体"/>
          <w:sz w:val="21"/>
          <w:szCs w:val="22"/>
        </w:rPr>
      </w:pPr>
      <w:r>
        <w:rPr>
          <w:rFonts w:hint="eastAsia" w:ascii="宋体" w:hAnsi="宋体"/>
          <w:bCs/>
        </w:rPr>
        <w:t>九、订立地点</w:t>
      </w:r>
      <w:r>
        <w:rPr>
          <w:rFonts w:hint="eastAsia" w:ascii="宋体" w:hAnsi="宋体"/>
        </w:rPr>
        <w:tab/>
      </w:r>
      <w:r>
        <w:rPr>
          <w:rFonts w:hint="eastAsia" w:ascii="宋体" w:hAnsi="宋体"/>
        </w:rPr>
        <w:fldChar w:fldCharType="begin"/>
      </w:r>
      <w:r>
        <w:rPr>
          <w:rFonts w:hint="eastAsia" w:ascii="宋体" w:hAnsi="宋体"/>
        </w:rPr>
        <w:instrText xml:space="preserve"> PAGEREF _Toc54862173 \h </w:instrText>
      </w:r>
      <w:r>
        <w:rPr>
          <w:rFonts w:hint="eastAsia" w:ascii="宋体" w:hAnsi="宋体"/>
        </w:rPr>
        <w:fldChar w:fldCharType="separate"/>
      </w:r>
      <w:r>
        <w:rPr>
          <w:rFonts w:ascii="宋体" w:hAnsi="宋体"/>
        </w:rPr>
        <w:t>4</w:t>
      </w:r>
      <w:r>
        <w:rPr>
          <w:rFonts w:hint="eastAsia" w:ascii="宋体" w:hAnsi="宋体"/>
        </w:rPr>
        <w:fldChar w:fldCharType="end"/>
      </w:r>
    </w:p>
    <w:p w14:paraId="483B6567">
      <w:pPr>
        <w:pStyle w:val="37"/>
        <w:tabs>
          <w:tab w:val="right" w:leader="dot" w:pos="8296"/>
        </w:tabs>
        <w:ind w:left="480"/>
        <w:rPr>
          <w:rFonts w:ascii="宋体" w:hAnsi="宋体"/>
          <w:sz w:val="21"/>
          <w:szCs w:val="22"/>
        </w:rPr>
      </w:pPr>
      <w:r>
        <w:rPr>
          <w:rFonts w:hint="eastAsia" w:ascii="宋体" w:hAnsi="宋体"/>
          <w:bCs/>
        </w:rPr>
        <w:t>十、合同生效</w:t>
      </w:r>
      <w:r>
        <w:rPr>
          <w:rFonts w:hint="eastAsia" w:ascii="宋体" w:hAnsi="宋体"/>
        </w:rPr>
        <w:tab/>
      </w:r>
      <w:r>
        <w:rPr>
          <w:rFonts w:hint="eastAsia" w:ascii="宋体" w:hAnsi="宋体"/>
        </w:rPr>
        <w:fldChar w:fldCharType="begin"/>
      </w:r>
      <w:r>
        <w:rPr>
          <w:rFonts w:hint="eastAsia" w:ascii="宋体" w:hAnsi="宋体"/>
        </w:rPr>
        <w:instrText xml:space="preserve"> PAGEREF _Toc54862174 \h </w:instrText>
      </w:r>
      <w:r>
        <w:rPr>
          <w:rFonts w:hint="eastAsia" w:ascii="宋体" w:hAnsi="宋体"/>
        </w:rPr>
        <w:fldChar w:fldCharType="separate"/>
      </w:r>
      <w:r>
        <w:rPr>
          <w:rFonts w:ascii="宋体" w:hAnsi="宋体"/>
        </w:rPr>
        <w:t>4</w:t>
      </w:r>
      <w:r>
        <w:rPr>
          <w:rFonts w:hint="eastAsia" w:ascii="宋体" w:hAnsi="宋体"/>
        </w:rPr>
        <w:fldChar w:fldCharType="end"/>
      </w:r>
    </w:p>
    <w:p w14:paraId="0170B8D7">
      <w:pPr>
        <w:pStyle w:val="37"/>
        <w:tabs>
          <w:tab w:val="right" w:leader="dot" w:pos="8296"/>
        </w:tabs>
        <w:ind w:left="480"/>
        <w:rPr>
          <w:rFonts w:ascii="宋体" w:hAnsi="宋体"/>
          <w:sz w:val="21"/>
          <w:szCs w:val="22"/>
        </w:rPr>
      </w:pPr>
      <w:r>
        <w:rPr>
          <w:rFonts w:hint="eastAsia" w:ascii="宋体" w:hAnsi="宋体"/>
          <w:bCs/>
        </w:rPr>
        <w:t>十一、合同份数</w:t>
      </w:r>
      <w:r>
        <w:rPr>
          <w:rFonts w:hint="eastAsia" w:ascii="宋体" w:hAnsi="宋体"/>
        </w:rPr>
        <w:tab/>
      </w:r>
      <w:r>
        <w:rPr>
          <w:rFonts w:hint="eastAsia" w:ascii="宋体" w:hAnsi="宋体"/>
        </w:rPr>
        <w:fldChar w:fldCharType="begin"/>
      </w:r>
      <w:r>
        <w:rPr>
          <w:rFonts w:hint="eastAsia" w:ascii="宋体" w:hAnsi="宋体"/>
        </w:rPr>
        <w:instrText xml:space="preserve"> PAGEREF _Toc54862175 \h </w:instrText>
      </w:r>
      <w:r>
        <w:rPr>
          <w:rFonts w:hint="eastAsia" w:ascii="宋体" w:hAnsi="宋体"/>
        </w:rPr>
        <w:fldChar w:fldCharType="separate"/>
      </w:r>
      <w:r>
        <w:rPr>
          <w:rFonts w:ascii="宋体" w:hAnsi="宋体"/>
        </w:rPr>
        <w:t>4</w:t>
      </w:r>
      <w:r>
        <w:rPr>
          <w:rFonts w:hint="eastAsia" w:ascii="宋体" w:hAnsi="宋体"/>
        </w:rPr>
        <w:fldChar w:fldCharType="end"/>
      </w:r>
    </w:p>
    <w:p w14:paraId="01628C9E">
      <w:pPr>
        <w:pStyle w:val="31"/>
        <w:tabs>
          <w:tab w:val="right" w:leader="dot" w:pos="8296"/>
        </w:tabs>
        <w:ind w:firstLine="562"/>
        <w:rPr>
          <w:rFonts w:ascii="宋体" w:hAnsi="宋体"/>
          <w:b w:val="0"/>
          <w:bCs w:val="0"/>
          <w:sz w:val="22"/>
          <w:szCs w:val="24"/>
        </w:rPr>
      </w:pPr>
      <w:r>
        <w:rPr>
          <w:rFonts w:hint="eastAsia" w:ascii="宋体" w:hAnsi="宋体"/>
          <w:b w:val="0"/>
          <w:bCs w:val="0"/>
          <w:sz w:val="28"/>
          <w:szCs w:val="21"/>
        </w:rPr>
        <w:t>第二部分 通用合同条件</w:t>
      </w:r>
      <w:r>
        <w:rPr>
          <w:rFonts w:hint="eastAsia" w:ascii="宋体" w:hAnsi="宋体"/>
          <w:b w:val="0"/>
          <w:bCs w:val="0"/>
          <w:sz w:val="28"/>
          <w:szCs w:val="21"/>
        </w:rPr>
        <w:tab/>
      </w:r>
      <w:r>
        <w:rPr>
          <w:rFonts w:hint="eastAsia" w:ascii="宋体" w:hAnsi="宋体"/>
          <w:b w:val="0"/>
          <w:bCs w:val="0"/>
          <w:sz w:val="28"/>
          <w:szCs w:val="21"/>
        </w:rPr>
        <w:fldChar w:fldCharType="begin"/>
      </w:r>
      <w:r>
        <w:rPr>
          <w:rFonts w:hint="eastAsia" w:ascii="宋体" w:hAnsi="宋体"/>
          <w:b w:val="0"/>
          <w:bCs w:val="0"/>
          <w:sz w:val="28"/>
          <w:szCs w:val="21"/>
        </w:rPr>
        <w:instrText xml:space="preserve"> PAGEREF _Toc54862176 \h </w:instrText>
      </w:r>
      <w:r>
        <w:rPr>
          <w:rFonts w:hint="eastAsia" w:ascii="宋体" w:hAnsi="宋体"/>
          <w:b w:val="0"/>
          <w:bCs w:val="0"/>
          <w:sz w:val="28"/>
          <w:szCs w:val="21"/>
        </w:rPr>
        <w:fldChar w:fldCharType="separate"/>
      </w:r>
      <w:r>
        <w:rPr>
          <w:rFonts w:ascii="宋体" w:hAnsi="宋体"/>
          <w:b w:val="0"/>
          <w:bCs w:val="0"/>
          <w:sz w:val="28"/>
          <w:szCs w:val="21"/>
        </w:rPr>
        <w:t>6</w:t>
      </w:r>
      <w:r>
        <w:rPr>
          <w:rFonts w:hint="eastAsia" w:ascii="宋体" w:hAnsi="宋体"/>
          <w:b w:val="0"/>
          <w:bCs w:val="0"/>
          <w:sz w:val="28"/>
          <w:szCs w:val="21"/>
        </w:rPr>
        <w:fldChar w:fldCharType="end"/>
      </w:r>
    </w:p>
    <w:p w14:paraId="1DDDF6A6">
      <w:pPr>
        <w:pStyle w:val="37"/>
        <w:tabs>
          <w:tab w:val="right" w:leader="dot" w:pos="8296"/>
        </w:tabs>
        <w:ind w:left="480"/>
        <w:rPr>
          <w:rFonts w:ascii="宋体" w:hAnsi="宋体"/>
          <w:sz w:val="21"/>
          <w:szCs w:val="22"/>
        </w:rPr>
      </w:pPr>
      <w:r>
        <w:rPr>
          <w:rFonts w:hint="eastAsia" w:ascii="宋体" w:hAnsi="宋体"/>
          <w:bCs/>
        </w:rPr>
        <w:t>第1条 一般约定</w:t>
      </w:r>
      <w:r>
        <w:rPr>
          <w:rFonts w:hint="eastAsia" w:ascii="宋体" w:hAnsi="宋体"/>
        </w:rPr>
        <w:tab/>
      </w:r>
      <w:r>
        <w:rPr>
          <w:rFonts w:hint="eastAsia" w:ascii="宋体" w:hAnsi="宋体"/>
        </w:rPr>
        <w:fldChar w:fldCharType="begin"/>
      </w:r>
      <w:r>
        <w:rPr>
          <w:rFonts w:hint="eastAsia" w:ascii="宋体" w:hAnsi="宋体"/>
        </w:rPr>
        <w:instrText xml:space="preserve"> PAGEREF _Toc54862177 \h </w:instrText>
      </w:r>
      <w:r>
        <w:rPr>
          <w:rFonts w:hint="eastAsia" w:ascii="宋体" w:hAnsi="宋体"/>
        </w:rPr>
        <w:fldChar w:fldCharType="separate"/>
      </w:r>
      <w:r>
        <w:rPr>
          <w:rFonts w:ascii="宋体" w:hAnsi="宋体"/>
        </w:rPr>
        <w:t>6</w:t>
      </w:r>
      <w:r>
        <w:rPr>
          <w:rFonts w:hint="eastAsia" w:ascii="宋体" w:hAnsi="宋体"/>
        </w:rPr>
        <w:fldChar w:fldCharType="end"/>
      </w:r>
    </w:p>
    <w:p w14:paraId="264CF67C">
      <w:pPr>
        <w:pStyle w:val="23"/>
        <w:tabs>
          <w:tab w:val="right" w:leader="dot" w:pos="8296"/>
        </w:tabs>
        <w:ind w:left="960"/>
        <w:rPr>
          <w:rFonts w:ascii="宋体" w:hAnsi="宋体"/>
          <w:sz w:val="21"/>
          <w:szCs w:val="22"/>
        </w:rPr>
      </w:pPr>
      <w:r>
        <w:rPr>
          <w:rFonts w:hint="eastAsia" w:ascii="宋体" w:hAnsi="宋体"/>
          <w:bCs/>
        </w:rPr>
        <w:t>1.1 词语定义和解释</w:t>
      </w:r>
      <w:r>
        <w:rPr>
          <w:rFonts w:hint="eastAsia" w:ascii="宋体" w:hAnsi="宋体"/>
        </w:rPr>
        <w:tab/>
      </w:r>
      <w:r>
        <w:rPr>
          <w:rFonts w:hint="eastAsia" w:ascii="宋体" w:hAnsi="宋体"/>
        </w:rPr>
        <w:fldChar w:fldCharType="begin"/>
      </w:r>
      <w:r>
        <w:rPr>
          <w:rFonts w:hint="eastAsia" w:ascii="宋体" w:hAnsi="宋体"/>
        </w:rPr>
        <w:instrText xml:space="preserve"> PAGEREF _Toc54862178 \h </w:instrText>
      </w:r>
      <w:r>
        <w:rPr>
          <w:rFonts w:hint="eastAsia" w:ascii="宋体" w:hAnsi="宋体"/>
        </w:rPr>
        <w:fldChar w:fldCharType="separate"/>
      </w:r>
      <w:r>
        <w:rPr>
          <w:rFonts w:ascii="宋体" w:hAnsi="宋体"/>
        </w:rPr>
        <w:t>6</w:t>
      </w:r>
      <w:r>
        <w:rPr>
          <w:rFonts w:hint="eastAsia" w:ascii="宋体" w:hAnsi="宋体"/>
        </w:rPr>
        <w:fldChar w:fldCharType="end"/>
      </w:r>
    </w:p>
    <w:p w14:paraId="56DE75DF">
      <w:pPr>
        <w:pStyle w:val="23"/>
        <w:tabs>
          <w:tab w:val="right" w:leader="dot" w:pos="8296"/>
        </w:tabs>
        <w:ind w:left="960"/>
        <w:rPr>
          <w:rFonts w:ascii="宋体" w:hAnsi="宋体"/>
          <w:sz w:val="21"/>
          <w:szCs w:val="22"/>
        </w:rPr>
      </w:pPr>
      <w:r>
        <w:rPr>
          <w:rFonts w:hint="eastAsia" w:ascii="宋体" w:hAnsi="宋体"/>
          <w:bCs/>
        </w:rPr>
        <w:t>1.2 语言文字</w:t>
      </w:r>
      <w:r>
        <w:rPr>
          <w:rFonts w:hint="eastAsia" w:ascii="宋体" w:hAnsi="宋体"/>
        </w:rPr>
        <w:tab/>
      </w:r>
      <w:r>
        <w:rPr>
          <w:rFonts w:hint="eastAsia" w:ascii="宋体" w:hAnsi="宋体"/>
        </w:rPr>
        <w:fldChar w:fldCharType="begin"/>
      </w:r>
      <w:r>
        <w:rPr>
          <w:rFonts w:hint="eastAsia" w:ascii="宋体" w:hAnsi="宋体"/>
        </w:rPr>
        <w:instrText xml:space="preserve"> PAGEREF _Toc54862179 \h </w:instrText>
      </w:r>
      <w:r>
        <w:rPr>
          <w:rFonts w:hint="eastAsia" w:ascii="宋体" w:hAnsi="宋体"/>
        </w:rPr>
        <w:fldChar w:fldCharType="separate"/>
      </w:r>
      <w:r>
        <w:rPr>
          <w:rFonts w:ascii="宋体" w:hAnsi="宋体"/>
        </w:rPr>
        <w:t>12</w:t>
      </w:r>
      <w:r>
        <w:rPr>
          <w:rFonts w:hint="eastAsia" w:ascii="宋体" w:hAnsi="宋体"/>
        </w:rPr>
        <w:fldChar w:fldCharType="end"/>
      </w:r>
    </w:p>
    <w:p w14:paraId="7954E1BB">
      <w:pPr>
        <w:pStyle w:val="23"/>
        <w:tabs>
          <w:tab w:val="right" w:leader="dot" w:pos="8296"/>
        </w:tabs>
        <w:ind w:left="960"/>
        <w:rPr>
          <w:rFonts w:ascii="宋体" w:hAnsi="宋体"/>
          <w:sz w:val="21"/>
          <w:szCs w:val="22"/>
        </w:rPr>
      </w:pPr>
      <w:r>
        <w:rPr>
          <w:rFonts w:hint="eastAsia" w:ascii="宋体" w:hAnsi="宋体"/>
          <w:bCs/>
        </w:rPr>
        <w:t>1.3 法律</w:t>
      </w:r>
      <w:r>
        <w:rPr>
          <w:rFonts w:hint="eastAsia" w:ascii="宋体" w:hAnsi="宋体"/>
        </w:rPr>
        <w:tab/>
      </w:r>
      <w:r>
        <w:rPr>
          <w:rFonts w:hint="eastAsia" w:ascii="宋体" w:hAnsi="宋体"/>
        </w:rPr>
        <w:fldChar w:fldCharType="begin"/>
      </w:r>
      <w:r>
        <w:rPr>
          <w:rFonts w:hint="eastAsia" w:ascii="宋体" w:hAnsi="宋体"/>
        </w:rPr>
        <w:instrText xml:space="preserve"> PAGEREF _Toc54862180 \h </w:instrText>
      </w:r>
      <w:r>
        <w:rPr>
          <w:rFonts w:hint="eastAsia" w:ascii="宋体" w:hAnsi="宋体"/>
        </w:rPr>
        <w:fldChar w:fldCharType="separate"/>
      </w:r>
      <w:r>
        <w:rPr>
          <w:rFonts w:ascii="宋体" w:hAnsi="宋体"/>
        </w:rPr>
        <w:t>13</w:t>
      </w:r>
      <w:r>
        <w:rPr>
          <w:rFonts w:hint="eastAsia" w:ascii="宋体" w:hAnsi="宋体"/>
        </w:rPr>
        <w:fldChar w:fldCharType="end"/>
      </w:r>
    </w:p>
    <w:p w14:paraId="31717106">
      <w:pPr>
        <w:pStyle w:val="23"/>
        <w:tabs>
          <w:tab w:val="right" w:leader="dot" w:pos="8296"/>
        </w:tabs>
        <w:ind w:left="960"/>
        <w:rPr>
          <w:rFonts w:ascii="宋体" w:hAnsi="宋体"/>
          <w:sz w:val="21"/>
          <w:szCs w:val="22"/>
        </w:rPr>
      </w:pPr>
      <w:r>
        <w:rPr>
          <w:rFonts w:hint="eastAsia" w:ascii="宋体" w:hAnsi="宋体"/>
          <w:bCs/>
        </w:rPr>
        <w:t>1.4 标准和规范</w:t>
      </w:r>
      <w:r>
        <w:rPr>
          <w:rFonts w:hint="eastAsia" w:ascii="宋体" w:hAnsi="宋体"/>
        </w:rPr>
        <w:tab/>
      </w:r>
      <w:r>
        <w:rPr>
          <w:rFonts w:hint="eastAsia" w:ascii="宋体" w:hAnsi="宋体"/>
        </w:rPr>
        <w:fldChar w:fldCharType="begin"/>
      </w:r>
      <w:r>
        <w:rPr>
          <w:rFonts w:hint="eastAsia" w:ascii="宋体" w:hAnsi="宋体"/>
        </w:rPr>
        <w:instrText xml:space="preserve"> PAGEREF _Toc54862181 \h </w:instrText>
      </w:r>
      <w:r>
        <w:rPr>
          <w:rFonts w:hint="eastAsia" w:ascii="宋体" w:hAnsi="宋体"/>
        </w:rPr>
        <w:fldChar w:fldCharType="separate"/>
      </w:r>
      <w:r>
        <w:rPr>
          <w:rFonts w:ascii="宋体" w:hAnsi="宋体"/>
        </w:rPr>
        <w:t>13</w:t>
      </w:r>
      <w:r>
        <w:rPr>
          <w:rFonts w:hint="eastAsia" w:ascii="宋体" w:hAnsi="宋体"/>
        </w:rPr>
        <w:fldChar w:fldCharType="end"/>
      </w:r>
    </w:p>
    <w:p w14:paraId="227B3567">
      <w:pPr>
        <w:pStyle w:val="23"/>
        <w:tabs>
          <w:tab w:val="right" w:leader="dot" w:pos="8296"/>
        </w:tabs>
        <w:ind w:left="960"/>
        <w:rPr>
          <w:rFonts w:ascii="宋体" w:hAnsi="宋体"/>
          <w:sz w:val="21"/>
          <w:szCs w:val="22"/>
        </w:rPr>
      </w:pPr>
      <w:r>
        <w:rPr>
          <w:rFonts w:hint="eastAsia" w:ascii="宋体" w:hAnsi="宋体"/>
          <w:bCs/>
        </w:rPr>
        <w:t>1.5 合同文件的优先顺序</w:t>
      </w:r>
      <w:r>
        <w:rPr>
          <w:rFonts w:hint="eastAsia" w:ascii="宋体" w:hAnsi="宋体"/>
        </w:rPr>
        <w:tab/>
      </w:r>
      <w:r>
        <w:rPr>
          <w:rFonts w:hint="eastAsia" w:ascii="宋体" w:hAnsi="宋体"/>
        </w:rPr>
        <w:fldChar w:fldCharType="begin"/>
      </w:r>
      <w:r>
        <w:rPr>
          <w:rFonts w:hint="eastAsia" w:ascii="宋体" w:hAnsi="宋体"/>
        </w:rPr>
        <w:instrText xml:space="preserve"> PAGEREF _Toc54862182 \h </w:instrText>
      </w:r>
      <w:r>
        <w:rPr>
          <w:rFonts w:hint="eastAsia" w:ascii="宋体" w:hAnsi="宋体"/>
        </w:rPr>
        <w:fldChar w:fldCharType="separate"/>
      </w:r>
      <w:r>
        <w:rPr>
          <w:rFonts w:ascii="宋体" w:hAnsi="宋体"/>
        </w:rPr>
        <w:t>14</w:t>
      </w:r>
      <w:r>
        <w:rPr>
          <w:rFonts w:hint="eastAsia" w:ascii="宋体" w:hAnsi="宋体"/>
        </w:rPr>
        <w:fldChar w:fldCharType="end"/>
      </w:r>
    </w:p>
    <w:p w14:paraId="2D124E76">
      <w:pPr>
        <w:pStyle w:val="23"/>
        <w:tabs>
          <w:tab w:val="right" w:leader="dot" w:pos="8296"/>
        </w:tabs>
        <w:ind w:left="960"/>
        <w:rPr>
          <w:rFonts w:ascii="宋体" w:hAnsi="宋体"/>
          <w:sz w:val="21"/>
          <w:szCs w:val="22"/>
        </w:rPr>
      </w:pPr>
      <w:r>
        <w:rPr>
          <w:rFonts w:hint="eastAsia" w:ascii="宋体" w:hAnsi="宋体"/>
          <w:bCs/>
        </w:rPr>
        <w:t>1.6 文件的提供和照管</w:t>
      </w:r>
      <w:r>
        <w:rPr>
          <w:rFonts w:hint="eastAsia" w:ascii="宋体" w:hAnsi="宋体"/>
        </w:rPr>
        <w:tab/>
      </w:r>
      <w:r>
        <w:rPr>
          <w:rFonts w:hint="eastAsia" w:ascii="宋体" w:hAnsi="宋体"/>
        </w:rPr>
        <w:fldChar w:fldCharType="begin"/>
      </w:r>
      <w:r>
        <w:rPr>
          <w:rFonts w:hint="eastAsia" w:ascii="宋体" w:hAnsi="宋体"/>
        </w:rPr>
        <w:instrText xml:space="preserve"> PAGEREF _Toc54862183 \h </w:instrText>
      </w:r>
      <w:r>
        <w:rPr>
          <w:rFonts w:hint="eastAsia" w:ascii="宋体" w:hAnsi="宋体"/>
        </w:rPr>
        <w:fldChar w:fldCharType="separate"/>
      </w:r>
      <w:r>
        <w:rPr>
          <w:rFonts w:ascii="宋体" w:hAnsi="宋体"/>
        </w:rPr>
        <w:t>15</w:t>
      </w:r>
      <w:r>
        <w:rPr>
          <w:rFonts w:hint="eastAsia" w:ascii="宋体" w:hAnsi="宋体"/>
        </w:rPr>
        <w:fldChar w:fldCharType="end"/>
      </w:r>
    </w:p>
    <w:p w14:paraId="79A6A1DE">
      <w:pPr>
        <w:pStyle w:val="23"/>
        <w:tabs>
          <w:tab w:val="right" w:leader="dot" w:pos="8296"/>
        </w:tabs>
        <w:ind w:left="960"/>
        <w:rPr>
          <w:rFonts w:ascii="宋体" w:hAnsi="宋体"/>
          <w:sz w:val="21"/>
          <w:szCs w:val="22"/>
        </w:rPr>
      </w:pPr>
      <w:r>
        <w:rPr>
          <w:rFonts w:hint="eastAsia" w:ascii="宋体" w:hAnsi="宋体"/>
          <w:bCs/>
        </w:rPr>
        <w:t>1.7 联络</w:t>
      </w:r>
      <w:r>
        <w:rPr>
          <w:rFonts w:hint="eastAsia" w:ascii="宋体" w:hAnsi="宋体"/>
        </w:rPr>
        <w:tab/>
      </w:r>
      <w:r>
        <w:rPr>
          <w:rFonts w:hint="eastAsia" w:ascii="宋体" w:hAnsi="宋体"/>
        </w:rPr>
        <w:fldChar w:fldCharType="begin"/>
      </w:r>
      <w:r>
        <w:rPr>
          <w:rFonts w:hint="eastAsia" w:ascii="宋体" w:hAnsi="宋体"/>
        </w:rPr>
        <w:instrText xml:space="preserve"> PAGEREF _Toc54862184 \h </w:instrText>
      </w:r>
      <w:r>
        <w:rPr>
          <w:rFonts w:hint="eastAsia" w:ascii="宋体" w:hAnsi="宋体"/>
        </w:rPr>
        <w:fldChar w:fldCharType="separate"/>
      </w:r>
      <w:r>
        <w:rPr>
          <w:rFonts w:ascii="宋体" w:hAnsi="宋体"/>
        </w:rPr>
        <w:t>16</w:t>
      </w:r>
      <w:r>
        <w:rPr>
          <w:rFonts w:hint="eastAsia" w:ascii="宋体" w:hAnsi="宋体"/>
        </w:rPr>
        <w:fldChar w:fldCharType="end"/>
      </w:r>
    </w:p>
    <w:p w14:paraId="7FF0D9FC">
      <w:pPr>
        <w:pStyle w:val="23"/>
        <w:tabs>
          <w:tab w:val="right" w:leader="dot" w:pos="8296"/>
        </w:tabs>
        <w:ind w:left="960"/>
        <w:rPr>
          <w:rFonts w:ascii="宋体" w:hAnsi="宋体"/>
          <w:sz w:val="21"/>
          <w:szCs w:val="22"/>
        </w:rPr>
      </w:pPr>
      <w:r>
        <w:rPr>
          <w:rFonts w:hint="eastAsia" w:ascii="宋体" w:hAnsi="宋体"/>
          <w:bCs/>
        </w:rPr>
        <w:t>1.8 严禁贿赂</w:t>
      </w:r>
      <w:r>
        <w:rPr>
          <w:rFonts w:hint="eastAsia" w:ascii="宋体" w:hAnsi="宋体"/>
        </w:rPr>
        <w:tab/>
      </w:r>
      <w:r>
        <w:rPr>
          <w:rFonts w:hint="eastAsia" w:ascii="宋体" w:hAnsi="宋体"/>
        </w:rPr>
        <w:fldChar w:fldCharType="begin"/>
      </w:r>
      <w:r>
        <w:rPr>
          <w:rFonts w:hint="eastAsia" w:ascii="宋体" w:hAnsi="宋体"/>
        </w:rPr>
        <w:instrText xml:space="preserve"> PAGEREF _Toc54862185 \h </w:instrText>
      </w:r>
      <w:r>
        <w:rPr>
          <w:rFonts w:hint="eastAsia" w:ascii="宋体" w:hAnsi="宋体"/>
        </w:rPr>
        <w:fldChar w:fldCharType="separate"/>
      </w:r>
      <w:r>
        <w:rPr>
          <w:rFonts w:ascii="宋体" w:hAnsi="宋体"/>
        </w:rPr>
        <w:t>17</w:t>
      </w:r>
      <w:r>
        <w:rPr>
          <w:rFonts w:hint="eastAsia" w:ascii="宋体" w:hAnsi="宋体"/>
        </w:rPr>
        <w:fldChar w:fldCharType="end"/>
      </w:r>
    </w:p>
    <w:p w14:paraId="7E92FB04">
      <w:pPr>
        <w:pStyle w:val="23"/>
        <w:tabs>
          <w:tab w:val="right" w:leader="dot" w:pos="8296"/>
        </w:tabs>
        <w:ind w:left="960"/>
        <w:rPr>
          <w:rFonts w:ascii="宋体" w:hAnsi="宋体"/>
          <w:sz w:val="21"/>
          <w:szCs w:val="22"/>
        </w:rPr>
      </w:pPr>
      <w:r>
        <w:rPr>
          <w:rFonts w:hint="eastAsia" w:ascii="宋体" w:hAnsi="宋体"/>
          <w:bCs/>
        </w:rPr>
        <w:t>1.9 化石、文物</w:t>
      </w:r>
      <w:r>
        <w:rPr>
          <w:rFonts w:hint="eastAsia" w:ascii="宋体" w:hAnsi="宋体"/>
        </w:rPr>
        <w:tab/>
      </w:r>
      <w:r>
        <w:rPr>
          <w:rFonts w:hint="eastAsia" w:ascii="宋体" w:hAnsi="宋体"/>
        </w:rPr>
        <w:fldChar w:fldCharType="begin"/>
      </w:r>
      <w:r>
        <w:rPr>
          <w:rFonts w:hint="eastAsia" w:ascii="宋体" w:hAnsi="宋体"/>
        </w:rPr>
        <w:instrText xml:space="preserve"> PAGEREF _Toc54862186 \h </w:instrText>
      </w:r>
      <w:r>
        <w:rPr>
          <w:rFonts w:hint="eastAsia" w:ascii="宋体" w:hAnsi="宋体"/>
        </w:rPr>
        <w:fldChar w:fldCharType="separate"/>
      </w:r>
      <w:r>
        <w:rPr>
          <w:rFonts w:ascii="宋体" w:hAnsi="宋体"/>
        </w:rPr>
        <w:t>17</w:t>
      </w:r>
      <w:r>
        <w:rPr>
          <w:rFonts w:hint="eastAsia" w:ascii="宋体" w:hAnsi="宋体"/>
        </w:rPr>
        <w:fldChar w:fldCharType="end"/>
      </w:r>
    </w:p>
    <w:p w14:paraId="7B0C7EB9">
      <w:pPr>
        <w:pStyle w:val="23"/>
        <w:tabs>
          <w:tab w:val="right" w:leader="dot" w:pos="8296"/>
        </w:tabs>
        <w:ind w:left="960"/>
        <w:rPr>
          <w:rFonts w:ascii="宋体" w:hAnsi="宋体"/>
          <w:sz w:val="21"/>
          <w:szCs w:val="22"/>
        </w:rPr>
      </w:pPr>
      <w:r>
        <w:rPr>
          <w:rFonts w:hint="eastAsia" w:ascii="宋体" w:hAnsi="宋体"/>
          <w:bCs/>
        </w:rPr>
        <w:t>1.10 知识产权</w:t>
      </w:r>
      <w:r>
        <w:rPr>
          <w:rFonts w:hint="eastAsia" w:ascii="宋体" w:hAnsi="宋体"/>
        </w:rPr>
        <w:tab/>
      </w:r>
      <w:r>
        <w:rPr>
          <w:rFonts w:hint="eastAsia" w:ascii="宋体" w:hAnsi="宋体"/>
        </w:rPr>
        <w:fldChar w:fldCharType="begin"/>
      </w:r>
      <w:r>
        <w:rPr>
          <w:rFonts w:hint="eastAsia" w:ascii="宋体" w:hAnsi="宋体"/>
        </w:rPr>
        <w:instrText xml:space="preserve"> PAGEREF _Toc54862187 \h </w:instrText>
      </w:r>
      <w:r>
        <w:rPr>
          <w:rFonts w:hint="eastAsia" w:ascii="宋体" w:hAnsi="宋体"/>
        </w:rPr>
        <w:fldChar w:fldCharType="separate"/>
      </w:r>
      <w:r>
        <w:rPr>
          <w:rFonts w:ascii="宋体" w:hAnsi="宋体"/>
        </w:rPr>
        <w:t>18</w:t>
      </w:r>
      <w:r>
        <w:rPr>
          <w:rFonts w:hint="eastAsia" w:ascii="宋体" w:hAnsi="宋体"/>
        </w:rPr>
        <w:fldChar w:fldCharType="end"/>
      </w:r>
    </w:p>
    <w:p w14:paraId="06C13E15">
      <w:pPr>
        <w:pStyle w:val="23"/>
        <w:tabs>
          <w:tab w:val="right" w:leader="dot" w:pos="8296"/>
        </w:tabs>
        <w:ind w:left="960"/>
        <w:rPr>
          <w:rFonts w:ascii="宋体" w:hAnsi="宋体"/>
          <w:sz w:val="21"/>
          <w:szCs w:val="22"/>
        </w:rPr>
      </w:pPr>
      <w:r>
        <w:rPr>
          <w:rFonts w:hint="eastAsia" w:ascii="宋体" w:hAnsi="宋体"/>
          <w:bCs/>
        </w:rPr>
        <w:t>1.11 保密</w:t>
      </w:r>
      <w:r>
        <w:rPr>
          <w:rFonts w:hint="eastAsia" w:ascii="宋体" w:hAnsi="宋体"/>
        </w:rPr>
        <w:tab/>
      </w:r>
      <w:r>
        <w:rPr>
          <w:rFonts w:hint="eastAsia" w:ascii="宋体" w:hAnsi="宋体"/>
        </w:rPr>
        <w:fldChar w:fldCharType="begin"/>
      </w:r>
      <w:r>
        <w:rPr>
          <w:rFonts w:hint="eastAsia" w:ascii="宋体" w:hAnsi="宋体"/>
        </w:rPr>
        <w:instrText xml:space="preserve"> PAGEREF _Toc54862188 \h </w:instrText>
      </w:r>
      <w:r>
        <w:rPr>
          <w:rFonts w:hint="eastAsia" w:ascii="宋体" w:hAnsi="宋体"/>
        </w:rPr>
        <w:fldChar w:fldCharType="separate"/>
      </w:r>
      <w:r>
        <w:rPr>
          <w:rFonts w:ascii="宋体" w:hAnsi="宋体"/>
        </w:rPr>
        <w:t>19</w:t>
      </w:r>
      <w:r>
        <w:rPr>
          <w:rFonts w:hint="eastAsia" w:ascii="宋体" w:hAnsi="宋体"/>
        </w:rPr>
        <w:fldChar w:fldCharType="end"/>
      </w:r>
    </w:p>
    <w:p w14:paraId="21EC6B46">
      <w:pPr>
        <w:pStyle w:val="23"/>
        <w:tabs>
          <w:tab w:val="right" w:leader="dot" w:pos="8296"/>
        </w:tabs>
        <w:ind w:left="960"/>
        <w:rPr>
          <w:rFonts w:ascii="宋体" w:hAnsi="宋体"/>
          <w:sz w:val="21"/>
          <w:szCs w:val="22"/>
        </w:rPr>
      </w:pPr>
      <w:r>
        <w:rPr>
          <w:rFonts w:hint="eastAsia" w:ascii="宋体" w:hAnsi="宋体"/>
          <w:bCs/>
        </w:rPr>
        <w:t>1.12 《发包人要求》和基础资料中的错误</w:t>
      </w:r>
      <w:r>
        <w:rPr>
          <w:rFonts w:hint="eastAsia" w:ascii="宋体" w:hAnsi="宋体"/>
        </w:rPr>
        <w:tab/>
      </w:r>
      <w:r>
        <w:rPr>
          <w:rFonts w:hint="eastAsia" w:ascii="宋体" w:hAnsi="宋体"/>
        </w:rPr>
        <w:fldChar w:fldCharType="begin"/>
      </w:r>
      <w:r>
        <w:rPr>
          <w:rFonts w:hint="eastAsia" w:ascii="宋体" w:hAnsi="宋体"/>
        </w:rPr>
        <w:instrText xml:space="preserve"> PAGEREF _Toc54862189 \h </w:instrText>
      </w:r>
      <w:r>
        <w:rPr>
          <w:rFonts w:hint="eastAsia" w:ascii="宋体" w:hAnsi="宋体"/>
        </w:rPr>
        <w:fldChar w:fldCharType="separate"/>
      </w:r>
      <w:r>
        <w:rPr>
          <w:rFonts w:ascii="宋体" w:hAnsi="宋体"/>
        </w:rPr>
        <w:t>19</w:t>
      </w:r>
      <w:r>
        <w:rPr>
          <w:rFonts w:hint="eastAsia" w:ascii="宋体" w:hAnsi="宋体"/>
        </w:rPr>
        <w:fldChar w:fldCharType="end"/>
      </w:r>
    </w:p>
    <w:p w14:paraId="5160A76D">
      <w:pPr>
        <w:pStyle w:val="23"/>
        <w:tabs>
          <w:tab w:val="right" w:leader="dot" w:pos="8296"/>
        </w:tabs>
        <w:ind w:left="960"/>
        <w:rPr>
          <w:rFonts w:ascii="宋体" w:hAnsi="宋体"/>
          <w:sz w:val="21"/>
          <w:szCs w:val="22"/>
        </w:rPr>
      </w:pPr>
      <w:r>
        <w:rPr>
          <w:rFonts w:hint="eastAsia" w:ascii="宋体" w:hAnsi="宋体"/>
          <w:bCs/>
        </w:rPr>
        <w:t>1.13 责任限制</w:t>
      </w:r>
      <w:r>
        <w:rPr>
          <w:rFonts w:hint="eastAsia" w:ascii="宋体" w:hAnsi="宋体"/>
        </w:rPr>
        <w:tab/>
      </w:r>
      <w:r>
        <w:rPr>
          <w:rFonts w:hint="eastAsia" w:ascii="宋体" w:hAnsi="宋体"/>
        </w:rPr>
        <w:fldChar w:fldCharType="begin"/>
      </w:r>
      <w:r>
        <w:rPr>
          <w:rFonts w:hint="eastAsia" w:ascii="宋体" w:hAnsi="宋体"/>
        </w:rPr>
        <w:instrText xml:space="preserve"> PAGEREF _Toc54862190 \h </w:instrText>
      </w:r>
      <w:r>
        <w:rPr>
          <w:rFonts w:hint="eastAsia" w:ascii="宋体" w:hAnsi="宋体"/>
        </w:rPr>
        <w:fldChar w:fldCharType="separate"/>
      </w:r>
      <w:r>
        <w:rPr>
          <w:rFonts w:ascii="宋体" w:hAnsi="宋体"/>
        </w:rPr>
        <w:t>20</w:t>
      </w:r>
      <w:r>
        <w:rPr>
          <w:rFonts w:hint="eastAsia" w:ascii="宋体" w:hAnsi="宋体"/>
        </w:rPr>
        <w:fldChar w:fldCharType="end"/>
      </w:r>
    </w:p>
    <w:p w14:paraId="769C5645">
      <w:pPr>
        <w:pStyle w:val="23"/>
        <w:tabs>
          <w:tab w:val="right" w:leader="dot" w:pos="8296"/>
        </w:tabs>
        <w:ind w:left="960"/>
        <w:rPr>
          <w:rFonts w:ascii="宋体" w:hAnsi="宋体"/>
          <w:sz w:val="21"/>
          <w:szCs w:val="22"/>
        </w:rPr>
      </w:pPr>
      <w:r>
        <w:rPr>
          <w:rFonts w:hint="eastAsia" w:ascii="宋体" w:hAnsi="宋体"/>
          <w:bCs/>
        </w:rPr>
        <w:t>1.14 建筑信息模型技术的应用</w:t>
      </w:r>
      <w:r>
        <w:rPr>
          <w:rFonts w:hint="eastAsia" w:ascii="宋体" w:hAnsi="宋体"/>
        </w:rPr>
        <w:tab/>
      </w:r>
      <w:r>
        <w:rPr>
          <w:rFonts w:hint="eastAsia" w:ascii="宋体" w:hAnsi="宋体"/>
        </w:rPr>
        <w:fldChar w:fldCharType="begin"/>
      </w:r>
      <w:r>
        <w:rPr>
          <w:rFonts w:hint="eastAsia" w:ascii="宋体" w:hAnsi="宋体"/>
        </w:rPr>
        <w:instrText xml:space="preserve"> PAGEREF _Toc54862191 \h </w:instrText>
      </w:r>
      <w:r>
        <w:rPr>
          <w:rFonts w:hint="eastAsia" w:ascii="宋体" w:hAnsi="宋体"/>
        </w:rPr>
        <w:fldChar w:fldCharType="separate"/>
      </w:r>
      <w:r>
        <w:rPr>
          <w:rFonts w:ascii="宋体" w:hAnsi="宋体"/>
        </w:rPr>
        <w:t>20</w:t>
      </w:r>
      <w:r>
        <w:rPr>
          <w:rFonts w:hint="eastAsia" w:ascii="宋体" w:hAnsi="宋体"/>
        </w:rPr>
        <w:fldChar w:fldCharType="end"/>
      </w:r>
    </w:p>
    <w:p w14:paraId="3D0474E2">
      <w:pPr>
        <w:pStyle w:val="37"/>
        <w:tabs>
          <w:tab w:val="right" w:leader="dot" w:pos="8296"/>
        </w:tabs>
        <w:ind w:left="480"/>
        <w:rPr>
          <w:rFonts w:ascii="宋体" w:hAnsi="宋体"/>
          <w:sz w:val="21"/>
          <w:szCs w:val="22"/>
        </w:rPr>
      </w:pPr>
      <w:r>
        <w:rPr>
          <w:rFonts w:hint="eastAsia" w:ascii="宋体" w:hAnsi="宋体"/>
          <w:bCs/>
        </w:rPr>
        <w:t>第2条 发包人</w:t>
      </w:r>
      <w:r>
        <w:rPr>
          <w:rFonts w:hint="eastAsia" w:ascii="宋体" w:hAnsi="宋体"/>
        </w:rPr>
        <w:tab/>
      </w:r>
      <w:r>
        <w:rPr>
          <w:rFonts w:hint="eastAsia" w:ascii="宋体" w:hAnsi="宋体"/>
        </w:rPr>
        <w:fldChar w:fldCharType="begin"/>
      </w:r>
      <w:r>
        <w:rPr>
          <w:rFonts w:hint="eastAsia" w:ascii="宋体" w:hAnsi="宋体"/>
        </w:rPr>
        <w:instrText xml:space="preserve"> PAGEREF _Toc54862192 \h </w:instrText>
      </w:r>
      <w:r>
        <w:rPr>
          <w:rFonts w:hint="eastAsia" w:ascii="宋体" w:hAnsi="宋体"/>
        </w:rPr>
        <w:fldChar w:fldCharType="separate"/>
      </w:r>
      <w:r>
        <w:rPr>
          <w:rFonts w:ascii="宋体" w:hAnsi="宋体"/>
        </w:rPr>
        <w:t>20</w:t>
      </w:r>
      <w:r>
        <w:rPr>
          <w:rFonts w:hint="eastAsia" w:ascii="宋体" w:hAnsi="宋体"/>
        </w:rPr>
        <w:fldChar w:fldCharType="end"/>
      </w:r>
    </w:p>
    <w:p w14:paraId="7EF06EAF">
      <w:pPr>
        <w:pStyle w:val="23"/>
        <w:tabs>
          <w:tab w:val="right" w:leader="dot" w:pos="8296"/>
        </w:tabs>
        <w:ind w:left="960"/>
        <w:rPr>
          <w:rFonts w:ascii="宋体" w:hAnsi="宋体"/>
          <w:sz w:val="21"/>
          <w:szCs w:val="22"/>
        </w:rPr>
      </w:pPr>
      <w:r>
        <w:rPr>
          <w:rFonts w:hint="eastAsia" w:ascii="宋体" w:hAnsi="宋体"/>
          <w:bCs/>
        </w:rPr>
        <w:t>2.1 遵守法律</w:t>
      </w:r>
      <w:r>
        <w:rPr>
          <w:rFonts w:hint="eastAsia" w:ascii="宋体" w:hAnsi="宋体"/>
        </w:rPr>
        <w:tab/>
      </w:r>
      <w:r>
        <w:rPr>
          <w:rFonts w:hint="eastAsia" w:ascii="宋体" w:hAnsi="宋体"/>
        </w:rPr>
        <w:fldChar w:fldCharType="begin"/>
      </w:r>
      <w:r>
        <w:rPr>
          <w:rFonts w:hint="eastAsia" w:ascii="宋体" w:hAnsi="宋体"/>
        </w:rPr>
        <w:instrText xml:space="preserve"> PAGEREF _Toc54862193 \h </w:instrText>
      </w:r>
      <w:r>
        <w:rPr>
          <w:rFonts w:hint="eastAsia" w:ascii="宋体" w:hAnsi="宋体"/>
        </w:rPr>
        <w:fldChar w:fldCharType="separate"/>
      </w:r>
      <w:r>
        <w:rPr>
          <w:rFonts w:ascii="宋体" w:hAnsi="宋体"/>
        </w:rPr>
        <w:t>20</w:t>
      </w:r>
      <w:r>
        <w:rPr>
          <w:rFonts w:hint="eastAsia" w:ascii="宋体" w:hAnsi="宋体"/>
        </w:rPr>
        <w:fldChar w:fldCharType="end"/>
      </w:r>
    </w:p>
    <w:p w14:paraId="44CA6E03">
      <w:pPr>
        <w:pStyle w:val="23"/>
        <w:tabs>
          <w:tab w:val="right" w:leader="dot" w:pos="8296"/>
        </w:tabs>
        <w:ind w:left="960"/>
        <w:rPr>
          <w:rFonts w:ascii="宋体" w:hAnsi="宋体"/>
          <w:sz w:val="21"/>
          <w:szCs w:val="22"/>
        </w:rPr>
      </w:pPr>
      <w:r>
        <w:rPr>
          <w:rFonts w:hint="eastAsia" w:ascii="宋体" w:hAnsi="宋体"/>
          <w:bCs/>
        </w:rPr>
        <w:t>2.2 提供施工现场和工作条件</w:t>
      </w:r>
      <w:r>
        <w:rPr>
          <w:rFonts w:hint="eastAsia" w:ascii="宋体" w:hAnsi="宋体"/>
        </w:rPr>
        <w:tab/>
      </w:r>
      <w:r>
        <w:rPr>
          <w:rFonts w:hint="eastAsia" w:ascii="宋体" w:hAnsi="宋体"/>
        </w:rPr>
        <w:fldChar w:fldCharType="begin"/>
      </w:r>
      <w:r>
        <w:rPr>
          <w:rFonts w:hint="eastAsia" w:ascii="宋体" w:hAnsi="宋体"/>
        </w:rPr>
        <w:instrText xml:space="preserve"> PAGEREF _Toc54862194 \h </w:instrText>
      </w:r>
      <w:r>
        <w:rPr>
          <w:rFonts w:hint="eastAsia" w:ascii="宋体" w:hAnsi="宋体"/>
        </w:rPr>
        <w:fldChar w:fldCharType="separate"/>
      </w:r>
      <w:r>
        <w:rPr>
          <w:rFonts w:ascii="宋体" w:hAnsi="宋体"/>
        </w:rPr>
        <w:t>21</w:t>
      </w:r>
      <w:r>
        <w:rPr>
          <w:rFonts w:hint="eastAsia" w:ascii="宋体" w:hAnsi="宋体"/>
        </w:rPr>
        <w:fldChar w:fldCharType="end"/>
      </w:r>
    </w:p>
    <w:p w14:paraId="45BF8BB1">
      <w:pPr>
        <w:pStyle w:val="23"/>
        <w:tabs>
          <w:tab w:val="right" w:leader="dot" w:pos="8296"/>
        </w:tabs>
        <w:ind w:left="960"/>
        <w:rPr>
          <w:rFonts w:ascii="宋体" w:hAnsi="宋体"/>
          <w:sz w:val="21"/>
          <w:szCs w:val="22"/>
        </w:rPr>
      </w:pPr>
      <w:r>
        <w:rPr>
          <w:rFonts w:hint="eastAsia" w:ascii="宋体" w:hAnsi="宋体"/>
          <w:bCs/>
        </w:rPr>
        <w:t>2.3 提供基础资料</w:t>
      </w:r>
      <w:r>
        <w:rPr>
          <w:rFonts w:hint="eastAsia" w:ascii="宋体" w:hAnsi="宋体"/>
        </w:rPr>
        <w:tab/>
      </w:r>
      <w:r>
        <w:rPr>
          <w:rFonts w:hint="eastAsia" w:ascii="宋体" w:hAnsi="宋体"/>
        </w:rPr>
        <w:fldChar w:fldCharType="begin"/>
      </w:r>
      <w:r>
        <w:rPr>
          <w:rFonts w:hint="eastAsia" w:ascii="宋体" w:hAnsi="宋体"/>
        </w:rPr>
        <w:instrText xml:space="preserve"> PAGEREF _Toc54862198 \h </w:instrText>
      </w:r>
      <w:r>
        <w:rPr>
          <w:rFonts w:hint="eastAsia" w:ascii="宋体" w:hAnsi="宋体"/>
        </w:rPr>
        <w:fldChar w:fldCharType="separate"/>
      </w:r>
      <w:r>
        <w:rPr>
          <w:rFonts w:ascii="宋体" w:hAnsi="宋体"/>
        </w:rPr>
        <w:t>22</w:t>
      </w:r>
      <w:r>
        <w:rPr>
          <w:rFonts w:hint="eastAsia" w:ascii="宋体" w:hAnsi="宋体"/>
        </w:rPr>
        <w:fldChar w:fldCharType="end"/>
      </w:r>
    </w:p>
    <w:p w14:paraId="60D99C7B">
      <w:pPr>
        <w:pStyle w:val="23"/>
        <w:tabs>
          <w:tab w:val="right" w:leader="dot" w:pos="8296"/>
        </w:tabs>
        <w:ind w:left="960"/>
        <w:rPr>
          <w:rFonts w:ascii="宋体" w:hAnsi="宋体"/>
          <w:sz w:val="21"/>
          <w:szCs w:val="22"/>
        </w:rPr>
      </w:pPr>
      <w:r>
        <w:rPr>
          <w:rFonts w:hint="eastAsia" w:ascii="宋体" w:hAnsi="宋体"/>
          <w:bCs/>
        </w:rPr>
        <w:t>2.4 办理许可和批准</w:t>
      </w:r>
      <w:r>
        <w:rPr>
          <w:rFonts w:hint="eastAsia" w:ascii="宋体" w:hAnsi="宋体"/>
        </w:rPr>
        <w:tab/>
      </w:r>
      <w:r>
        <w:rPr>
          <w:rFonts w:hint="eastAsia" w:ascii="宋体" w:hAnsi="宋体"/>
        </w:rPr>
        <w:fldChar w:fldCharType="begin"/>
      </w:r>
      <w:r>
        <w:rPr>
          <w:rFonts w:hint="eastAsia" w:ascii="宋体" w:hAnsi="宋体"/>
        </w:rPr>
        <w:instrText xml:space="preserve"> PAGEREF _Toc54862199 \h </w:instrText>
      </w:r>
      <w:r>
        <w:rPr>
          <w:rFonts w:hint="eastAsia" w:ascii="宋体" w:hAnsi="宋体"/>
        </w:rPr>
        <w:fldChar w:fldCharType="separate"/>
      </w:r>
      <w:r>
        <w:rPr>
          <w:rFonts w:ascii="宋体" w:hAnsi="宋体"/>
        </w:rPr>
        <w:t>22</w:t>
      </w:r>
      <w:r>
        <w:rPr>
          <w:rFonts w:hint="eastAsia" w:ascii="宋体" w:hAnsi="宋体"/>
        </w:rPr>
        <w:fldChar w:fldCharType="end"/>
      </w:r>
    </w:p>
    <w:p w14:paraId="0DA9CB18">
      <w:pPr>
        <w:pStyle w:val="23"/>
        <w:tabs>
          <w:tab w:val="right" w:leader="dot" w:pos="8296"/>
        </w:tabs>
        <w:ind w:left="960"/>
        <w:rPr>
          <w:rFonts w:ascii="宋体" w:hAnsi="宋体"/>
          <w:sz w:val="21"/>
          <w:szCs w:val="22"/>
        </w:rPr>
      </w:pPr>
      <w:r>
        <w:rPr>
          <w:rFonts w:hint="eastAsia" w:ascii="宋体" w:hAnsi="宋体"/>
          <w:bCs/>
        </w:rPr>
        <w:t>2.5 支付合同价款</w:t>
      </w:r>
      <w:r>
        <w:rPr>
          <w:rFonts w:hint="eastAsia" w:ascii="宋体" w:hAnsi="宋体"/>
        </w:rPr>
        <w:tab/>
      </w:r>
      <w:r>
        <w:rPr>
          <w:rFonts w:hint="eastAsia" w:ascii="宋体" w:hAnsi="宋体"/>
        </w:rPr>
        <w:fldChar w:fldCharType="begin"/>
      </w:r>
      <w:r>
        <w:rPr>
          <w:rFonts w:hint="eastAsia" w:ascii="宋体" w:hAnsi="宋体"/>
        </w:rPr>
        <w:instrText xml:space="preserve"> PAGEREF _Toc54862200 \h </w:instrText>
      </w:r>
      <w:r>
        <w:rPr>
          <w:rFonts w:hint="eastAsia" w:ascii="宋体" w:hAnsi="宋体"/>
        </w:rPr>
        <w:fldChar w:fldCharType="separate"/>
      </w:r>
      <w:r>
        <w:rPr>
          <w:rFonts w:ascii="宋体" w:hAnsi="宋体"/>
        </w:rPr>
        <w:t>23</w:t>
      </w:r>
      <w:r>
        <w:rPr>
          <w:rFonts w:hint="eastAsia" w:ascii="宋体" w:hAnsi="宋体"/>
        </w:rPr>
        <w:fldChar w:fldCharType="end"/>
      </w:r>
    </w:p>
    <w:p w14:paraId="158B0AB0">
      <w:pPr>
        <w:pStyle w:val="23"/>
        <w:tabs>
          <w:tab w:val="right" w:leader="dot" w:pos="8296"/>
        </w:tabs>
        <w:ind w:left="960"/>
        <w:rPr>
          <w:rFonts w:ascii="宋体" w:hAnsi="宋体"/>
          <w:sz w:val="21"/>
          <w:szCs w:val="22"/>
        </w:rPr>
      </w:pPr>
      <w:r>
        <w:rPr>
          <w:rFonts w:hint="eastAsia" w:ascii="宋体" w:hAnsi="宋体"/>
          <w:bCs/>
        </w:rPr>
        <w:t>2.6 现场管理配合</w:t>
      </w:r>
      <w:r>
        <w:rPr>
          <w:rFonts w:hint="eastAsia" w:ascii="宋体" w:hAnsi="宋体"/>
        </w:rPr>
        <w:tab/>
      </w:r>
      <w:r>
        <w:rPr>
          <w:rFonts w:hint="eastAsia" w:ascii="宋体" w:hAnsi="宋体"/>
        </w:rPr>
        <w:fldChar w:fldCharType="begin"/>
      </w:r>
      <w:r>
        <w:rPr>
          <w:rFonts w:hint="eastAsia" w:ascii="宋体" w:hAnsi="宋体"/>
        </w:rPr>
        <w:instrText xml:space="preserve"> PAGEREF _Toc54862201 \h </w:instrText>
      </w:r>
      <w:r>
        <w:rPr>
          <w:rFonts w:hint="eastAsia" w:ascii="宋体" w:hAnsi="宋体"/>
        </w:rPr>
        <w:fldChar w:fldCharType="separate"/>
      </w:r>
      <w:r>
        <w:rPr>
          <w:rFonts w:ascii="宋体" w:hAnsi="宋体"/>
        </w:rPr>
        <w:t>23</w:t>
      </w:r>
      <w:r>
        <w:rPr>
          <w:rFonts w:hint="eastAsia" w:ascii="宋体" w:hAnsi="宋体"/>
        </w:rPr>
        <w:fldChar w:fldCharType="end"/>
      </w:r>
    </w:p>
    <w:p w14:paraId="7FF74BB3">
      <w:pPr>
        <w:pStyle w:val="23"/>
        <w:tabs>
          <w:tab w:val="right" w:leader="dot" w:pos="8296"/>
        </w:tabs>
        <w:ind w:left="960"/>
        <w:rPr>
          <w:rFonts w:ascii="宋体" w:hAnsi="宋体"/>
          <w:sz w:val="21"/>
          <w:szCs w:val="22"/>
        </w:rPr>
      </w:pPr>
      <w:r>
        <w:rPr>
          <w:rFonts w:hint="eastAsia" w:ascii="宋体" w:hAnsi="宋体"/>
          <w:bCs/>
        </w:rPr>
        <w:t>2.7 其他义务</w:t>
      </w:r>
      <w:r>
        <w:rPr>
          <w:rFonts w:hint="eastAsia" w:ascii="宋体" w:hAnsi="宋体"/>
        </w:rPr>
        <w:tab/>
      </w:r>
      <w:r>
        <w:rPr>
          <w:rFonts w:hint="eastAsia" w:ascii="宋体" w:hAnsi="宋体"/>
        </w:rPr>
        <w:fldChar w:fldCharType="begin"/>
      </w:r>
      <w:r>
        <w:rPr>
          <w:rFonts w:hint="eastAsia" w:ascii="宋体" w:hAnsi="宋体"/>
        </w:rPr>
        <w:instrText xml:space="preserve"> PAGEREF _Toc54862202 \h </w:instrText>
      </w:r>
      <w:r>
        <w:rPr>
          <w:rFonts w:hint="eastAsia" w:ascii="宋体" w:hAnsi="宋体"/>
        </w:rPr>
        <w:fldChar w:fldCharType="separate"/>
      </w:r>
      <w:r>
        <w:rPr>
          <w:rFonts w:ascii="宋体" w:hAnsi="宋体"/>
        </w:rPr>
        <w:t>24</w:t>
      </w:r>
      <w:r>
        <w:rPr>
          <w:rFonts w:hint="eastAsia" w:ascii="宋体" w:hAnsi="宋体"/>
        </w:rPr>
        <w:fldChar w:fldCharType="end"/>
      </w:r>
    </w:p>
    <w:p w14:paraId="705A425E">
      <w:pPr>
        <w:pStyle w:val="37"/>
        <w:tabs>
          <w:tab w:val="right" w:leader="dot" w:pos="8296"/>
        </w:tabs>
        <w:ind w:left="480"/>
        <w:rPr>
          <w:rFonts w:ascii="宋体" w:hAnsi="宋体"/>
          <w:sz w:val="21"/>
          <w:szCs w:val="22"/>
        </w:rPr>
      </w:pPr>
      <w:r>
        <w:rPr>
          <w:rFonts w:hint="eastAsia" w:ascii="宋体" w:hAnsi="宋体"/>
          <w:bCs/>
        </w:rPr>
        <w:t>第3条 发包人的管理</w:t>
      </w:r>
      <w:r>
        <w:rPr>
          <w:rFonts w:hint="eastAsia" w:ascii="宋体" w:hAnsi="宋体"/>
        </w:rPr>
        <w:tab/>
      </w:r>
      <w:r>
        <w:rPr>
          <w:rFonts w:hint="eastAsia" w:ascii="宋体" w:hAnsi="宋体"/>
        </w:rPr>
        <w:fldChar w:fldCharType="begin"/>
      </w:r>
      <w:r>
        <w:rPr>
          <w:rFonts w:hint="eastAsia" w:ascii="宋体" w:hAnsi="宋体"/>
        </w:rPr>
        <w:instrText xml:space="preserve"> PAGEREF _Toc54862203 \h </w:instrText>
      </w:r>
      <w:r>
        <w:rPr>
          <w:rFonts w:hint="eastAsia" w:ascii="宋体" w:hAnsi="宋体"/>
        </w:rPr>
        <w:fldChar w:fldCharType="separate"/>
      </w:r>
      <w:r>
        <w:rPr>
          <w:rFonts w:ascii="宋体" w:hAnsi="宋体"/>
        </w:rPr>
        <w:t>24</w:t>
      </w:r>
      <w:r>
        <w:rPr>
          <w:rFonts w:hint="eastAsia" w:ascii="宋体" w:hAnsi="宋体"/>
        </w:rPr>
        <w:fldChar w:fldCharType="end"/>
      </w:r>
    </w:p>
    <w:p w14:paraId="3FAF1284">
      <w:pPr>
        <w:pStyle w:val="23"/>
        <w:tabs>
          <w:tab w:val="right" w:leader="dot" w:pos="8296"/>
        </w:tabs>
        <w:ind w:left="960"/>
        <w:rPr>
          <w:rFonts w:ascii="宋体" w:hAnsi="宋体"/>
          <w:sz w:val="21"/>
          <w:szCs w:val="22"/>
        </w:rPr>
      </w:pPr>
      <w:r>
        <w:rPr>
          <w:rFonts w:hint="eastAsia" w:ascii="宋体" w:hAnsi="宋体"/>
          <w:bCs/>
        </w:rPr>
        <w:t>3.1 发包人代表</w:t>
      </w:r>
      <w:r>
        <w:rPr>
          <w:rFonts w:hint="eastAsia" w:ascii="宋体" w:hAnsi="宋体"/>
        </w:rPr>
        <w:tab/>
      </w:r>
      <w:r>
        <w:rPr>
          <w:rFonts w:hint="eastAsia" w:ascii="宋体" w:hAnsi="宋体"/>
        </w:rPr>
        <w:fldChar w:fldCharType="begin"/>
      </w:r>
      <w:r>
        <w:rPr>
          <w:rFonts w:hint="eastAsia" w:ascii="宋体" w:hAnsi="宋体"/>
        </w:rPr>
        <w:instrText xml:space="preserve"> PAGEREF _Toc54862204 \h </w:instrText>
      </w:r>
      <w:r>
        <w:rPr>
          <w:rFonts w:hint="eastAsia" w:ascii="宋体" w:hAnsi="宋体"/>
        </w:rPr>
        <w:fldChar w:fldCharType="separate"/>
      </w:r>
      <w:r>
        <w:rPr>
          <w:rFonts w:ascii="宋体" w:hAnsi="宋体"/>
        </w:rPr>
        <w:t>24</w:t>
      </w:r>
      <w:r>
        <w:rPr>
          <w:rFonts w:hint="eastAsia" w:ascii="宋体" w:hAnsi="宋体"/>
        </w:rPr>
        <w:fldChar w:fldCharType="end"/>
      </w:r>
    </w:p>
    <w:p w14:paraId="284DD195">
      <w:pPr>
        <w:pStyle w:val="23"/>
        <w:tabs>
          <w:tab w:val="right" w:leader="dot" w:pos="8296"/>
        </w:tabs>
        <w:ind w:left="960"/>
        <w:rPr>
          <w:rFonts w:ascii="宋体" w:hAnsi="宋体"/>
          <w:sz w:val="21"/>
          <w:szCs w:val="22"/>
        </w:rPr>
      </w:pPr>
      <w:r>
        <w:rPr>
          <w:rFonts w:hint="eastAsia" w:ascii="宋体" w:hAnsi="宋体"/>
          <w:bCs/>
        </w:rPr>
        <w:t>3.2 发包人人员</w:t>
      </w:r>
      <w:r>
        <w:rPr>
          <w:rFonts w:hint="eastAsia" w:ascii="宋体" w:hAnsi="宋体"/>
        </w:rPr>
        <w:tab/>
      </w:r>
      <w:r>
        <w:rPr>
          <w:rFonts w:hint="eastAsia" w:ascii="宋体" w:hAnsi="宋体"/>
        </w:rPr>
        <w:fldChar w:fldCharType="begin"/>
      </w:r>
      <w:r>
        <w:rPr>
          <w:rFonts w:hint="eastAsia" w:ascii="宋体" w:hAnsi="宋体"/>
        </w:rPr>
        <w:instrText xml:space="preserve"> PAGEREF _Toc54862205 \h </w:instrText>
      </w:r>
      <w:r>
        <w:rPr>
          <w:rFonts w:hint="eastAsia" w:ascii="宋体" w:hAnsi="宋体"/>
        </w:rPr>
        <w:fldChar w:fldCharType="separate"/>
      </w:r>
      <w:r>
        <w:rPr>
          <w:rFonts w:ascii="宋体" w:hAnsi="宋体"/>
        </w:rPr>
        <w:t>25</w:t>
      </w:r>
      <w:r>
        <w:rPr>
          <w:rFonts w:hint="eastAsia" w:ascii="宋体" w:hAnsi="宋体"/>
        </w:rPr>
        <w:fldChar w:fldCharType="end"/>
      </w:r>
    </w:p>
    <w:p w14:paraId="7BE05708">
      <w:pPr>
        <w:pStyle w:val="23"/>
        <w:tabs>
          <w:tab w:val="right" w:leader="dot" w:pos="8296"/>
        </w:tabs>
        <w:ind w:left="960"/>
        <w:rPr>
          <w:rFonts w:ascii="宋体" w:hAnsi="宋体"/>
          <w:sz w:val="21"/>
          <w:szCs w:val="22"/>
        </w:rPr>
      </w:pPr>
      <w:r>
        <w:rPr>
          <w:rFonts w:hint="eastAsia" w:ascii="宋体" w:hAnsi="宋体"/>
          <w:bCs/>
        </w:rPr>
        <w:t>3.3 工程师</w:t>
      </w:r>
      <w:r>
        <w:rPr>
          <w:rFonts w:hint="eastAsia" w:ascii="宋体" w:hAnsi="宋体"/>
        </w:rPr>
        <w:tab/>
      </w:r>
      <w:r>
        <w:rPr>
          <w:rFonts w:hint="eastAsia" w:ascii="宋体" w:hAnsi="宋体"/>
        </w:rPr>
        <w:fldChar w:fldCharType="begin"/>
      </w:r>
      <w:r>
        <w:rPr>
          <w:rFonts w:hint="eastAsia" w:ascii="宋体" w:hAnsi="宋体"/>
        </w:rPr>
        <w:instrText xml:space="preserve"> PAGEREF _Toc54862206 \h </w:instrText>
      </w:r>
      <w:r>
        <w:rPr>
          <w:rFonts w:hint="eastAsia" w:ascii="宋体" w:hAnsi="宋体"/>
        </w:rPr>
        <w:fldChar w:fldCharType="separate"/>
      </w:r>
      <w:r>
        <w:rPr>
          <w:rFonts w:ascii="宋体" w:hAnsi="宋体"/>
        </w:rPr>
        <w:t>26</w:t>
      </w:r>
      <w:r>
        <w:rPr>
          <w:rFonts w:hint="eastAsia" w:ascii="宋体" w:hAnsi="宋体"/>
        </w:rPr>
        <w:fldChar w:fldCharType="end"/>
      </w:r>
    </w:p>
    <w:p w14:paraId="3FDC8F32">
      <w:pPr>
        <w:pStyle w:val="23"/>
        <w:tabs>
          <w:tab w:val="right" w:leader="dot" w:pos="8296"/>
        </w:tabs>
        <w:ind w:left="960"/>
        <w:rPr>
          <w:rFonts w:ascii="宋体" w:hAnsi="宋体"/>
          <w:sz w:val="21"/>
          <w:szCs w:val="22"/>
        </w:rPr>
      </w:pPr>
      <w:r>
        <w:rPr>
          <w:rFonts w:hint="eastAsia" w:ascii="宋体" w:hAnsi="宋体"/>
          <w:bCs/>
        </w:rPr>
        <w:t>3.4 任命和授权</w:t>
      </w:r>
      <w:r>
        <w:rPr>
          <w:rFonts w:hint="eastAsia" w:ascii="宋体" w:hAnsi="宋体"/>
        </w:rPr>
        <w:tab/>
      </w:r>
      <w:r>
        <w:rPr>
          <w:rFonts w:hint="eastAsia" w:ascii="宋体" w:hAnsi="宋体"/>
        </w:rPr>
        <w:fldChar w:fldCharType="begin"/>
      </w:r>
      <w:r>
        <w:rPr>
          <w:rFonts w:hint="eastAsia" w:ascii="宋体" w:hAnsi="宋体"/>
        </w:rPr>
        <w:instrText xml:space="preserve"> PAGEREF _Toc54862207 \h </w:instrText>
      </w:r>
      <w:r>
        <w:rPr>
          <w:rFonts w:hint="eastAsia" w:ascii="宋体" w:hAnsi="宋体"/>
        </w:rPr>
        <w:fldChar w:fldCharType="separate"/>
      </w:r>
      <w:r>
        <w:rPr>
          <w:rFonts w:ascii="宋体" w:hAnsi="宋体"/>
        </w:rPr>
        <w:t>27</w:t>
      </w:r>
      <w:r>
        <w:rPr>
          <w:rFonts w:hint="eastAsia" w:ascii="宋体" w:hAnsi="宋体"/>
        </w:rPr>
        <w:fldChar w:fldCharType="end"/>
      </w:r>
    </w:p>
    <w:p w14:paraId="6B6ABFB5">
      <w:pPr>
        <w:pStyle w:val="23"/>
        <w:tabs>
          <w:tab w:val="right" w:leader="dot" w:pos="8296"/>
        </w:tabs>
        <w:ind w:left="960"/>
        <w:rPr>
          <w:rFonts w:ascii="宋体" w:hAnsi="宋体"/>
          <w:sz w:val="21"/>
          <w:szCs w:val="22"/>
        </w:rPr>
      </w:pPr>
      <w:r>
        <w:rPr>
          <w:rFonts w:hint="eastAsia" w:ascii="宋体" w:hAnsi="宋体"/>
          <w:bCs/>
        </w:rPr>
        <w:t>3.5 指示</w:t>
      </w:r>
      <w:r>
        <w:rPr>
          <w:rFonts w:hint="eastAsia" w:ascii="宋体" w:hAnsi="宋体"/>
        </w:rPr>
        <w:tab/>
      </w:r>
      <w:r>
        <w:rPr>
          <w:rFonts w:hint="eastAsia" w:ascii="宋体" w:hAnsi="宋体"/>
        </w:rPr>
        <w:fldChar w:fldCharType="begin"/>
      </w:r>
      <w:r>
        <w:rPr>
          <w:rFonts w:hint="eastAsia" w:ascii="宋体" w:hAnsi="宋体"/>
        </w:rPr>
        <w:instrText xml:space="preserve"> PAGEREF _Toc54862208 \h </w:instrText>
      </w:r>
      <w:r>
        <w:rPr>
          <w:rFonts w:hint="eastAsia" w:ascii="宋体" w:hAnsi="宋体"/>
        </w:rPr>
        <w:fldChar w:fldCharType="separate"/>
      </w:r>
      <w:r>
        <w:rPr>
          <w:rFonts w:ascii="宋体" w:hAnsi="宋体"/>
        </w:rPr>
        <w:t>27</w:t>
      </w:r>
      <w:r>
        <w:rPr>
          <w:rFonts w:hint="eastAsia" w:ascii="宋体" w:hAnsi="宋体"/>
        </w:rPr>
        <w:fldChar w:fldCharType="end"/>
      </w:r>
    </w:p>
    <w:p w14:paraId="418AFE6E">
      <w:pPr>
        <w:pStyle w:val="23"/>
        <w:tabs>
          <w:tab w:val="right" w:leader="dot" w:pos="8296"/>
        </w:tabs>
        <w:ind w:left="960"/>
        <w:rPr>
          <w:rFonts w:ascii="宋体" w:hAnsi="宋体"/>
          <w:sz w:val="21"/>
          <w:szCs w:val="22"/>
        </w:rPr>
      </w:pPr>
      <w:r>
        <w:rPr>
          <w:rFonts w:hint="eastAsia" w:ascii="宋体" w:hAnsi="宋体"/>
          <w:bCs/>
        </w:rPr>
        <w:t>3.6 商定或确定</w:t>
      </w:r>
      <w:r>
        <w:rPr>
          <w:rFonts w:hint="eastAsia" w:ascii="宋体" w:hAnsi="宋体"/>
        </w:rPr>
        <w:tab/>
      </w:r>
      <w:r>
        <w:rPr>
          <w:rFonts w:hint="eastAsia" w:ascii="宋体" w:hAnsi="宋体"/>
        </w:rPr>
        <w:fldChar w:fldCharType="begin"/>
      </w:r>
      <w:r>
        <w:rPr>
          <w:rFonts w:hint="eastAsia" w:ascii="宋体" w:hAnsi="宋体"/>
        </w:rPr>
        <w:instrText xml:space="preserve"> PAGEREF _Toc54862209 \h </w:instrText>
      </w:r>
      <w:r>
        <w:rPr>
          <w:rFonts w:hint="eastAsia" w:ascii="宋体" w:hAnsi="宋体"/>
        </w:rPr>
        <w:fldChar w:fldCharType="separate"/>
      </w:r>
      <w:r>
        <w:rPr>
          <w:rFonts w:ascii="宋体" w:hAnsi="宋体"/>
        </w:rPr>
        <w:t>28</w:t>
      </w:r>
      <w:r>
        <w:rPr>
          <w:rFonts w:hint="eastAsia" w:ascii="宋体" w:hAnsi="宋体"/>
        </w:rPr>
        <w:fldChar w:fldCharType="end"/>
      </w:r>
    </w:p>
    <w:p w14:paraId="37431C08">
      <w:pPr>
        <w:pStyle w:val="23"/>
        <w:tabs>
          <w:tab w:val="right" w:leader="dot" w:pos="8296"/>
        </w:tabs>
        <w:ind w:left="960"/>
        <w:rPr>
          <w:rFonts w:ascii="宋体" w:hAnsi="宋体"/>
          <w:sz w:val="21"/>
          <w:szCs w:val="22"/>
        </w:rPr>
      </w:pPr>
      <w:r>
        <w:rPr>
          <w:rFonts w:hint="eastAsia" w:ascii="宋体" w:hAnsi="宋体"/>
          <w:bCs/>
        </w:rPr>
        <w:t>3.7 会议</w:t>
      </w:r>
      <w:r>
        <w:rPr>
          <w:rFonts w:hint="eastAsia" w:ascii="宋体" w:hAnsi="宋体"/>
        </w:rPr>
        <w:tab/>
      </w:r>
      <w:r>
        <w:rPr>
          <w:rFonts w:hint="eastAsia" w:ascii="宋体" w:hAnsi="宋体"/>
        </w:rPr>
        <w:fldChar w:fldCharType="begin"/>
      </w:r>
      <w:r>
        <w:rPr>
          <w:rFonts w:hint="eastAsia" w:ascii="宋体" w:hAnsi="宋体"/>
        </w:rPr>
        <w:instrText xml:space="preserve"> PAGEREF _Toc54862210 \h </w:instrText>
      </w:r>
      <w:r>
        <w:rPr>
          <w:rFonts w:hint="eastAsia" w:ascii="宋体" w:hAnsi="宋体"/>
        </w:rPr>
        <w:fldChar w:fldCharType="separate"/>
      </w:r>
      <w:r>
        <w:rPr>
          <w:rFonts w:ascii="宋体" w:hAnsi="宋体"/>
        </w:rPr>
        <w:t>29</w:t>
      </w:r>
      <w:r>
        <w:rPr>
          <w:rFonts w:hint="eastAsia" w:ascii="宋体" w:hAnsi="宋体"/>
        </w:rPr>
        <w:fldChar w:fldCharType="end"/>
      </w:r>
    </w:p>
    <w:p w14:paraId="69FAEA02">
      <w:pPr>
        <w:pStyle w:val="37"/>
        <w:tabs>
          <w:tab w:val="right" w:leader="dot" w:pos="8296"/>
        </w:tabs>
        <w:ind w:left="480"/>
        <w:rPr>
          <w:rFonts w:ascii="宋体" w:hAnsi="宋体"/>
          <w:sz w:val="21"/>
          <w:szCs w:val="22"/>
        </w:rPr>
      </w:pPr>
      <w:r>
        <w:rPr>
          <w:rFonts w:hint="eastAsia" w:ascii="宋体" w:hAnsi="宋体"/>
          <w:bCs/>
        </w:rPr>
        <w:t>第4条 承包人</w:t>
      </w:r>
      <w:r>
        <w:rPr>
          <w:rFonts w:hint="eastAsia" w:ascii="宋体" w:hAnsi="宋体"/>
        </w:rPr>
        <w:tab/>
      </w:r>
      <w:r>
        <w:rPr>
          <w:rFonts w:hint="eastAsia" w:ascii="宋体" w:hAnsi="宋体"/>
        </w:rPr>
        <w:fldChar w:fldCharType="begin"/>
      </w:r>
      <w:r>
        <w:rPr>
          <w:rFonts w:hint="eastAsia" w:ascii="宋体" w:hAnsi="宋体"/>
        </w:rPr>
        <w:instrText xml:space="preserve"> PAGEREF _Toc54862211 \h </w:instrText>
      </w:r>
      <w:r>
        <w:rPr>
          <w:rFonts w:hint="eastAsia" w:ascii="宋体" w:hAnsi="宋体"/>
        </w:rPr>
        <w:fldChar w:fldCharType="separate"/>
      </w:r>
      <w:r>
        <w:rPr>
          <w:rFonts w:ascii="宋体" w:hAnsi="宋体"/>
        </w:rPr>
        <w:t>29</w:t>
      </w:r>
      <w:r>
        <w:rPr>
          <w:rFonts w:hint="eastAsia" w:ascii="宋体" w:hAnsi="宋体"/>
        </w:rPr>
        <w:fldChar w:fldCharType="end"/>
      </w:r>
    </w:p>
    <w:p w14:paraId="6D3CF6D8">
      <w:pPr>
        <w:pStyle w:val="23"/>
        <w:tabs>
          <w:tab w:val="right" w:leader="dot" w:pos="8296"/>
        </w:tabs>
        <w:ind w:left="960"/>
        <w:rPr>
          <w:rFonts w:ascii="宋体" w:hAnsi="宋体"/>
          <w:sz w:val="21"/>
          <w:szCs w:val="22"/>
        </w:rPr>
      </w:pPr>
      <w:r>
        <w:rPr>
          <w:rFonts w:hint="eastAsia" w:ascii="宋体" w:hAnsi="宋体"/>
          <w:bCs/>
        </w:rPr>
        <w:t>4.1 承包人的一般义务</w:t>
      </w:r>
      <w:r>
        <w:rPr>
          <w:rFonts w:hint="eastAsia" w:ascii="宋体" w:hAnsi="宋体"/>
        </w:rPr>
        <w:tab/>
      </w:r>
      <w:r>
        <w:rPr>
          <w:rFonts w:hint="eastAsia" w:ascii="宋体" w:hAnsi="宋体"/>
        </w:rPr>
        <w:fldChar w:fldCharType="begin"/>
      </w:r>
      <w:r>
        <w:rPr>
          <w:rFonts w:hint="eastAsia" w:ascii="宋体" w:hAnsi="宋体"/>
        </w:rPr>
        <w:instrText xml:space="preserve"> PAGEREF _Toc54862212 \h </w:instrText>
      </w:r>
      <w:r>
        <w:rPr>
          <w:rFonts w:hint="eastAsia" w:ascii="宋体" w:hAnsi="宋体"/>
        </w:rPr>
        <w:fldChar w:fldCharType="separate"/>
      </w:r>
      <w:r>
        <w:rPr>
          <w:rFonts w:ascii="宋体" w:hAnsi="宋体"/>
        </w:rPr>
        <w:t>29</w:t>
      </w:r>
      <w:r>
        <w:rPr>
          <w:rFonts w:hint="eastAsia" w:ascii="宋体" w:hAnsi="宋体"/>
        </w:rPr>
        <w:fldChar w:fldCharType="end"/>
      </w:r>
    </w:p>
    <w:p w14:paraId="5434975B">
      <w:pPr>
        <w:pStyle w:val="23"/>
        <w:tabs>
          <w:tab w:val="right" w:leader="dot" w:pos="8296"/>
        </w:tabs>
        <w:ind w:left="960"/>
        <w:rPr>
          <w:rFonts w:ascii="宋体" w:hAnsi="宋体"/>
          <w:sz w:val="21"/>
          <w:szCs w:val="22"/>
        </w:rPr>
      </w:pPr>
      <w:r>
        <w:rPr>
          <w:rFonts w:hint="eastAsia" w:ascii="宋体" w:hAnsi="宋体"/>
          <w:bCs/>
        </w:rPr>
        <w:t>4.2 履约担保</w:t>
      </w:r>
      <w:r>
        <w:rPr>
          <w:rFonts w:hint="eastAsia" w:ascii="宋体" w:hAnsi="宋体"/>
        </w:rPr>
        <w:tab/>
      </w:r>
      <w:r>
        <w:rPr>
          <w:rFonts w:hint="eastAsia" w:ascii="宋体" w:hAnsi="宋体"/>
        </w:rPr>
        <w:fldChar w:fldCharType="begin"/>
      </w:r>
      <w:r>
        <w:rPr>
          <w:rFonts w:hint="eastAsia" w:ascii="宋体" w:hAnsi="宋体"/>
        </w:rPr>
        <w:instrText xml:space="preserve"> PAGEREF _Toc54862213 \h </w:instrText>
      </w:r>
      <w:r>
        <w:rPr>
          <w:rFonts w:hint="eastAsia" w:ascii="宋体" w:hAnsi="宋体"/>
        </w:rPr>
        <w:fldChar w:fldCharType="separate"/>
      </w:r>
      <w:r>
        <w:rPr>
          <w:rFonts w:ascii="宋体" w:hAnsi="宋体"/>
        </w:rPr>
        <w:t>31</w:t>
      </w:r>
      <w:r>
        <w:rPr>
          <w:rFonts w:hint="eastAsia" w:ascii="宋体" w:hAnsi="宋体"/>
        </w:rPr>
        <w:fldChar w:fldCharType="end"/>
      </w:r>
    </w:p>
    <w:p w14:paraId="1931C436">
      <w:pPr>
        <w:pStyle w:val="23"/>
        <w:tabs>
          <w:tab w:val="right" w:leader="dot" w:pos="8296"/>
        </w:tabs>
        <w:ind w:left="960"/>
        <w:rPr>
          <w:rFonts w:ascii="宋体" w:hAnsi="宋体"/>
          <w:sz w:val="21"/>
          <w:szCs w:val="22"/>
        </w:rPr>
      </w:pPr>
      <w:r>
        <w:rPr>
          <w:rFonts w:hint="eastAsia" w:ascii="宋体" w:hAnsi="宋体"/>
          <w:bCs/>
        </w:rPr>
        <w:t>4.3 工程总承包项目经理</w:t>
      </w:r>
      <w:r>
        <w:rPr>
          <w:rFonts w:hint="eastAsia" w:ascii="宋体" w:hAnsi="宋体"/>
        </w:rPr>
        <w:tab/>
      </w:r>
      <w:r>
        <w:rPr>
          <w:rFonts w:hint="eastAsia" w:ascii="宋体" w:hAnsi="宋体"/>
        </w:rPr>
        <w:fldChar w:fldCharType="begin"/>
      </w:r>
      <w:r>
        <w:rPr>
          <w:rFonts w:hint="eastAsia" w:ascii="宋体" w:hAnsi="宋体"/>
        </w:rPr>
        <w:instrText xml:space="preserve"> PAGEREF _Toc54862214 \h </w:instrText>
      </w:r>
      <w:r>
        <w:rPr>
          <w:rFonts w:hint="eastAsia" w:ascii="宋体" w:hAnsi="宋体"/>
        </w:rPr>
        <w:fldChar w:fldCharType="separate"/>
      </w:r>
      <w:r>
        <w:rPr>
          <w:rFonts w:ascii="宋体" w:hAnsi="宋体"/>
        </w:rPr>
        <w:t>31</w:t>
      </w:r>
      <w:r>
        <w:rPr>
          <w:rFonts w:hint="eastAsia" w:ascii="宋体" w:hAnsi="宋体"/>
        </w:rPr>
        <w:fldChar w:fldCharType="end"/>
      </w:r>
    </w:p>
    <w:p w14:paraId="042AF614">
      <w:pPr>
        <w:pStyle w:val="23"/>
        <w:tabs>
          <w:tab w:val="right" w:leader="dot" w:pos="8296"/>
        </w:tabs>
        <w:ind w:left="960"/>
        <w:rPr>
          <w:rFonts w:ascii="宋体" w:hAnsi="宋体"/>
          <w:sz w:val="21"/>
          <w:szCs w:val="22"/>
        </w:rPr>
      </w:pPr>
      <w:r>
        <w:rPr>
          <w:rFonts w:hint="eastAsia" w:ascii="宋体" w:hAnsi="宋体"/>
          <w:bCs/>
        </w:rPr>
        <w:t>4.4 承包人人员</w:t>
      </w:r>
      <w:r>
        <w:rPr>
          <w:rFonts w:hint="eastAsia" w:ascii="宋体" w:hAnsi="宋体"/>
        </w:rPr>
        <w:tab/>
      </w:r>
      <w:r>
        <w:rPr>
          <w:rFonts w:hint="eastAsia" w:ascii="宋体" w:hAnsi="宋体"/>
        </w:rPr>
        <w:fldChar w:fldCharType="begin"/>
      </w:r>
      <w:r>
        <w:rPr>
          <w:rFonts w:hint="eastAsia" w:ascii="宋体" w:hAnsi="宋体"/>
        </w:rPr>
        <w:instrText xml:space="preserve"> PAGEREF _Toc54862215 \h </w:instrText>
      </w:r>
      <w:r>
        <w:rPr>
          <w:rFonts w:hint="eastAsia" w:ascii="宋体" w:hAnsi="宋体"/>
        </w:rPr>
        <w:fldChar w:fldCharType="separate"/>
      </w:r>
      <w:r>
        <w:rPr>
          <w:rFonts w:ascii="宋体" w:hAnsi="宋体"/>
        </w:rPr>
        <w:t>34</w:t>
      </w:r>
      <w:r>
        <w:rPr>
          <w:rFonts w:hint="eastAsia" w:ascii="宋体" w:hAnsi="宋体"/>
        </w:rPr>
        <w:fldChar w:fldCharType="end"/>
      </w:r>
    </w:p>
    <w:p w14:paraId="1FA9A875">
      <w:pPr>
        <w:pStyle w:val="23"/>
        <w:tabs>
          <w:tab w:val="right" w:leader="dot" w:pos="8296"/>
        </w:tabs>
        <w:ind w:left="960"/>
        <w:rPr>
          <w:rFonts w:ascii="宋体" w:hAnsi="宋体"/>
          <w:sz w:val="21"/>
          <w:szCs w:val="22"/>
        </w:rPr>
      </w:pPr>
      <w:r>
        <w:rPr>
          <w:rFonts w:hint="eastAsia" w:ascii="宋体" w:hAnsi="宋体"/>
          <w:bCs/>
        </w:rPr>
        <w:t>4.5 分包</w:t>
      </w:r>
      <w:r>
        <w:rPr>
          <w:rFonts w:hint="eastAsia" w:ascii="宋体" w:hAnsi="宋体"/>
        </w:rPr>
        <w:tab/>
      </w:r>
      <w:r>
        <w:rPr>
          <w:rFonts w:hint="eastAsia" w:ascii="宋体" w:hAnsi="宋体"/>
        </w:rPr>
        <w:fldChar w:fldCharType="begin"/>
      </w:r>
      <w:r>
        <w:rPr>
          <w:rFonts w:hint="eastAsia" w:ascii="宋体" w:hAnsi="宋体"/>
        </w:rPr>
        <w:instrText xml:space="preserve"> PAGEREF _Toc54862216 \h </w:instrText>
      </w:r>
      <w:r>
        <w:rPr>
          <w:rFonts w:hint="eastAsia" w:ascii="宋体" w:hAnsi="宋体"/>
        </w:rPr>
        <w:fldChar w:fldCharType="separate"/>
      </w:r>
      <w:r>
        <w:rPr>
          <w:rFonts w:ascii="宋体" w:hAnsi="宋体"/>
        </w:rPr>
        <w:t>35</w:t>
      </w:r>
      <w:r>
        <w:rPr>
          <w:rFonts w:hint="eastAsia" w:ascii="宋体" w:hAnsi="宋体"/>
        </w:rPr>
        <w:fldChar w:fldCharType="end"/>
      </w:r>
    </w:p>
    <w:p w14:paraId="78166027">
      <w:pPr>
        <w:pStyle w:val="23"/>
        <w:tabs>
          <w:tab w:val="right" w:leader="dot" w:pos="8296"/>
        </w:tabs>
        <w:ind w:left="960"/>
        <w:rPr>
          <w:rFonts w:ascii="宋体" w:hAnsi="宋体"/>
          <w:sz w:val="21"/>
          <w:szCs w:val="22"/>
        </w:rPr>
      </w:pPr>
      <w:r>
        <w:rPr>
          <w:rFonts w:hint="eastAsia" w:ascii="宋体" w:hAnsi="宋体"/>
          <w:bCs/>
        </w:rPr>
        <w:t>4.6 联合体</w:t>
      </w:r>
      <w:r>
        <w:rPr>
          <w:rFonts w:hint="eastAsia" w:ascii="宋体" w:hAnsi="宋体"/>
        </w:rPr>
        <w:tab/>
      </w:r>
      <w:r>
        <w:rPr>
          <w:rFonts w:hint="eastAsia" w:ascii="宋体" w:hAnsi="宋体"/>
        </w:rPr>
        <w:fldChar w:fldCharType="begin"/>
      </w:r>
      <w:r>
        <w:rPr>
          <w:rFonts w:hint="eastAsia" w:ascii="宋体" w:hAnsi="宋体"/>
        </w:rPr>
        <w:instrText xml:space="preserve"> PAGEREF _Toc54862217 \h </w:instrText>
      </w:r>
      <w:r>
        <w:rPr>
          <w:rFonts w:hint="eastAsia" w:ascii="宋体" w:hAnsi="宋体"/>
        </w:rPr>
        <w:fldChar w:fldCharType="separate"/>
      </w:r>
      <w:r>
        <w:rPr>
          <w:rFonts w:ascii="宋体" w:hAnsi="宋体"/>
        </w:rPr>
        <w:t>37</w:t>
      </w:r>
      <w:r>
        <w:rPr>
          <w:rFonts w:hint="eastAsia" w:ascii="宋体" w:hAnsi="宋体"/>
        </w:rPr>
        <w:fldChar w:fldCharType="end"/>
      </w:r>
    </w:p>
    <w:p w14:paraId="5FDE42A0">
      <w:pPr>
        <w:pStyle w:val="23"/>
        <w:tabs>
          <w:tab w:val="right" w:leader="dot" w:pos="8296"/>
        </w:tabs>
        <w:ind w:left="960"/>
        <w:rPr>
          <w:rFonts w:ascii="宋体" w:hAnsi="宋体"/>
          <w:sz w:val="21"/>
          <w:szCs w:val="22"/>
        </w:rPr>
      </w:pPr>
      <w:r>
        <w:rPr>
          <w:rFonts w:hint="eastAsia" w:ascii="宋体" w:hAnsi="宋体"/>
          <w:bCs/>
        </w:rPr>
        <w:t>4.7 承包人现场查勘</w:t>
      </w:r>
      <w:r>
        <w:rPr>
          <w:rFonts w:hint="eastAsia" w:ascii="宋体" w:hAnsi="宋体"/>
        </w:rPr>
        <w:tab/>
      </w:r>
      <w:r>
        <w:rPr>
          <w:rFonts w:hint="eastAsia" w:ascii="宋体" w:hAnsi="宋体"/>
        </w:rPr>
        <w:fldChar w:fldCharType="begin"/>
      </w:r>
      <w:r>
        <w:rPr>
          <w:rFonts w:hint="eastAsia" w:ascii="宋体" w:hAnsi="宋体"/>
        </w:rPr>
        <w:instrText xml:space="preserve"> PAGEREF _Toc54862218 \h </w:instrText>
      </w:r>
      <w:r>
        <w:rPr>
          <w:rFonts w:hint="eastAsia" w:ascii="宋体" w:hAnsi="宋体"/>
        </w:rPr>
        <w:fldChar w:fldCharType="separate"/>
      </w:r>
      <w:r>
        <w:rPr>
          <w:rFonts w:ascii="宋体" w:hAnsi="宋体"/>
        </w:rPr>
        <w:t>37</w:t>
      </w:r>
      <w:r>
        <w:rPr>
          <w:rFonts w:hint="eastAsia" w:ascii="宋体" w:hAnsi="宋体"/>
        </w:rPr>
        <w:fldChar w:fldCharType="end"/>
      </w:r>
    </w:p>
    <w:p w14:paraId="20E4D5D4">
      <w:pPr>
        <w:pStyle w:val="23"/>
        <w:tabs>
          <w:tab w:val="right" w:leader="dot" w:pos="8296"/>
        </w:tabs>
        <w:ind w:left="960"/>
        <w:rPr>
          <w:rFonts w:ascii="宋体" w:hAnsi="宋体"/>
          <w:sz w:val="21"/>
          <w:szCs w:val="22"/>
        </w:rPr>
      </w:pPr>
      <w:r>
        <w:rPr>
          <w:rFonts w:hint="eastAsia" w:ascii="宋体" w:hAnsi="宋体"/>
          <w:bCs/>
        </w:rPr>
        <w:t>4.8 不可预见的困难</w:t>
      </w:r>
      <w:r>
        <w:rPr>
          <w:rFonts w:hint="eastAsia" w:ascii="宋体" w:hAnsi="宋体"/>
        </w:rPr>
        <w:tab/>
      </w:r>
      <w:r>
        <w:rPr>
          <w:rFonts w:hint="eastAsia" w:ascii="宋体" w:hAnsi="宋体"/>
        </w:rPr>
        <w:fldChar w:fldCharType="begin"/>
      </w:r>
      <w:r>
        <w:rPr>
          <w:rFonts w:hint="eastAsia" w:ascii="宋体" w:hAnsi="宋体"/>
        </w:rPr>
        <w:instrText xml:space="preserve"> PAGEREF _Toc54862219 \h </w:instrText>
      </w:r>
      <w:r>
        <w:rPr>
          <w:rFonts w:hint="eastAsia" w:ascii="宋体" w:hAnsi="宋体"/>
        </w:rPr>
        <w:fldChar w:fldCharType="separate"/>
      </w:r>
      <w:r>
        <w:rPr>
          <w:rFonts w:ascii="宋体" w:hAnsi="宋体"/>
        </w:rPr>
        <w:t>38</w:t>
      </w:r>
      <w:r>
        <w:rPr>
          <w:rFonts w:hint="eastAsia" w:ascii="宋体" w:hAnsi="宋体"/>
        </w:rPr>
        <w:fldChar w:fldCharType="end"/>
      </w:r>
    </w:p>
    <w:p w14:paraId="6F98436D">
      <w:pPr>
        <w:pStyle w:val="23"/>
        <w:tabs>
          <w:tab w:val="right" w:leader="dot" w:pos="8296"/>
        </w:tabs>
        <w:ind w:left="960"/>
        <w:rPr>
          <w:rFonts w:ascii="宋体" w:hAnsi="宋体"/>
          <w:sz w:val="21"/>
          <w:szCs w:val="22"/>
        </w:rPr>
      </w:pPr>
      <w:r>
        <w:rPr>
          <w:rFonts w:hint="eastAsia" w:ascii="宋体" w:hAnsi="宋体"/>
          <w:bCs/>
        </w:rPr>
        <w:t>4.9 工程质量管理</w:t>
      </w:r>
      <w:r>
        <w:rPr>
          <w:rFonts w:hint="eastAsia" w:ascii="宋体" w:hAnsi="宋体"/>
        </w:rPr>
        <w:tab/>
      </w:r>
      <w:r>
        <w:rPr>
          <w:rFonts w:hint="eastAsia" w:ascii="宋体" w:hAnsi="宋体"/>
        </w:rPr>
        <w:fldChar w:fldCharType="begin"/>
      </w:r>
      <w:r>
        <w:rPr>
          <w:rFonts w:hint="eastAsia" w:ascii="宋体" w:hAnsi="宋体"/>
        </w:rPr>
        <w:instrText xml:space="preserve"> PAGEREF _Toc54862220 \h </w:instrText>
      </w:r>
      <w:r>
        <w:rPr>
          <w:rFonts w:hint="eastAsia" w:ascii="宋体" w:hAnsi="宋体"/>
        </w:rPr>
        <w:fldChar w:fldCharType="separate"/>
      </w:r>
      <w:r>
        <w:rPr>
          <w:rFonts w:ascii="宋体" w:hAnsi="宋体"/>
        </w:rPr>
        <w:t>38</w:t>
      </w:r>
      <w:r>
        <w:rPr>
          <w:rFonts w:hint="eastAsia" w:ascii="宋体" w:hAnsi="宋体"/>
        </w:rPr>
        <w:fldChar w:fldCharType="end"/>
      </w:r>
    </w:p>
    <w:p w14:paraId="7155EC6F">
      <w:pPr>
        <w:pStyle w:val="37"/>
        <w:tabs>
          <w:tab w:val="right" w:leader="dot" w:pos="8296"/>
        </w:tabs>
        <w:ind w:left="480"/>
        <w:rPr>
          <w:rFonts w:ascii="宋体" w:hAnsi="宋体"/>
          <w:sz w:val="21"/>
          <w:szCs w:val="22"/>
        </w:rPr>
      </w:pPr>
      <w:r>
        <w:rPr>
          <w:rFonts w:hint="eastAsia" w:ascii="宋体" w:hAnsi="宋体"/>
          <w:bCs/>
        </w:rPr>
        <w:t>第5条 设计</w:t>
      </w:r>
      <w:r>
        <w:rPr>
          <w:rFonts w:hint="eastAsia" w:ascii="宋体" w:hAnsi="宋体"/>
        </w:rPr>
        <w:tab/>
      </w:r>
      <w:r>
        <w:rPr>
          <w:rFonts w:hint="eastAsia" w:ascii="宋体" w:hAnsi="宋体"/>
        </w:rPr>
        <w:fldChar w:fldCharType="begin"/>
      </w:r>
      <w:r>
        <w:rPr>
          <w:rFonts w:hint="eastAsia" w:ascii="宋体" w:hAnsi="宋体"/>
        </w:rPr>
        <w:instrText xml:space="preserve"> PAGEREF _Toc54862221 \h </w:instrText>
      </w:r>
      <w:r>
        <w:rPr>
          <w:rFonts w:hint="eastAsia" w:ascii="宋体" w:hAnsi="宋体"/>
        </w:rPr>
        <w:fldChar w:fldCharType="separate"/>
      </w:r>
      <w:r>
        <w:rPr>
          <w:rFonts w:ascii="宋体" w:hAnsi="宋体"/>
        </w:rPr>
        <w:t>39</w:t>
      </w:r>
      <w:r>
        <w:rPr>
          <w:rFonts w:hint="eastAsia" w:ascii="宋体" w:hAnsi="宋体"/>
        </w:rPr>
        <w:fldChar w:fldCharType="end"/>
      </w:r>
    </w:p>
    <w:p w14:paraId="4AA9135E">
      <w:pPr>
        <w:pStyle w:val="23"/>
        <w:tabs>
          <w:tab w:val="right" w:leader="dot" w:pos="8296"/>
        </w:tabs>
        <w:ind w:left="960"/>
        <w:rPr>
          <w:rFonts w:ascii="宋体" w:hAnsi="宋体"/>
          <w:sz w:val="21"/>
          <w:szCs w:val="22"/>
        </w:rPr>
      </w:pPr>
      <w:r>
        <w:rPr>
          <w:rFonts w:hint="eastAsia" w:ascii="宋体" w:hAnsi="宋体"/>
          <w:bCs/>
        </w:rPr>
        <w:t>5.1 承包人的设计义务</w:t>
      </w:r>
      <w:r>
        <w:rPr>
          <w:rFonts w:hint="eastAsia" w:ascii="宋体" w:hAnsi="宋体"/>
        </w:rPr>
        <w:tab/>
      </w:r>
      <w:r>
        <w:rPr>
          <w:rFonts w:hint="eastAsia" w:ascii="宋体" w:hAnsi="宋体"/>
        </w:rPr>
        <w:fldChar w:fldCharType="begin"/>
      </w:r>
      <w:r>
        <w:rPr>
          <w:rFonts w:hint="eastAsia" w:ascii="宋体" w:hAnsi="宋体"/>
        </w:rPr>
        <w:instrText xml:space="preserve"> PAGEREF _Toc54862222 \h </w:instrText>
      </w:r>
      <w:r>
        <w:rPr>
          <w:rFonts w:hint="eastAsia" w:ascii="宋体" w:hAnsi="宋体"/>
        </w:rPr>
        <w:fldChar w:fldCharType="separate"/>
      </w:r>
      <w:r>
        <w:rPr>
          <w:rFonts w:ascii="宋体" w:hAnsi="宋体"/>
        </w:rPr>
        <w:t>39</w:t>
      </w:r>
      <w:r>
        <w:rPr>
          <w:rFonts w:hint="eastAsia" w:ascii="宋体" w:hAnsi="宋体"/>
        </w:rPr>
        <w:fldChar w:fldCharType="end"/>
      </w:r>
    </w:p>
    <w:p w14:paraId="45877037">
      <w:pPr>
        <w:pStyle w:val="23"/>
        <w:tabs>
          <w:tab w:val="right" w:leader="dot" w:pos="8296"/>
        </w:tabs>
        <w:ind w:left="960"/>
        <w:rPr>
          <w:rFonts w:ascii="宋体" w:hAnsi="宋体"/>
          <w:sz w:val="21"/>
          <w:szCs w:val="22"/>
        </w:rPr>
      </w:pPr>
      <w:r>
        <w:rPr>
          <w:rFonts w:hint="eastAsia" w:ascii="宋体" w:hAnsi="宋体"/>
          <w:bCs/>
        </w:rPr>
        <w:t>5.2 承包人文件审查</w:t>
      </w:r>
      <w:r>
        <w:rPr>
          <w:rFonts w:hint="eastAsia" w:ascii="宋体" w:hAnsi="宋体"/>
        </w:rPr>
        <w:tab/>
      </w:r>
      <w:r>
        <w:rPr>
          <w:rFonts w:hint="eastAsia" w:ascii="宋体" w:hAnsi="宋体"/>
        </w:rPr>
        <w:fldChar w:fldCharType="begin"/>
      </w:r>
      <w:r>
        <w:rPr>
          <w:rFonts w:hint="eastAsia" w:ascii="宋体" w:hAnsi="宋体"/>
        </w:rPr>
        <w:instrText xml:space="preserve"> PAGEREF _Toc54862223 \h </w:instrText>
      </w:r>
      <w:r>
        <w:rPr>
          <w:rFonts w:hint="eastAsia" w:ascii="宋体" w:hAnsi="宋体"/>
        </w:rPr>
        <w:fldChar w:fldCharType="separate"/>
      </w:r>
      <w:r>
        <w:rPr>
          <w:rFonts w:ascii="宋体" w:hAnsi="宋体"/>
        </w:rPr>
        <w:t>40</w:t>
      </w:r>
      <w:r>
        <w:rPr>
          <w:rFonts w:hint="eastAsia" w:ascii="宋体" w:hAnsi="宋体"/>
        </w:rPr>
        <w:fldChar w:fldCharType="end"/>
      </w:r>
    </w:p>
    <w:p w14:paraId="3CC300AB">
      <w:pPr>
        <w:pStyle w:val="23"/>
        <w:tabs>
          <w:tab w:val="right" w:leader="dot" w:pos="8296"/>
        </w:tabs>
        <w:ind w:left="960"/>
        <w:rPr>
          <w:rFonts w:ascii="宋体" w:hAnsi="宋体"/>
          <w:sz w:val="21"/>
          <w:szCs w:val="22"/>
        </w:rPr>
      </w:pPr>
      <w:r>
        <w:rPr>
          <w:rFonts w:hint="eastAsia" w:ascii="宋体" w:hAnsi="宋体"/>
          <w:bCs/>
        </w:rPr>
        <w:t>5.3 培训</w:t>
      </w:r>
      <w:r>
        <w:rPr>
          <w:rFonts w:hint="eastAsia" w:ascii="宋体" w:hAnsi="宋体"/>
        </w:rPr>
        <w:tab/>
      </w:r>
      <w:r>
        <w:rPr>
          <w:rFonts w:hint="eastAsia" w:ascii="宋体" w:hAnsi="宋体"/>
        </w:rPr>
        <w:fldChar w:fldCharType="begin"/>
      </w:r>
      <w:r>
        <w:rPr>
          <w:rFonts w:hint="eastAsia" w:ascii="宋体" w:hAnsi="宋体"/>
        </w:rPr>
        <w:instrText xml:space="preserve"> PAGEREF _Toc54862224 \h </w:instrText>
      </w:r>
      <w:r>
        <w:rPr>
          <w:rFonts w:hint="eastAsia" w:ascii="宋体" w:hAnsi="宋体"/>
        </w:rPr>
        <w:fldChar w:fldCharType="separate"/>
      </w:r>
      <w:r>
        <w:rPr>
          <w:rFonts w:ascii="宋体" w:hAnsi="宋体"/>
        </w:rPr>
        <w:t>42</w:t>
      </w:r>
      <w:r>
        <w:rPr>
          <w:rFonts w:hint="eastAsia" w:ascii="宋体" w:hAnsi="宋体"/>
        </w:rPr>
        <w:fldChar w:fldCharType="end"/>
      </w:r>
    </w:p>
    <w:p w14:paraId="151DA25B">
      <w:pPr>
        <w:pStyle w:val="23"/>
        <w:tabs>
          <w:tab w:val="right" w:leader="dot" w:pos="8296"/>
        </w:tabs>
        <w:ind w:left="960"/>
        <w:rPr>
          <w:rFonts w:ascii="宋体" w:hAnsi="宋体"/>
          <w:sz w:val="21"/>
          <w:szCs w:val="22"/>
        </w:rPr>
      </w:pPr>
      <w:r>
        <w:rPr>
          <w:rFonts w:hint="eastAsia" w:ascii="宋体" w:hAnsi="宋体"/>
          <w:bCs/>
        </w:rPr>
        <w:t>5.4 竣工文件</w:t>
      </w:r>
      <w:r>
        <w:rPr>
          <w:rFonts w:hint="eastAsia" w:ascii="宋体" w:hAnsi="宋体"/>
        </w:rPr>
        <w:tab/>
      </w:r>
      <w:r>
        <w:rPr>
          <w:rFonts w:hint="eastAsia" w:ascii="宋体" w:hAnsi="宋体"/>
        </w:rPr>
        <w:fldChar w:fldCharType="begin"/>
      </w:r>
      <w:r>
        <w:rPr>
          <w:rFonts w:hint="eastAsia" w:ascii="宋体" w:hAnsi="宋体"/>
        </w:rPr>
        <w:instrText xml:space="preserve"> PAGEREF _Toc54862225 \h </w:instrText>
      </w:r>
      <w:r>
        <w:rPr>
          <w:rFonts w:hint="eastAsia" w:ascii="宋体" w:hAnsi="宋体"/>
        </w:rPr>
        <w:fldChar w:fldCharType="separate"/>
      </w:r>
      <w:r>
        <w:rPr>
          <w:rFonts w:ascii="宋体" w:hAnsi="宋体"/>
        </w:rPr>
        <w:t>43</w:t>
      </w:r>
      <w:r>
        <w:rPr>
          <w:rFonts w:hint="eastAsia" w:ascii="宋体" w:hAnsi="宋体"/>
        </w:rPr>
        <w:fldChar w:fldCharType="end"/>
      </w:r>
    </w:p>
    <w:p w14:paraId="61EA7965">
      <w:pPr>
        <w:pStyle w:val="23"/>
        <w:tabs>
          <w:tab w:val="right" w:leader="dot" w:pos="8296"/>
        </w:tabs>
        <w:ind w:left="960"/>
        <w:rPr>
          <w:rFonts w:ascii="宋体" w:hAnsi="宋体"/>
          <w:sz w:val="21"/>
          <w:szCs w:val="22"/>
        </w:rPr>
      </w:pPr>
      <w:r>
        <w:rPr>
          <w:rFonts w:hint="eastAsia" w:ascii="宋体" w:hAnsi="宋体"/>
          <w:bCs/>
        </w:rPr>
        <w:t>5.5 操作和维修手册</w:t>
      </w:r>
      <w:r>
        <w:rPr>
          <w:rFonts w:hint="eastAsia" w:ascii="宋体" w:hAnsi="宋体"/>
        </w:rPr>
        <w:tab/>
      </w:r>
      <w:r>
        <w:rPr>
          <w:rFonts w:hint="eastAsia" w:ascii="宋体" w:hAnsi="宋体"/>
        </w:rPr>
        <w:fldChar w:fldCharType="begin"/>
      </w:r>
      <w:r>
        <w:rPr>
          <w:rFonts w:hint="eastAsia" w:ascii="宋体" w:hAnsi="宋体"/>
        </w:rPr>
        <w:instrText xml:space="preserve"> PAGEREF _Toc54862226 \h </w:instrText>
      </w:r>
      <w:r>
        <w:rPr>
          <w:rFonts w:hint="eastAsia" w:ascii="宋体" w:hAnsi="宋体"/>
        </w:rPr>
        <w:fldChar w:fldCharType="separate"/>
      </w:r>
      <w:r>
        <w:rPr>
          <w:rFonts w:ascii="宋体" w:hAnsi="宋体"/>
        </w:rPr>
        <w:t>43</w:t>
      </w:r>
      <w:r>
        <w:rPr>
          <w:rFonts w:hint="eastAsia" w:ascii="宋体" w:hAnsi="宋体"/>
        </w:rPr>
        <w:fldChar w:fldCharType="end"/>
      </w:r>
    </w:p>
    <w:p w14:paraId="12A34E27">
      <w:pPr>
        <w:pStyle w:val="23"/>
        <w:tabs>
          <w:tab w:val="right" w:leader="dot" w:pos="8296"/>
        </w:tabs>
        <w:ind w:left="960"/>
        <w:rPr>
          <w:rFonts w:ascii="宋体" w:hAnsi="宋体"/>
          <w:sz w:val="21"/>
          <w:szCs w:val="22"/>
        </w:rPr>
      </w:pPr>
      <w:r>
        <w:rPr>
          <w:rFonts w:hint="eastAsia" w:ascii="宋体" w:hAnsi="宋体"/>
          <w:bCs/>
        </w:rPr>
        <w:t>5.6 承包人文件错误</w:t>
      </w:r>
      <w:r>
        <w:rPr>
          <w:rFonts w:hint="eastAsia" w:ascii="宋体" w:hAnsi="宋体"/>
        </w:rPr>
        <w:tab/>
      </w:r>
      <w:r>
        <w:rPr>
          <w:rFonts w:hint="eastAsia" w:ascii="宋体" w:hAnsi="宋体"/>
        </w:rPr>
        <w:fldChar w:fldCharType="begin"/>
      </w:r>
      <w:r>
        <w:rPr>
          <w:rFonts w:hint="eastAsia" w:ascii="宋体" w:hAnsi="宋体"/>
        </w:rPr>
        <w:instrText xml:space="preserve"> PAGEREF _Toc54862227 \h </w:instrText>
      </w:r>
      <w:r>
        <w:rPr>
          <w:rFonts w:hint="eastAsia" w:ascii="宋体" w:hAnsi="宋体"/>
        </w:rPr>
        <w:fldChar w:fldCharType="separate"/>
      </w:r>
      <w:r>
        <w:rPr>
          <w:rFonts w:ascii="宋体" w:hAnsi="宋体"/>
        </w:rPr>
        <w:t>44</w:t>
      </w:r>
      <w:r>
        <w:rPr>
          <w:rFonts w:hint="eastAsia" w:ascii="宋体" w:hAnsi="宋体"/>
        </w:rPr>
        <w:fldChar w:fldCharType="end"/>
      </w:r>
    </w:p>
    <w:p w14:paraId="501387E2">
      <w:pPr>
        <w:pStyle w:val="37"/>
        <w:tabs>
          <w:tab w:val="right" w:leader="dot" w:pos="8296"/>
        </w:tabs>
        <w:ind w:left="480"/>
        <w:rPr>
          <w:rFonts w:ascii="宋体" w:hAnsi="宋体"/>
          <w:sz w:val="21"/>
          <w:szCs w:val="22"/>
        </w:rPr>
      </w:pPr>
      <w:r>
        <w:rPr>
          <w:rFonts w:hint="eastAsia" w:ascii="宋体" w:hAnsi="宋体"/>
          <w:bCs/>
        </w:rPr>
        <w:t>第6条 材料、工程设备</w:t>
      </w:r>
      <w:r>
        <w:rPr>
          <w:rFonts w:hint="eastAsia" w:ascii="宋体" w:hAnsi="宋体"/>
        </w:rPr>
        <w:tab/>
      </w:r>
      <w:r>
        <w:rPr>
          <w:rFonts w:hint="eastAsia" w:ascii="宋体" w:hAnsi="宋体"/>
        </w:rPr>
        <w:fldChar w:fldCharType="begin"/>
      </w:r>
      <w:r>
        <w:rPr>
          <w:rFonts w:hint="eastAsia" w:ascii="宋体" w:hAnsi="宋体"/>
        </w:rPr>
        <w:instrText xml:space="preserve"> PAGEREF _Toc54862228 \h </w:instrText>
      </w:r>
      <w:r>
        <w:rPr>
          <w:rFonts w:hint="eastAsia" w:ascii="宋体" w:hAnsi="宋体"/>
        </w:rPr>
        <w:fldChar w:fldCharType="separate"/>
      </w:r>
      <w:r>
        <w:rPr>
          <w:rFonts w:ascii="宋体" w:hAnsi="宋体"/>
        </w:rPr>
        <w:t>45</w:t>
      </w:r>
      <w:r>
        <w:rPr>
          <w:rFonts w:hint="eastAsia" w:ascii="宋体" w:hAnsi="宋体"/>
        </w:rPr>
        <w:fldChar w:fldCharType="end"/>
      </w:r>
    </w:p>
    <w:p w14:paraId="532467FC">
      <w:pPr>
        <w:pStyle w:val="23"/>
        <w:tabs>
          <w:tab w:val="right" w:leader="dot" w:pos="8296"/>
        </w:tabs>
        <w:ind w:left="960"/>
        <w:rPr>
          <w:rFonts w:ascii="宋体" w:hAnsi="宋体"/>
          <w:sz w:val="21"/>
          <w:szCs w:val="22"/>
        </w:rPr>
      </w:pPr>
      <w:r>
        <w:rPr>
          <w:rFonts w:hint="eastAsia" w:ascii="宋体" w:hAnsi="宋体"/>
          <w:bCs/>
        </w:rPr>
        <w:t>6.1 实施方法</w:t>
      </w:r>
      <w:r>
        <w:rPr>
          <w:rFonts w:hint="eastAsia" w:ascii="宋体" w:hAnsi="宋体"/>
        </w:rPr>
        <w:tab/>
      </w:r>
      <w:r>
        <w:rPr>
          <w:rFonts w:hint="eastAsia" w:ascii="宋体" w:hAnsi="宋体"/>
        </w:rPr>
        <w:fldChar w:fldCharType="begin"/>
      </w:r>
      <w:r>
        <w:rPr>
          <w:rFonts w:hint="eastAsia" w:ascii="宋体" w:hAnsi="宋体"/>
        </w:rPr>
        <w:instrText xml:space="preserve"> PAGEREF _Toc54862229 \h </w:instrText>
      </w:r>
      <w:r>
        <w:rPr>
          <w:rFonts w:hint="eastAsia" w:ascii="宋体" w:hAnsi="宋体"/>
        </w:rPr>
        <w:fldChar w:fldCharType="separate"/>
      </w:r>
      <w:r>
        <w:rPr>
          <w:rFonts w:ascii="宋体" w:hAnsi="宋体"/>
        </w:rPr>
        <w:t>45</w:t>
      </w:r>
      <w:r>
        <w:rPr>
          <w:rFonts w:hint="eastAsia" w:ascii="宋体" w:hAnsi="宋体"/>
        </w:rPr>
        <w:fldChar w:fldCharType="end"/>
      </w:r>
    </w:p>
    <w:p w14:paraId="25D4F23A">
      <w:pPr>
        <w:pStyle w:val="23"/>
        <w:tabs>
          <w:tab w:val="right" w:leader="dot" w:pos="8296"/>
        </w:tabs>
        <w:ind w:left="960"/>
        <w:rPr>
          <w:rFonts w:ascii="宋体" w:hAnsi="宋体"/>
          <w:sz w:val="21"/>
          <w:szCs w:val="22"/>
        </w:rPr>
      </w:pPr>
      <w:r>
        <w:rPr>
          <w:rFonts w:hint="eastAsia" w:ascii="宋体" w:hAnsi="宋体"/>
          <w:bCs/>
        </w:rPr>
        <w:t>6.2 材料和工程设备</w:t>
      </w:r>
      <w:r>
        <w:rPr>
          <w:rFonts w:hint="eastAsia" w:ascii="宋体" w:hAnsi="宋体"/>
        </w:rPr>
        <w:tab/>
      </w:r>
      <w:r>
        <w:rPr>
          <w:rFonts w:hint="eastAsia" w:ascii="宋体" w:hAnsi="宋体"/>
        </w:rPr>
        <w:fldChar w:fldCharType="begin"/>
      </w:r>
      <w:r>
        <w:rPr>
          <w:rFonts w:hint="eastAsia" w:ascii="宋体" w:hAnsi="宋体"/>
        </w:rPr>
        <w:instrText xml:space="preserve"> PAGEREF _Toc54862230 \h </w:instrText>
      </w:r>
      <w:r>
        <w:rPr>
          <w:rFonts w:hint="eastAsia" w:ascii="宋体" w:hAnsi="宋体"/>
        </w:rPr>
        <w:fldChar w:fldCharType="separate"/>
      </w:r>
      <w:r>
        <w:rPr>
          <w:rFonts w:ascii="宋体" w:hAnsi="宋体"/>
        </w:rPr>
        <w:t>45</w:t>
      </w:r>
      <w:r>
        <w:rPr>
          <w:rFonts w:hint="eastAsia" w:ascii="宋体" w:hAnsi="宋体"/>
        </w:rPr>
        <w:fldChar w:fldCharType="end"/>
      </w:r>
    </w:p>
    <w:p w14:paraId="58A0D1EC">
      <w:pPr>
        <w:pStyle w:val="23"/>
        <w:tabs>
          <w:tab w:val="right" w:leader="dot" w:pos="8296"/>
        </w:tabs>
        <w:ind w:left="960"/>
        <w:rPr>
          <w:rFonts w:ascii="宋体" w:hAnsi="宋体"/>
          <w:sz w:val="21"/>
          <w:szCs w:val="22"/>
        </w:rPr>
      </w:pPr>
      <w:r>
        <w:rPr>
          <w:rFonts w:hint="eastAsia" w:ascii="宋体" w:hAnsi="宋体"/>
          <w:bCs/>
        </w:rPr>
        <w:t>6.3 样品</w:t>
      </w:r>
      <w:r>
        <w:rPr>
          <w:rFonts w:hint="eastAsia" w:ascii="宋体" w:hAnsi="宋体"/>
        </w:rPr>
        <w:tab/>
      </w:r>
      <w:r>
        <w:rPr>
          <w:rFonts w:hint="eastAsia" w:ascii="宋体" w:hAnsi="宋体"/>
        </w:rPr>
        <w:fldChar w:fldCharType="begin"/>
      </w:r>
      <w:r>
        <w:rPr>
          <w:rFonts w:hint="eastAsia" w:ascii="宋体" w:hAnsi="宋体"/>
        </w:rPr>
        <w:instrText xml:space="preserve"> PAGEREF _Toc54862231 \h </w:instrText>
      </w:r>
      <w:r>
        <w:rPr>
          <w:rFonts w:hint="eastAsia" w:ascii="宋体" w:hAnsi="宋体"/>
        </w:rPr>
        <w:fldChar w:fldCharType="separate"/>
      </w:r>
      <w:r>
        <w:rPr>
          <w:rFonts w:ascii="宋体" w:hAnsi="宋体"/>
        </w:rPr>
        <w:t>48</w:t>
      </w:r>
      <w:r>
        <w:rPr>
          <w:rFonts w:hint="eastAsia" w:ascii="宋体" w:hAnsi="宋体"/>
        </w:rPr>
        <w:fldChar w:fldCharType="end"/>
      </w:r>
    </w:p>
    <w:p w14:paraId="40DA3640">
      <w:pPr>
        <w:pStyle w:val="23"/>
        <w:tabs>
          <w:tab w:val="right" w:leader="dot" w:pos="8296"/>
        </w:tabs>
        <w:ind w:left="960"/>
        <w:rPr>
          <w:rFonts w:ascii="宋体" w:hAnsi="宋体"/>
          <w:sz w:val="21"/>
          <w:szCs w:val="22"/>
        </w:rPr>
      </w:pPr>
      <w:r>
        <w:rPr>
          <w:rFonts w:hint="eastAsia" w:ascii="宋体" w:hAnsi="宋体"/>
          <w:bCs/>
        </w:rPr>
        <w:t>6.4 质量检查</w:t>
      </w:r>
      <w:r>
        <w:rPr>
          <w:rFonts w:hint="eastAsia" w:ascii="宋体" w:hAnsi="宋体"/>
        </w:rPr>
        <w:tab/>
      </w:r>
      <w:r>
        <w:rPr>
          <w:rFonts w:hint="eastAsia" w:ascii="宋体" w:hAnsi="宋体"/>
        </w:rPr>
        <w:fldChar w:fldCharType="begin"/>
      </w:r>
      <w:r>
        <w:rPr>
          <w:rFonts w:hint="eastAsia" w:ascii="宋体" w:hAnsi="宋体"/>
        </w:rPr>
        <w:instrText xml:space="preserve"> PAGEREF _Toc54862232 \h </w:instrText>
      </w:r>
      <w:r>
        <w:rPr>
          <w:rFonts w:hint="eastAsia" w:ascii="宋体" w:hAnsi="宋体"/>
        </w:rPr>
        <w:fldChar w:fldCharType="separate"/>
      </w:r>
      <w:r>
        <w:rPr>
          <w:rFonts w:ascii="宋体" w:hAnsi="宋体"/>
        </w:rPr>
        <w:t>50</w:t>
      </w:r>
      <w:r>
        <w:rPr>
          <w:rFonts w:hint="eastAsia" w:ascii="宋体" w:hAnsi="宋体"/>
        </w:rPr>
        <w:fldChar w:fldCharType="end"/>
      </w:r>
    </w:p>
    <w:p w14:paraId="7E5DC58C">
      <w:pPr>
        <w:pStyle w:val="23"/>
        <w:tabs>
          <w:tab w:val="right" w:leader="dot" w:pos="8296"/>
        </w:tabs>
        <w:ind w:left="960"/>
        <w:rPr>
          <w:rFonts w:ascii="宋体" w:hAnsi="宋体"/>
          <w:sz w:val="21"/>
          <w:szCs w:val="22"/>
        </w:rPr>
      </w:pPr>
      <w:r>
        <w:rPr>
          <w:rFonts w:hint="eastAsia" w:ascii="宋体" w:hAnsi="宋体"/>
          <w:bCs/>
        </w:rPr>
        <w:t>6.5 由承包人试验和检验</w:t>
      </w:r>
      <w:r>
        <w:rPr>
          <w:rFonts w:hint="eastAsia" w:ascii="宋体" w:hAnsi="宋体"/>
        </w:rPr>
        <w:tab/>
      </w:r>
      <w:r>
        <w:rPr>
          <w:rFonts w:hint="eastAsia" w:ascii="宋体" w:hAnsi="宋体"/>
        </w:rPr>
        <w:fldChar w:fldCharType="begin"/>
      </w:r>
      <w:r>
        <w:rPr>
          <w:rFonts w:hint="eastAsia" w:ascii="宋体" w:hAnsi="宋体"/>
        </w:rPr>
        <w:instrText xml:space="preserve"> PAGEREF _Toc54862233 \h </w:instrText>
      </w:r>
      <w:r>
        <w:rPr>
          <w:rFonts w:hint="eastAsia" w:ascii="宋体" w:hAnsi="宋体"/>
        </w:rPr>
        <w:fldChar w:fldCharType="separate"/>
      </w:r>
      <w:r>
        <w:rPr>
          <w:rFonts w:ascii="宋体" w:hAnsi="宋体"/>
        </w:rPr>
        <w:t>52</w:t>
      </w:r>
      <w:r>
        <w:rPr>
          <w:rFonts w:hint="eastAsia" w:ascii="宋体" w:hAnsi="宋体"/>
        </w:rPr>
        <w:fldChar w:fldCharType="end"/>
      </w:r>
    </w:p>
    <w:p w14:paraId="76084DF7">
      <w:pPr>
        <w:pStyle w:val="23"/>
        <w:tabs>
          <w:tab w:val="right" w:leader="dot" w:pos="8296"/>
        </w:tabs>
        <w:ind w:left="960"/>
        <w:rPr>
          <w:rFonts w:ascii="宋体" w:hAnsi="宋体"/>
          <w:sz w:val="21"/>
          <w:szCs w:val="22"/>
        </w:rPr>
      </w:pPr>
      <w:r>
        <w:rPr>
          <w:rFonts w:hint="eastAsia" w:ascii="宋体" w:hAnsi="宋体"/>
          <w:bCs/>
        </w:rPr>
        <w:t>6.6 缺陷和修补</w:t>
      </w:r>
      <w:r>
        <w:rPr>
          <w:rFonts w:hint="eastAsia" w:ascii="宋体" w:hAnsi="宋体"/>
        </w:rPr>
        <w:tab/>
      </w:r>
      <w:r>
        <w:rPr>
          <w:rFonts w:hint="eastAsia" w:ascii="宋体" w:hAnsi="宋体"/>
        </w:rPr>
        <w:fldChar w:fldCharType="begin"/>
      </w:r>
      <w:r>
        <w:rPr>
          <w:rFonts w:hint="eastAsia" w:ascii="宋体" w:hAnsi="宋体"/>
        </w:rPr>
        <w:instrText xml:space="preserve"> PAGEREF _Toc54862234 \h </w:instrText>
      </w:r>
      <w:r>
        <w:rPr>
          <w:rFonts w:hint="eastAsia" w:ascii="宋体" w:hAnsi="宋体"/>
        </w:rPr>
        <w:fldChar w:fldCharType="separate"/>
      </w:r>
      <w:r>
        <w:rPr>
          <w:rFonts w:ascii="宋体" w:hAnsi="宋体"/>
        </w:rPr>
        <w:t>54</w:t>
      </w:r>
      <w:r>
        <w:rPr>
          <w:rFonts w:hint="eastAsia" w:ascii="宋体" w:hAnsi="宋体"/>
        </w:rPr>
        <w:fldChar w:fldCharType="end"/>
      </w:r>
    </w:p>
    <w:p w14:paraId="454EBB9B">
      <w:pPr>
        <w:pStyle w:val="37"/>
        <w:tabs>
          <w:tab w:val="right" w:leader="dot" w:pos="8296"/>
        </w:tabs>
        <w:ind w:left="480"/>
        <w:rPr>
          <w:rFonts w:ascii="宋体" w:hAnsi="宋体"/>
          <w:sz w:val="21"/>
          <w:szCs w:val="22"/>
        </w:rPr>
      </w:pPr>
      <w:r>
        <w:rPr>
          <w:rFonts w:hint="eastAsia" w:ascii="宋体" w:hAnsi="宋体"/>
          <w:bCs/>
        </w:rPr>
        <w:t>第7条 施工</w:t>
      </w:r>
      <w:r>
        <w:rPr>
          <w:rFonts w:hint="eastAsia" w:ascii="宋体" w:hAnsi="宋体"/>
        </w:rPr>
        <w:tab/>
      </w:r>
      <w:r>
        <w:rPr>
          <w:rFonts w:hint="eastAsia" w:ascii="宋体" w:hAnsi="宋体"/>
        </w:rPr>
        <w:fldChar w:fldCharType="begin"/>
      </w:r>
      <w:r>
        <w:rPr>
          <w:rFonts w:hint="eastAsia" w:ascii="宋体" w:hAnsi="宋体"/>
        </w:rPr>
        <w:instrText xml:space="preserve"> PAGEREF _Toc54862235 \h </w:instrText>
      </w:r>
      <w:r>
        <w:rPr>
          <w:rFonts w:hint="eastAsia" w:ascii="宋体" w:hAnsi="宋体"/>
        </w:rPr>
        <w:fldChar w:fldCharType="separate"/>
      </w:r>
      <w:r>
        <w:rPr>
          <w:rFonts w:ascii="宋体" w:hAnsi="宋体"/>
        </w:rPr>
        <w:t>54</w:t>
      </w:r>
      <w:r>
        <w:rPr>
          <w:rFonts w:hint="eastAsia" w:ascii="宋体" w:hAnsi="宋体"/>
        </w:rPr>
        <w:fldChar w:fldCharType="end"/>
      </w:r>
    </w:p>
    <w:p w14:paraId="7BA1B0F9">
      <w:pPr>
        <w:pStyle w:val="23"/>
        <w:tabs>
          <w:tab w:val="right" w:leader="dot" w:pos="8296"/>
        </w:tabs>
        <w:ind w:left="960"/>
        <w:rPr>
          <w:rFonts w:ascii="宋体" w:hAnsi="宋体"/>
          <w:sz w:val="21"/>
          <w:szCs w:val="22"/>
        </w:rPr>
      </w:pPr>
      <w:r>
        <w:rPr>
          <w:rFonts w:hint="eastAsia" w:ascii="宋体" w:hAnsi="宋体"/>
          <w:bCs/>
        </w:rPr>
        <w:t>7.1 交通运输</w:t>
      </w:r>
      <w:r>
        <w:rPr>
          <w:rFonts w:hint="eastAsia" w:ascii="宋体" w:hAnsi="宋体"/>
        </w:rPr>
        <w:tab/>
      </w:r>
      <w:r>
        <w:rPr>
          <w:rFonts w:hint="eastAsia" w:ascii="宋体" w:hAnsi="宋体"/>
        </w:rPr>
        <w:fldChar w:fldCharType="begin"/>
      </w:r>
      <w:r>
        <w:rPr>
          <w:rFonts w:hint="eastAsia" w:ascii="宋体" w:hAnsi="宋体"/>
        </w:rPr>
        <w:instrText xml:space="preserve"> PAGEREF _Toc54862236 \h </w:instrText>
      </w:r>
      <w:r>
        <w:rPr>
          <w:rFonts w:hint="eastAsia" w:ascii="宋体" w:hAnsi="宋体"/>
        </w:rPr>
        <w:fldChar w:fldCharType="separate"/>
      </w:r>
      <w:r>
        <w:rPr>
          <w:rFonts w:ascii="宋体" w:hAnsi="宋体"/>
        </w:rPr>
        <w:t>55</w:t>
      </w:r>
      <w:r>
        <w:rPr>
          <w:rFonts w:hint="eastAsia" w:ascii="宋体" w:hAnsi="宋体"/>
        </w:rPr>
        <w:fldChar w:fldCharType="end"/>
      </w:r>
    </w:p>
    <w:p w14:paraId="7222A4BB">
      <w:pPr>
        <w:pStyle w:val="23"/>
        <w:tabs>
          <w:tab w:val="right" w:leader="dot" w:pos="8296"/>
        </w:tabs>
        <w:ind w:left="960"/>
        <w:rPr>
          <w:rFonts w:ascii="宋体" w:hAnsi="宋体"/>
          <w:sz w:val="21"/>
          <w:szCs w:val="22"/>
        </w:rPr>
      </w:pPr>
      <w:r>
        <w:rPr>
          <w:rFonts w:hint="eastAsia" w:ascii="宋体" w:hAnsi="宋体"/>
          <w:bCs/>
        </w:rPr>
        <w:t>7.2 施工设备和临时设施</w:t>
      </w:r>
      <w:r>
        <w:rPr>
          <w:rFonts w:hint="eastAsia" w:ascii="宋体" w:hAnsi="宋体"/>
        </w:rPr>
        <w:tab/>
      </w:r>
      <w:r>
        <w:rPr>
          <w:rFonts w:hint="eastAsia" w:ascii="宋体" w:hAnsi="宋体"/>
        </w:rPr>
        <w:fldChar w:fldCharType="begin"/>
      </w:r>
      <w:r>
        <w:rPr>
          <w:rFonts w:hint="eastAsia" w:ascii="宋体" w:hAnsi="宋体"/>
        </w:rPr>
        <w:instrText xml:space="preserve"> PAGEREF _Toc54862237 \h </w:instrText>
      </w:r>
      <w:r>
        <w:rPr>
          <w:rFonts w:hint="eastAsia" w:ascii="宋体" w:hAnsi="宋体"/>
        </w:rPr>
        <w:fldChar w:fldCharType="separate"/>
      </w:r>
      <w:r>
        <w:rPr>
          <w:rFonts w:ascii="宋体" w:hAnsi="宋体"/>
        </w:rPr>
        <w:t>56</w:t>
      </w:r>
      <w:r>
        <w:rPr>
          <w:rFonts w:hint="eastAsia" w:ascii="宋体" w:hAnsi="宋体"/>
        </w:rPr>
        <w:fldChar w:fldCharType="end"/>
      </w:r>
    </w:p>
    <w:p w14:paraId="2205592E">
      <w:pPr>
        <w:pStyle w:val="23"/>
        <w:tabs>
          <w:tab w:val="right" w:leader="dot" w:pos="8296"/>
        </w:tabs>
        <w:ind w:left="960"/>
        <w:rPr>
          <w:rFonts w:ascii="宋体" w:hAnsi="宋体"/>
          <w:sz w:val="21"/>
          <w:szCs w:val="22"/>
        </w:rPr>
      </w:pPr>
      <w:r>
        <w:rPr>
          <w:rFonts w:hint="eastAsia" w:ascii="宋体" w:hAnsi="宋体"/>
          <w:bCs/>
        </w:rPr>
        <w:t>7.3 现场合作</w:t>
      </w:r>
      <w:r>
        <w:rPr>
          <w:rFonts w:hint="eastAsia" w:ascii="宋体" w:hAnsi="宋体"/>
        </w:rPr>
        <w:tab/>
      </w:r>
      <w:r>
        <w:rPr>
          <w:rFonts w:hint="eastAsia" w:ascii="宋体" w:hAnsi="宋体"/>
        </w:rPr>
        <w:fldChar w:fldCharType="begin"/>
      </w:r>
      <w:r>
        <w:rPr>
          <w:rFonts w:hint="eastAsia" w:ascii="宋体" w:hAnsi="宋体"/>
        </w:rPr>
        <w:instrText xml:space="preserve"> PAGEREF _Toc54862238 \h </w:instrText>
      </w:r>
      <w:r>
        <w:rPr>
          <w:rFonts w:hint="eastAsia" w:ascii="宋体" w:hAnsi="宋体"/>
        </w:rPr>
        <w:fldChar w:fldCharType="separate"/>
      </w:r>
      <w:r>
        <w:rPr>
          <w:rFonts w:ascii="宋体" w:hAnsi="宋体"/>
        </w:rPr>
        <w:t>57</w:t>
      </w:r>
      <w:r>
        <w:rPr>
          <w:rFonts w:hint="eastAsia" w:ascii="宋体" w:hAnsi="宋体"/>
        </w:rPr>
        <w:fldChar w:fldCharType="end"/>
      </w:r>
    </w:p>
    <w:p w14:paraId="3D99CC1C">
      <w:pPr>
        <w:pStyle w:val="23"/>
        <w:tabs>
          <w:tab w:val="right" w:leader="dot" w:pos="8296"/>
        </w:tabs>
        <w:ind w:left="960"/>
        <w:rPr>
          <w:rFonts w:ascii="宋体" w:hAnsi="宋体"/>
          <w:sz w:val="21"/>
          <w:szCs w:val="22"/>
        </w:rPr>
      </w:pPr>
      <w:r>
        <w:rPr>
          <w:rFonts w:hint="eastAsia" w:ascii="宋体" w:hAnsi="宋体"/>
          <w:bCs/>
        </w:rPr>
        <w:t>7.4 测量放线</w:t>
      </w:r>
      <w:r>
        <w:rPr>
          <w:rFonts w:hint="eastAsia" w:ascii="宋体" w:hAnsi="宋体"/>
        </w:rPr>
        <w:tab/>
      </w:r>
      <w:r>
        <w:rPr>
          <w:rFonts w:hint="eastAsia" w:ascii="宋体" w:hAnsi="宋体"/>
        </w:rPr>
        <w:fldChar w:fldCharType="begin"/>
      </w:r>
      <w:r>
        <w:rPr>
          <w:rFonts w:hint="eastAsia" w:ascii="宋体" w:hAnsi="宋体"/>
        </w:rPr>
        <w:instrText xml:space="preserve"> PAGEREF _Toc54862239 \h </w:instrText>
      </w:r>
      <w:r>
        <w:rPr>
          <w:rFonts w:hint="eastAsia" w:ascii="宋体" w:hAnsi="宋体"/>
        </w:rPr>
        <w:fldChar w:fldCharType="separate"/>
      </w:r>
      <w:r>
        <w:rPr>
          <w:rFonts w:ascii="宋体" w:hAnsi="宋体"/>
        </w:rPr>
        <w:t>58</w:t>
      </w:r>
      <w:r>
        <w:rPr>
          <w:rFonts w:hint="eastAsia" w:ascii="宋体" w:hAnsi="宋体"/>
        </w:rPr>
        <w:fldChar w:fldCharType="end"/>
      </w:r>
    </w:p>
    <w:p w14:paraId="5E4EFBA3">
      <w:pPr>
        <w:pStyle w:val="23"/>
        <w:tabs>
          <w:tab w:val="right" w:leader="dot" w:pos="8296"/>
        </w:tabs>
        <w:ind w:left="960"/>
        <w:rPr>
          <w:rFonts w:ascii="宋体" w:hAnsi="宋体"/>
          <w:sz w:val="21"/>
          <w:szCs w:val="22"/>
        </w:rPr>
      </w:pPr>
      <w:r>
        <w:rPr>
          <w:rFonts w:hint="eastAsia" w:ascii="宋体" w:hAnsi="宋体"/>
          <w:bCs/>
        </w:rPr>
        <w:t>7.5 现场劳动用工</w:t>
      </w:r>
      <w:r>
        <w:rPr>
          <w:rFonts w:hint="eastAsia" w:ascii="宋体" w:hAnsi="宋体"/>
        </w:rPr>
        <w:tab/>
      </w:r>
      <w:r>
        <w:rPr>
          <w:rFonts w:hint="eastAsia" w:ascii="宋体" w:hAnsi="宋体"/>
        </w:rPr>
        <w:fldChar w:fldCharType="begin"/>
      </w:r>
      <w:r>
        <w:rPr>
          <w:rFonts w:hint="eastAsia" w:ascii="宋体" w:hAnsi="宋体"/>
        </w:rPr>
        <w:instrText xml:space="preserve"> PAGEREF _Toc54862240 \h </w:instrText>
      </w:r>
      <w:r>
        <w:rPr>
          <w:rFonts w:hint="eastAsia" w:ascii="宋体" w:hAnsi="宋体"/>
        </w:rPr>
        <w:fldChar w:fldCharType="separate"/>
      </w:r>
      <w:r>
        <w:rPr>
          <w:rFonts w:ascii="宋体" w:hAnsi="宋体"/>
        </w:rPr>
        <w:t>58</w:t>
      </w:r>
      <w:r>
        <w:rPr>
          <w:rFonts w:hint="eastAsia" w:ascii="宋体" w:hAnsi="宋体"/>
        </w:rPr>
        <w:fldChar w:fldCharType="end"/>
      </w:r>
    </w:p>
    <w:p w14:paraId="2D81028D">
      <w:pPr>
        <w:pStyle w:val="23"/>
        <w:tabs>
          <w:tab w:val="right" w:leader="dot" w:pos="8296"/>
        </w:tabs>
        <w:ind w:left="960"/>
        <w:rPr>
          <w:rFonts w:ascii="宋体" w:hAnsi="宋体"/>
          <w:sz w:val="21"/>
          <w:szCs w:val="22"/>
        </w:rPr>
      </w:pPr>
      <w:r>
        <w:rPr>
          <w:rFonts w:hint="eastAsia" w:ascii="宋体" w:hAnsi="宋体"/>
          <w:bCs/>
        </w:rPr>
        <w:t>7.6 安全文明施工</w:t>
      </w:r>
      <w:r>
        <w:rPr>
          <w:rFonts w:hint="eastAsia" w:ascii="宋体" w:hAnsi="宋体"/>
        </w:rPr>
        <w:tab/>
      </w:r>
      <w:r>
        <w:rPr>
          <w:rFonts w:hint="eastAsia" w:ascii="宋体" w:hAnsi="宋体"/>
        </w:rPr>
        <w:fldChar w:fldCharType="begin"/>
      </w:r>
      <w:r>
        <w:rPr>
          <w:rFonts w:hint="eastAsia" w:ascii="宋体" w:hAnsi="宋体"/>
        </w:rPr>
        <w:instrText xml:space="preserve"> PAGEREF _Toc54862241 \h </w:instrText>
      </w:r>
      <w:r>
        <w:rPr>
          <w:rFonts w:hint="eastAsia" w:ascii="宋体" w:hAnsi="宋体"/>
        </w:rPr>
        <w:fldChar w:fldCharType="separate"/>
      </w:r>
      <w:r>
        <w:rPr>
          <w:rFonts w:ascii="宋体" w:hAnsi="宋体"/>
        </w:rPr>
        <w:t>59</w:t>
      </w:r>
      <w:r>
        <w:rPr>
          <w:rFonts w:hint="eastAsia" w:ascii="宋体" w:hAnsi="宋体"/>
        </w:rPr>
        <w:fldChar w:fldCharType="end"/>
      </w:r>
    </w:p>
    <w:p w14:paraId="4832BF8E">
      <w:pPr>
        <w:pStyle w:val="23"/>
        <w:tabs>
          <w:tab w:val="right" w:leader="dot" w:pos="8296"/>
        </w:tabs>
        <w:ind w:left="960"/>
        <w:rPr>
          <w:rFonts w:ascii="宋体" w:hAnsi="宋体"/>
          <w:sz w:val="21"/>
          <w:szCs w:val="22"/>
        </w:rPr>
      </w:pPr>
      <w:r>
        <w:rPr>
          <w:rFonts w:hint="eastAsia" w:ascii="宋体" w:hAnsi="宋体"/>
          <w:bCs/>
        </w:rPr>
        <w:t>7.7 职业健康</w:t>
      </w:r>
      <w:r>
        <w:rPr>
          <w:rFonts w:hint="eastAsia" w:ascii="宋体" w:hAnsi="宋体"/>
        </w:rPr>
        <w:tab/>
      </w:r>
      <w:r>
        <w:rPr>
          <w:rFonts w:hint="eastAsia" w:ascii="宋体" w:hAnsi="宋体"/>
        </w:rPr>
        <w:fldChar w:fldCharType="begin"/>
      </w:r>
      <w:r>
        <w:rPr>
          <w:rFonts w:hint="eastAsia" w:ascii="宋体" w:hAnsi="宋体"/>
        </w:rPr>
        <w:instrText xml:space="preserve"> PAGEREF _Toc54862242 \h </w:instrText>
      </w:r>
      <w:r>
        <w:rPr>
          <w:rFonts w:hint="eastAsia" w:ascii="宋体" w:hAnsi="宋体"/>
        </w:rPr>
        <w:fldChar w:fldCharType="separate"/>
      </w:r>
      <w:r>
        <w:rPr>
          <w:rFonts w:ascii="宋体" w:hAnsi="宋体"/>
        </w:rPr>
        <w:t>62</w:t>
      </w:r>
      <w:r>
        <w:rPr>
          <w:rFonts w:hint="eastAsia" w:ascii="宋体" w:hAnsi="宋体"/>
        </w:rPr>
        <w:fldChar w:fldCharType="end"/>
      </w:r>
    </w:p>
    <w:p w14:paraId="3B0299B7">
      <w:pPr>
        <w:pStyle w:val="23"/>
        <w:tabs>
          <w:tab w:val="right" w:leader="dot" w:pos="8296"/>
        </w:tabs>
        <w:ind w:left="960"/>
        <w:rPr>
          <w:rFonts w:ascii="宋体" w:hAnsi="宋体"/>
          <w:sz w:val="21"/>
          <w:szCs w:val="22"/>
        </w:rPr>
      </w:pPr>
      <w:r>
        <w:rPr>
          <w:rFonts w:hint="eastAsia" w:ascii="宋体" w:hAnsi="宋体"/>
          <w:bCs/>
        </w:rPr>
        <w:t>7.8 环境保护</w:t>
      </w:r>
      <w:r>
        <w:rPr>
          <w:rFonts w:hint="eastAsia" w:ascii="宋体" w:hAnsi="宋体"/>
        </w:rPr>
        <w:tab/>
      </w:r>
      <w:r>
        <w:rPr>
          <w:rFonts w:hint="eastAsia" w:ascii="宋体" w:hAnsi="宋体"/>
        </w:rPr>
        <w:fldChar w:fldCharType="begin"/>
      </w:r>
      <w:r>
        <w:rPr>
          <w:rFonts w:hint="eastAsia" w:ascii="宋体" w:hAnsi="宋体"/>
        </w:rPr>
        <w:instrText xml:space="preserve"> PAGEREF _Toc54862243 \h </w:instrText>
      </w:r>
      <w:r>
        <w:rPr>
          <w:rFonts w:hint="eastAsia" w:ascii="宋体" w:hAnsi="宋体"/>
        </w:rPr>
        <w:fldChar w:fldCharType="separate"/>
      </w:r>
      <w:r>
        <w:rPr>
          <w:rFonts w:ascii="宋体" w:hAnsi="宋体"/>
        </w:rPr>
        <w:t>63</w:t>
      </w:r>
      <w:r>
        <w:rPr>
          <w:rFonts w:hint="eastAsia" w:ascii="宋体" w:hAnsi="宋体"/>
        </w:rPr>
        <w:fldChar w:fldCharType="end"/>
      </w:r>
    </w:p>
    <w:p w14:paraId="4AC3850D">
      <w:pPr>
        <w:pStyle w:val="23"/>
        <w:tabs>
          <w:tab w:val="right" w:leader="dot" w:pos="8296"/>
        </w:tabs>
        <w:ind w:left="960"/>
        <w:rPr>
          <w:rFonts w:ascii="宋体" w:hAnsi="宋体"/>
          <w:sz w:val="21"/>
          <w:szCs w:val="22"/>
        </w:rPr>
      </w:pPr>
      <w:r>
        <w:rPr>
          <w:rFonts w:hint="eastAsia" w:ascii="宋体" w:hAnsi="宋体"/>
          <w:bCs/>
        </w:rPr>
        <w:t>7.9 临时性公用设施</w:t>
      </w:r>
      <w:r>
        <w:rPr>
          <w:rFonts w:hint="eastAsia" w:ascii="宋体" w:hAnsi="宋体"/>
        </w:rPr>
        <w:tab/>
      </w:r>
      <w:r>
        <w:rPr>
          <w:rFonts w:hint="eastAsia" w:ascii="宋体" w:hAnsi="宋体"/>
        </w:rPr>
        <w:fldChar w:fldCharType="begin"/>
      </w:r>
      <w:r>
        <w:rPr>
          <w:rFonts w:hint="eastAsia" w:ascii="宋体" w:hAnsi="宋体"/>
        </w:rPr>
        <w:instrText xml:space="preserve"> PAGEREF _Toc54862244 \h </w:instrText>
      </w:r>
      <w:r>
        <w:rPr>
          <w:rFonts w:hint="eastAsia" w:ascii="宋体" w:hAnsi="宋体"/>
        </w:rPr>
        <w:fldChar w:fldCharType="separate"/>
      </w:r>
      <w:r>
        <w:rPr>
          <w:rFonts w:ascii="宋体" w:hAnsi="宋体"/>
        </w:rPr>
        <w:t>64</w:t>
      </w:r>
      <w:r>
        <w:rPr>
          <w:rFonts w:hint="eastAsia" w:ascii="宋体" w:hAnsi="宋体"/>
        </w:rPr>
        <w:fldChar w:fldCharType="end"/>
      </w:r>
    </w:p>
    <w:p w14:paraId="004626D7">
      <w:pPr>
        <w:pStyle w:val="23"/>
        <w:tabs>
          <w:tab w:val="right" w:leader="dot" w:pos="8296"/>
        </w:tabs>
        <w:ind w:left="960"/>
        <w:rPr>
          <w:rFonts w:ascii="宋体" w:hAnsi="宋体"/>
          <w:sz w:val="21"/>
          <w:szCs w:val="22"/>
        </w:rPr>
      </w:pPr>
      <w:r>
        <w:rPr>
          <w:rFonts w:hint="eastAsia" w:ascii="宋体" w:hAnsi="宋体"/>
          <w:bCs/>
        </w:rPr>
        <w:t>7.10 现场安保</w:t>
      </w:r>
      <w:r>
        <w:rPr>
          <w:rFonts w:hint="eastAsia" w:ascii="宋体" w:hAnsi="宋体"/>
        </w:rPr>
        <w:tab/>
      </w:r>
      <w:r>
        <w:rPr>
          <w:rFonts w:hint="eastAsia" w:ascii="宋体" w:hAnsi="宋体"/>
        </w:rPr>
        <w:fldChar w:fldCharType="begin"/>
      </w:r>
      <w:r>
        <w:rPr>
          <w:rFonts w:hint="eastAsia" w:ascii="宋体" w:hAnsi="宋体"/>
        </w:rPr>
        <w:instrText xml:space="preserve"> PAGEREF _Toc54862245 \h </w:instrText>
      </w:r>
      <w:r>
        <w:rPr>
          <w:rFonts w:hint="eastAsia" w:ascii="宋体" w:hAnsi="宋体"/>
        </w:rPr>
        <w:fldChar w:fldCharType="separate"/>
      </w:r>
      <w:r>
        <w:rPr>
          <w:rFonts w:ascii="宋体" w:hAnsi="宋体"/>
        </w:rPr>
        <w:t>65</w:t>
      </w:r>
      <w:r>
        <w:rPr>
          <w:rFonts w:hint="eastAsia" w:ascii="宋体" w:hAnsi="宋体"/>
        </w:rPr>
        <w:fldChar w:fldCharType="end"/>
      </w:r>
    </w:p>
    <w:p w14:paraId="4D77F67F">
      <w:pPr>
        <w:pStyle w:val="23"/>
        <w:tabs>
          <w:tab w:val="right" w:leader="dot" w:pos="8296"/>
        </w:tabs>
        <w:ind w:left="960"/>
        <w:rPr>
          <w:rFonts w:ascii="宋体" w:hAnsi="宋体"/>
          <w:sz w:val="21"/>
          <w:szCs w:val="22"/>
        </w:rPr>
      </w:pPr>
      <w:r>
        <w:rPr>
          <w:rFonts w:hint="eastAsia" w:ascii="宋体" w:hAnsi="宋体"/>
          <w:bCs/>
        </w:rPr>
        <w:t>7.11 工程照管</w:t>
      </w:r>
      <w:r>
        <w:rPr>
          <w:rFonts w:hint="eastAsia" w:ascii="宋体" w:hAnsi="宋体"/>
        </w:rPr>
        <w:tab/>
      </w:r>
      <w:r>
        <w:rPr>
          <w:rFonts w:hint="eastAsia" w:ascii="宋体" w:hAnsi="宋体"/>
        </w:rPr>
        <w:fldChar w:fldCharType="begin"/>
      </w:r>
      <w:r>
        <w:rPr>
          <w:rFonts w:hint="eastAsia" w:ascii="宋体" w:hAnsi="宋体"/>
        </w:rPr>
        <w:instrText xml:space="preserve"> PAGEREF _Toc54862246 \h </w:instrText>
      </w:r>
      <w:r>
        <w:rPr>
          <w:rFonts w:hint="eastAsia" w:ascii="宋体" w:hAnsi="宋体"/>
        </w:rPr>
        <w:fldChar w:fldCharType="separate"/>
      </w:r>
      <w:r>
        <w:rPr>
          <w:rFonts w:ascii="宋体" w:hAnsi="宋体"/>
        </w:rPr>
        <w:t>66</w:t>
      </w:r>
      <w:r>
        <w:rPr>
          <w:rFonts w:hint="eastAsia" w:ascii="宋体" w:hAnsi="宋体"/>
        </w:rPr>
        <w:fldChar w:fldCharType="end"/>
      </w:r>
    </w:p>
    <w:p w14:paraId="10037D72">
      <w:pPr>
        <w:pStyle w:val="37"/>
        <w:tabs>
          <w:tab w:val="right" w:leader="dot" w:pos="8296"/>
        </w:tabs>
        <w:ind w:left="480"/>
        <w:rPr>
          <w:rFonts w:ascii="宋体" w:hAnsi="宋体"/>
          <w:sz w:val="21"/>
          <w:szCs w:val="22"/>
        </w:rPr>
      </w:pPr>
      <w:r>
        <w:rPr>
          <w:rFonts w:hint="eastAsia" w:ascii="宋体" w:hAnsi="宋体"/>
          <w:bCs/>
        </w:rPr>
        <w:t>第8条 工期和进度</w:t>
      </w:r>
      <w:r>
        <w:rPr>
          <w:rFonts w:hint="eastAsia" w:ascii="宋体" w:hAnsi="宋体"/>
        </w:rPr>
        <w:tab/>
      </w:r>
      <w:r>
        <w:rPr>
          <w:rFonts w:hint="eastAsia" w:ascii="宋体" w:hAnsi="宋体"/>
        </w:rPr>
        <w:fldChar w:fldCharType="begin"/>
      </w:r>
      <w:r>
        <w:rPr>
          <w:rFonts w:hint="eastAsia" w:ascii="宋体" w:hAnsi="宋体"/>
        </w:rPr>
        <w:instrText xml:space="preserve"> PAGEREF _Toc54862247 \h </w:instrText>
      </w:r>
      <w:r>
        <w:rPr>
          <w:rFonts w:hint="eastAsia" w:ascii="宋体" w:hAnsi="宋体"/>
        </w:rPr>
        <w:fldChar w:fldCharType="separate"/>
      </w:r>
      <w:r>
        <w:rPr>
          <w:rFonts w:ascii="宋体" w:hAnsi="宋体"/>
        </w:rPr>
        <w:t>66</w:t>
      </w:r>
      <w:r>
        <w:rPr>
          <w:rFonts w:hint="eastAsia" w:ascii="宋体" w:hAnsi="宋体"/>
        </w:rPr>
        <w:fldChar w:fldCharType="end"/>
      </w:r>
    </w:p>
    <w:p w14:paraId="0149A842">
      <w:pPr>
        <w:pStyle w:val="23"/>
        <w:tabs>
          <w:tab w:val="right" w:leader="dot" w:pos="8296"/>
        </w:tabs>
        <w:ind w:left="960"/>
        <w:rPr>
          <w:rFonts w:ascii="宋体" w:hAnsi="宋体"/>
          <w:sz w:val="21"/>
          <w:szCs w:val="22"/>
        </w:rPr>
      </w:pPr>
      <w:r>
        <w:rPr>
          <w:rFonts w:hint="eastAsia" w:ascii="宋体" w:hAnsi="宋体"/>
          <w:bCs/>
        </w:rPr>
        <w:t>8.1 开始工作</w:t>
      </w:r>
      <w:r>
        <w:rPr>
          <w:rFonts w:hint="eastAsia" w:ascii="宋体" w:hAnsi="宋体"/>
        </w:rPr>
        <w:tab/>
      </w:r>
      <w:r>
        <w:rPr>
          <w:rFonts w:hint="eastAsia" w:ascii="宋体" w:hAnsi="宋体"/>
        </w:rPr>
        <w:fldChar w:fldCharType="begin"/>
      </w:r>
      <w:r>
        <w:rPr>
          <w:rFonts w:hint="eastAsia" w:ascii="宋体" w:hAnsi="宋体"/>
        </w:rPr>
        <w:instrText xml:space="preserve"> PAGEREF _Toc54862248 \h </w:instrText>
      </w:r>
      <w:r>
        <w:rPr>
          <w:rFonts w:hint="eastAsia" w:ascii="宋体" w:hAnsi="宋体"/>
        </w:rPr>
        <w:fldChar w:fldCharType="separate"/>
      </w:r>
      <w:r>
        <w:rPr>
          <w:rFonts w:ascii="宋体" w:hAnsi="宋体"/>
        </w:rPr>
        <w:t>66</w:t>
      </w:r>
      <w:r>
        <w:rPr>
          <w:rFonts w:hint="eastAsia" w:ascii="宋体" w:hAnsi="宋体"/>
        </w:rPr>
        <w:fldChar w:fldCharType="end"/>
      </w:r>
    </w:p>
    <w:p w14:paraId="180CA36C">
      <w:pPr>
        <w:pStyle w:val="23"/>
        <w:tabs>
          <w:tab w:val="right" w:leader="dot" w:pos="8296"/>
        </w:tabs>
        <w:ind w:left="960"/>
        <w:rPr>
          <w:rFonts w:ascii="宋体" w:hAnsi="宋体"/>
          <w:sz w:val="21"/>
          <w:szCs w:val="22"/>
        </w:rPr>
      </w:pPr>
      <w:r>
        <w:rPr>
          <w:rFonts w:hint="eastAsia" w:ascii="宋体" w:hAnsi="宋体"/>
          <w:bCs/>
        </w:rPr>
        <w:t>8.2 竣工日期</w:t>
      </w:r>
      <w:r>
        <w:rPr>
          <w:rFonts w:hint="eastAsia" w:ascii="宋体" w:hAnsi="宋体"/>
        </w:rPr>
        <w:tab/>
      </w:r>
      <w:r>
        <w:rPr>
          <w:rFonts w:hint="eastAsia" w:ascii="宋体" w:hAnsi="宋体"/>
        </w:rPr>
        <w:fldChar w:fldCharType="begin"/>
      </w:r>
      <w:r>
        <w:rPr>
          <w:rFonts w:hint="eastAsia" w:ascii="宋体" w:hAnsi="宋体"/>
        </w:rPr>
        <w:instrText xml:space="preserve"> PAGEREF _Toc54862249 \h </w:instrText>
      </w:r>
      <w:r>
        <w:rPr>
          <w:rFonts w:hint="eastAsia" w:ascii="宋体" w:hAnsi="宋体"/>
        </w:rPr>
        <w:fldChar w:fldCharType="separate"/>
      </w:r>
      <w:r>
        <w:rPr>
          <w:rFonts w:ascii="宋体" w:hAnsi="宋体"/>
        </w:rPr>
        <w:t>67</w:t>
      </w:r>
      <w:r>
        <w:rPr>
          <w:rFonts w:hint="eastAsia" w:ascii="宋体" w:hAnsi="宋体"/>
        </w:rPr>
        <w:fldChar w:fldCharType="end"/>
      </w:r>
    </w:p>
    <w:p w14:paraId="4D19D318">
      <w:pPr>
        <w:pStyle w:val="23"/>
        <w:tabs>
          <w:tab w:val="right" w:leader="dot" w:pos="8296"/>
        </w:tabs>
        <w:ind w:left="960"/>
        <w:rPr>
          <w:rFonts w:ascii="宋体" w:hAnsi="宋体"/>
          <w:sz w:val="21"/>
          <w:szCs w:val="22"/>
        </w:rPr>
      </w:pPr>
      <w:r>
        <w:rPr>
          <w:rFonts w:hint="eastAsia" w:ascii="宋体" w:hAnsi="宋体"/>
          <w:bCs/>
        </w:rPr>
        <w:t>8.3 项目实施计划</w:t>
      </w:r>
      <w:r>
        <w:rPr>
          <w:rFonts w:hint="eastAsia" w:ascii="宋体" w:hAnsi="宋体"/>
        </w:rPr>
        <w:tab/>
      </w:r>
      <w:r>
        <w:rPr>
          <w:rFonts w:hint="eastAsia" w:ascii="宋体" w:hAnsi="宋体"/>
        </w:rPr>
        <w:fldChar w:fldCharType="begin"/>
      </w:r>
      <w:r>
        <w:rPr>
          <w:rFonts w:hint="eastAsia" w:ascii="宋体" w:hAnsi="宋体"/>
        </w:rPr>
        <w:instrText xml:space="preserve"> PAGEREF _Toc54862250 \h </w:instrText>
      </w:r>
      <w:r>
        <w:rPr>
          <w:rFonts w:hint="eastAsia" w:ascii="宋体" w:hAnsi="宋体"/>
        </w:rPr>
        <w:fldChar w:fldCharType="separate"/>
      </w:r>
      <w:r>
        <w:rPr>
          <w:rFonts w:ascii="宋体" w:hAnsi="宋体"/>
        </w:rPr>
        <w:t>67</w:t>
      </w:r>
      <w:r>
        <w:rPr>
          <w:rFonts w:hint="eastAsia" w:ascii="宋体" w:hAnsi="宋体"/>
        </w:rPr>
        <w:fldChar w:fldCharType="end"/>
      </w:r>
    </w:p>
    <w:p w14:paraId="10D123F4">
      <w:pPr>
        <w:pStyle w:val="23"/>
        <w:tabs>
          <w:tab w:val="right" w:leader="dot" w:pos="8296"/>
        </w:tabs>
        <w:ind w:left="960"/>
        <w:rPr>
          <w:rFonts w:ascii="宋体" w:hAnsi="宋体"/>
          <w:sz w:val="21"/>
          <w:szCs w:val="22"/>
        </w:rPr>
      </w:pPr>
      <w:r>
        <w:rPr>
          <w:rFonts w:hint="eastAsia" w:ascii="宋体" w:hAnsi="宋体"/>
          <w:bCs/>
        </w:rPr>
        <w:t>8.4 项目进度计划</w:t>
      </w:r>
      <w:r>
        <w:rPr>
          <w:rFonts w:hint="eastAsia" w:ascii="宋体" w:hAnsi="宋体"/>
        </w:rPr>
        <w:tab/>
      </w:r>
      <w:r>
        <w:rPr>
          <w:rFonts w:hint="eastAsia" w:ascii="宋体" w:hAnsi="宋体"/>
        </w:rPr>
        <w:fldChar w:fldCharType="begin"/>
      </w:r>
      <w:r>
        <w:rPr>
          <w:rFonts w:hint="eastAsia" w:ascii="宋体" w:hAnsi="宋体"/>
        </w:rPr>
        <w:instrText xml:space="preserve"> PAGEREF _Toc54862251 \h </w:instrText>
      </w:r>
      <w:r>
        <w:rPr>
          <w:rFonts w:hint="eastAsia" w:ascii="宋体" w:hAnsi="宋体"/>
        </w:rPr>
        <w:fldChar w:fldCharType="separate"/>
      </w:r>
      <w:r>
        <w:rPr>
          <w:rFonts w:ascii="宋体" w:hAnsi="宋体"/>
        </w:rPr>
        <w:t>68</w:t>
      </w:r>
      <w:r>
        <w:rPr>
          <w:rFonts w:hint="eastAsia" w:ascii="宋体" w:hAnsi="宋体"/>
        </w:rPr>
        <w:fldChar w:fldCharType="end"/>
      </w:r>
    </w:p>
    <w:p w14:paraId="60875BF0">
      <w:pPr>
        <w:pStyle w:val="23"/>
        <w:tabs>
          <w:tab w:val="right" w:leader="dot" w:pos="8296"/>
        </w:tabs>
        <w:ind w:left="960"/>
        <w:rPr>
          <w:rFonts w:ascii="宋体" w:hAnsi="宋体"/>
          <w:sz w:val="21"/>
          <w:szCs w:val="22"/>
        </w:rPr>
      </w:pPr>
      <w:r>
        <w:rPr>
          <w:rFonts w:hint="eastAsia" w:ascii="宋体" w:hAnsi="宋体"/>
          <w:bCs/>
        </w:rPr>
        <w:t>8.5 进度报告</w:t>
      </w:r>
      <w:r>
        <w:rPr>
          <w:rFonts w:hint="eastAsia" w:ascii="宋体" w:hAnsi="宋体"/>
        </w:rPr>
        <w:tab/>
      </w:r>
      <w:r>
        <w:rPr>
          <w:rFonts w:hint="eastAsia" w:ascii="宋体" w:hAnsi="宋体"/>
        </w:rPr>
        <w:fldChar w:fldCharType="begin"/>
      </w:r>
      <w:r>
        <w:rPr>
          <w:rFonts w:hint="eastAsia" w:ascii="宋体" w:hAnsi="宋体"/>
        </w:rPr>
        <w:instrText xml:space="preserve"> PAGEREF _Toc54862252 \h </w:instrText>
      </w:r>
      <w:r>
        <w:rPr>
          <w:rFonts w:hint="eastAsia" w:ascii="宋体" w:hAnsi="宋体"/>
        </w:rPr>
        <w:fldChar w:fldCharType="separate"/>
      </w:r>
      <w:r>
        <w:rPr>
          <w:rFonts w:ascii="宋体" w:hAnsi="宋体"/>
        </w:rPr>
        <w:t>69</w:t>
      </w:r>
      <w:r>
        <w:rPr>
          <w:rFonts w:hint="eastAsia" w:ascii="宋体" w:hAnsi="宋体"/>
        </w:rPr>
        <w:fldChar w:fldCharType="end"/>
      </w:r>
    </w:p>
    <w:p w14:paraId="448D1F37">
      <w:pPr>
        <w:pStyle w:val="23"/>
        <w:tabs>
          <w:tab w:val="right" w:leader="dot" w:pos="8296"/>
        </w:tabs>
        <w:ind w:left="960"/>
        <w:rPr>
          <w:rFonts w:ascii="宋体" w:hAnsi="宋体"/>
          <w:sz w:val="21"/>
          <w:szCs w:val="22"/>
        </w:rPr>
      </w:pPr>
      <w:r>
        <w:rPr>
          <w:rFonts w:hint="eastAsia" w:ascii="宋体" w:hAnsi="宋体"/>
          <w:bCs/>
        </w:rPr>
        <w:t>8.6 提前预警</w:t>
      </w:r>
      <w:r>
        <w:rPr>
          <w:rFonts w:hint="eastAsia" w:ascii="宋体" w:hAnsi="宋体"/>
        </w:rPr>
        <w:tab/>
      </w:r>
      <w:r>
        <w:rPr>
          <w:rFonts w:hint="eastAsia" w:ascii="宋体" w:hAnsi="宋体"/>
        </w:rPr>
        <w:fldChar w:fldCharType="begin"/>
      </w:r>
      <w:r>
        <w:rPr>
          <w:rFonts w:hint="eastAsia" w:ascii="宋体" w:hAnsi="宋体"/>
        </w:rPr>
        <w:instrText xml:space="preserve"> PAGEREF _Toc54862253 \h </w:instrText>
      </w:r>
      <w:r>
        <w:rPr>
          <w:rFonts w:hint="eastAsia" w:ascii="宋体" w:hAnsi="宋体"/>
        </w:rPr>
        <w:fldChar w:fldCharType="separate"/>
      </w:r>
      <w:r>
        <w:rPr>
          <w:rFonts w:ascii="宋体" w:hAnsi="宋体"/>
        </w:rPr>
        <w:t>70</w:t>
      </w:r>
      <w:r>
        <w:rPr>
          <w:rFonts w:hint="eastAsia" w:ascii="宋体" w:hAnsi="宋体"/>
        </w:rPr>
        <w:fldChar w:fldCharType="end"/>
      </w:r>
    </w:p>
    <w:p w14:paraId="44EA2491">
      <w:pPr>
        <w:pStyle w:val="23"/>
        <w:tabs>
          <w:tab w:val="right" w:leader="dot" w:pos="8296"/>
        </w:tabs>
        <w:ind w:left="960"/>
        <w:rPr>
          <w:rFonts w:ascii="宋体" w:hAnsi="宋体"/>
          <w:sz w:val="21"/>
          <w:szCs w:val="22"/>
        </w:rPr>
      </w:pPr>
      <w:r>
        <w:rPr>
          <w:rFonts w:hint="eastAsia" w:ascii="宋体" w:hAnsi="宋体"/>
          <w:bCs/>
        </w:rPr>
        <w:t>8.7 工期延误</w:t>
      </w:r>
      <w:r>
        <w:rPr>
          <w:rFonts w:hint="eastAsia" w:ascii="宋体" w:hAnsi="宋体"/>
        </w:rPr>
        <w:tab/>
      </w:r>
      <w:r>
        <w:rPr>
          <w:rFonts w:hint="eastAsia" w:ascii="宋体" w:hAnsi="宋体"/>
        </w:rPr>
        <w:fldChar w:fldCharType="begin"/>
      </w:r>
      <w:r>
        <w:rPr>
          <w:rFonts w:hint="eastAsia" w:ascii="宋体" w:hAnsi="宋体"/>
        </w:rPr>
        <w:instrText xml:space="preserve"> PAGEREF _Toc54862254 \h </w:instrText>
      </w:r>
      <w:r>
        <w:rPr>
          <w:rFonts w:hint="eastAsia" w:ascii="宋体" w:hAnsi="宋体"/>
        </w:rPr>
        <w:fldChar w:fldCharType="separate"/>
      </w:r>
      <w:r>
        <w:rPr>
          <w:rFonts w:ascii="宋体" w:hAnsi="宋体"/>
        </w:rPr>
        <w:t>71</w:t>
      </w:r>
      <w:r>
        <w:rPr>
          <w:rFonts w:hint="eastAsia" w:ascii="宋体" w:hAnsi="宋体"/>
        </w:rPr>
        <w:fldChar w:fldCharType="end"/>
      </w:r>
    </w:p>
    <w:p w14:paraId="39E8F2D2">
      <w:pPr>
        <w:pStyle w:val="23"/>
        <w:tabs>
          <w:tab w:val="right" w:leader="dot" w:pos="8296"/>
        </w:tabs>
        <w:ind w:left="960"/>
        <w:rPr>
          <w:rFonts w:ascii="宋体" w:hAnsi="宋体"/>
          <w:sz w:val="21"/>
          <w:szCs w:val="22"/>
        </w:rPr>
      </w:pPr>
      <w:r>
        <w:rPr>
          <w:rFonts w:hint="eastAsia" w:ascii="宋体" w:hAnsi="宋体"/>
          <w:bCs/>
        </w:rPr>
        <w:t>8.8 工期提前</w:t>
      </w:r>
      <w:r>
        <w:rPr>
          <w:rFonts w:hint="eastAsia" w:ascii="宋体" w:hAnsi="宋体"/>
        </w:rPr>
        <w:tab/>
      </w:r>
      <w:r>
        <w:rPr>
          <w:rFonts w:hint="eastAsia" w:ascii="宋体" w:hAnsi="宋体"/>
        </w:rPr>
        <w:fldChar w:fldCharType="begin"/>
      </w:r>
      <w:r>
        <w:rPr>
          <w:rFonts w:hint="eastAsia" w:ascii="宋体" w:hAnsi="宋体"/>
        </w:rPr>
        <w:instrText xml:space="preserve"> PAGEREF _Toc54862255 \h </w:instrText>
      </w:r>
      <w:r>
        <w:rPr>
          <w:rFonts w:hint="eastAsia" w:ascii="宋体" w:hAnsi="宋体"/>
        </w:rPr>
        <w:fldChar w:fldCharType="separate"/>
      </w:r>
      <w:r>
        <w:rPr>
          <w:rFonts w:ascii="宋体" w:hAnsi="宋体"/>
        </w:rPr>
        <w:t>72</w:t>
      </w:r>
      <w:r>
        <w:rPr>
          <w:rFonts w:hint="eastAsia" w:ascii="宋体" w:hAnsi="宋体"/>
        </w:rPr>
        <w:fldChar w:fldCharType="end"/>
      </w:r>
    </w:p>
    <w:p w14:paraId="74FD2B96">
      <w:pPr>
        <w:pStyle w:val="23"/>
        <w:tabs>
          <w:tab w:val="right" w:leader="dot" w:pos="8296"/>
        </w:tabs>
        <w:ind w:left="960"/>
        <w:rPr>
          <w:rFonts w:ascii="宋体" w:hAnsi="宋体"/>
          <w:sz w:val="21"/>
          <w:szCs w:val="22"/>
        </w:rPr>
      </w:pPr>
      <w:r>
        <w:rPr>
          <w:rFonts w:hint="eastAsia" w:ascii="宋体" w:hAnsi="宋体"/>
          <w:bCs/>
        </w:rPr>
        <w:t>8.9 暂停工作</w:t>
      </w:r>
      <w:r>
        <w:rPr>
          <w:rFonts w:hint="eastAsia" w:ascii="宋体" w:hAnsi="宋体"/>
        </w:rPr>
        <w:tab/>
      </w:r>
      <w:r>
        <w:rPr>
          <w:rFonts w:hint="eastAsia" w:ascii="宋体" w:hAnsi="宋体"/>
        </w:rPr>
        <w:fldChar w:fldCharType="begin"/>
      </w:r>
      <w:r>
        <w:rPr>
          <w:rFonts w:hint="eastAsia" w:ascii="宋体" w:hAnsi="宋体"/>
        </w:rPr>
        <w:instrText xml:space="preserve"> PAGEREF _Toc54862256 \h </w:instrText>
      </w:r>
      <w:r>
        <w:rPr>
          <w:rFonts w:hint="eastAsia" w:ascii="宋体" w:hAnsi="宋体"/>
        </w:rPr>
        <w:fldChar w:fldCharType="separate"/>
      </w:r>
      <w:r>
        <w:rPr>
          <w:rFonts w:ascii="宋体" w:hAnsi="宋体"/>
        </w:rPr>
        <w:t>73</w:t>
      </w:r>
      <w:r>
        <w:rPr>
          <w:rFonts w:hint="eastAsia" w:ascii="宋体" w:hAnsi="宋体"/>
        </w:rPr>
        <w:fldChar w:fldCharType="end"/>
      </w:r>
    </w:p>
    <w:p w14:paraId="7E2B828D">
      <w:pPr>
        <w:pStyle w:val="23"/>
        <w:tabs>
          <w:tab w:val="right" w:leader="dot" w:pos="8296"/>
        </w:tabs>
        <w:ind w:left="960"/>
        <w:rPr>
          <w:rFonts w:ascii="宋体" w:hAnsi="宋体"/>
          <w:sz w:val="21"/>
          <w:szCs w:val="22"/>
        </w:rPr>
      </w:pPr>
      <w:r>
        <w:rPr>
          <w:rFonts w:hint="eastAsia" w:ascii="宋体" w:hAnsi="宋体"/>
          <w:bCs/>
        </w:rPr>
        <w:t>8.10 复工</w:t>
      </w:r>
      <w:r>
        <w:rPr>
          <w:rFonts w:hint="eastAsia" w:ascii="宋体" w:hAnsi="宋体"/>
        </w:rPr>
        <w:tab/>
      </w:r>
      <w:r>
        <w:rPr>
          <w:rFonts w:hint="eastAsia" w:ascii="宋体" w:hAnsi="宋体"/>
        </w:rPr>
        <w:fldChar w:fldCharType="begin"/>
      </w:r>
      <w:r>
        <w:rPr>
          <w:rFonts w:hint="eastAsia" w:ascii="宋体" w:hAnsi="宋体"/>
        </w:rPr>
        <w:instrText xml:space="preserve"> PAGEREF _Toc54862257 \h </w:instrText>
      </w:r>
      <w:r>
        <w:rPr>
          <w:rFonts w:hint="eastAsia" w:ascii="宋体" w:hAnsi="宋体"/>
        </w:rPr>
        <w:fldChar w:fldCharType="separate"/>
      </w:r>
      <w:r>
        <w:rPr>
          <w:rFonts w:ascii="宋体" w:hAnsi="宋体"/>
        </w:rPr>
        <w:t>75</w:t>
      </w:r>
      <w:r>
        <w:rPr>
          <w:rFonts w:hint="eastAsia" w:ascii="宋体" w:hAnsi="宋体"/>
        </w:rPr>
        <w:fldChar w:fldCharType="end"/>
      </w:r>
    </w:p>
    <w:p w14:paraId="44572FB4">
      <w:pPr>
        <w:pStyle w:val="37"/>
        <w:tabs>
          <w:tab w:val="right" w:leader="dot" w:pos="8296"/>
        </w:tabs>
        <w:ind w:left="480"/>
        <w:rPr>
          <w:rFonts w:ascii="宋体" w:hAnsi="宋体"/>
          <w:sz w:val="21"/>
          <w:szCs w:val="22"/>
        </w:rPr>
      </w:pPr>
      <w:r>
        <w:rPr>
          <w:rFonts w:hint="eastAsia" w:ascii="宋体" w:hAnsi="宋体"/>
          <w:bCs/>
        </w:rPr>
        <w:t>第9条 竣工试验</w:t>
      </w:r>
      <w:r>
        <w:rPr>
          <w:rFonts w:hint="eastAsia" w:ascii="宋体" w:hAnsi="宋体"/>
        </w:rPr>
        <w:tab/>
      </w:r>
      <w:r>
        <w:rPr>
          <w:rFonts w:hint="eastAsia" w:ascii="宋体" w:hAnsi="宋体"/>
        </w:rPr>
        <w:fldChar w:fldCharType="begin"/>
      </w:r>
      <w:r>
        <w:rPr>
          <w:rFonts w:hint="eastAsia" w:ascii="宋体" w:hAnsi="宋体"/>
        </w:rPr>
        <w:instrText xml:space="preserve"> PAGEREF _Toc54862258 \h </w:instrText>
      </w:r>
      <w:r>
        <w:rPr>
          <w:rFonts w:hint="eastAsia" w:ascii="宋体" w:hAnsi="宋体"/>
        </w:rPr>
        <w:fldChar w:fldCharType="separate"/>
      </w:r>
      <w:r>
        <w:rPr>
          <w:rFonts w:ascii="宋体" w:hAnsi="宋体"/>
        </w:rPr>
        <w:t>75</w:t>
      </w:r>
      <w:r>
        <w:rPr>
          <w:rFonts w:hint="eastAsia" w:ascii="宋体" w:hAnsi="宋体"/>
        </w:rPr>
        <w:fldChar w:fldCharType="end"/>
      </w:r>
    </w:p>
    <w:p w14:paraId="09031BE3">
      <w:pPr>
        <w:pStyle w:val="23"/>
        <w:tabs>
          <w:tab w:val="right" w:leader="dot" w:pos="8296"/>
        </w:tabs>
        <w:ind w:left="960"/>
        <w:rPr>
          <w:rFonts w:ascii="宋体" w:hAnsi="宋体"/>
          <w:sz w:val="21"/>
          <w:szCs w:val="22"/>
        </w:rPr>
      </w:pPr>
      <w:r>
        <w:rPr>
          <w:rFonts w:hint="eastAsia" w:ascii="宋体" w:hAnsi="宋体"/>
          <w:bCs/>
        </w:rPr>
        <w:t>9.1 竣工试验的义务</w:t>
      </w:r>
      <w:r>
        <w:rPr>
          <w:rFonts w:hint="eastAsia" w:ascii="宋体" w:hAnsi="宋体"/>
        </w:rPr>
        <w:tab/>
      </w:r>
      <w:r>
        <w:rPr>
          <w:rFonts w:hint="eastAsia" w:ascii="宋体" w:hAnsi="宋体"/>
        </w:rPr>
        <w:fldChar w:fldCharType="begin"/>
      </w:r>
      <w:r>
        <w:rPr>
          <w:rFonts w:hint="eastAsia" w:ascii="宋体" w:hAnsi="宋体"/>
        </w:rPr>
        <w:instrText xml:space="preserve"> PAGEREF _Toc54862259 \h </w:instrText>
      </w:r>
      <w:r>
        <w:rPr>
          <w:rFonts w:hint="eastAsia" w:ascii="宋体" w:hAnsi="宋体"/>
        </w:rPr>
        <w:fldChar w:fldCharType="separate"/>
      </w:r>
      <w:r>
        <w:rPr>
          <w:rFonts w:ascii="宋体" w:hAnsi="宋体"/>
        </w:rPr>
        <w:t>75</w:t>
      </w:r>
      <w:r>
        <w:rPr>
          <w:rFonts w:hint="eastAsia" w:ascii="宋体" w:hAnsi="宋体"/>
        </w:rPr>
        <w:fldChar w:fldCharType="end"/>
      </w:r>
    </w:p>
    <w:p w14:paraId="40D5D474">
      <w:pPr>
        <w:pStyle w:val="23"/>
        <w:tabs>
          <w:tab w:val="right" w:leader="dot" w:pos="8296"/>
        </w:tabs>
        <w:ind w:left="960"/>
        <w:rPr>
          <w:rFonts w:ascii="宋体" w:hAnsi="宋体"/>
          <w:sz w:val="21"/>
          <w:szCs w:val="22"/>
        </w:rPr>
      </w:pPr>
      <w:r>
        <w:rPr>
          <w:rFonts w:hint="eastAsia" w:ascii="宋体" w:hAnsi="宋体"/>
          <w:bCs/>
        </w:rPr>
        <w:t>9.2 延误的试验</w:t>
      </w:r>
      <w:r>
        <w:rPr>
          <w:rFonts w:hint="eastAsia" w:ascii="宋体" w:hAnsi="宋体"/>
        </w:rPr>
        <w:tab/>
      </w:r>
      <w:r>
        <w:rPr>
          <w:rFonts w:hint="eastAsia" w:ascii="宋体" w:hAnsi="宋体"/>
        </w:rPr>
        <w:fldChar w:fldCharType="begin"/>
      </w:r>
      <w:r>
        <w:rPr>
          <w:rFonts w:hint="eastAsia" w:ascii="宋体" w:hAnsi="宋体"/>
        </w:rPr>
        <w:instrText xml:space="preserve"> PAGEREF _Toc54862260 \h </w:instrText>
      </w:r>
      <w:r>
        <w:rPr>
          <w:rFonts w:hint="eastAsia" w:ascii="宋体" w:hAnsi="宋体"/>
        </w:rPr>
        <w:fldChar w:fldCharType="separate"/>
      </w:r>
      <w:r>
        <w:rPr>
          <w:rFonts w:ascii="宋体" w:hAnsi="宋体"/>
        </w:rPr>
        <w:t>77</w:t>
      </w:r>
      <w:r>
        <w:rPr>
          <w:rFonts w:hint="eastAsia" w:ascii="宋体" w:hAnsi="宋体"/>
        </w:rPr>
        <w:fldChar w:fldCharType="end"/>
      </w:r>
    </w:p>
    <w:p w14:paraId="381AC723">
      <w:pPr>
        <w:pStyle w:val="23"/>
        <w:tabs>
          <w:tab w:val="right" w:leader="dot" w:pos="8296"/>
        </w:tabs>
        <w:ind w:left="960"/>
        <w:rPr>
          <w:rFonts w:ascii="宋体" w:hAnsi="宋体"/>
          <w:sz w:val="21"/>
          <w:szCs w:val="22"/>
        </w:rPr>
      </w:pPr>
      <w:r>
        <w:rPr>
          <w:rFonts w:hint="eastAsia" w:ascii="宋体" w:hAnsi="宋体"/>
          <w:bCs/>
        </w:rPr>
        <w:t>9.3 重新试验</w:t>
      </w:r>
      <w:r>
        <w:rPr>
          <w:rFonts w:hint="eastAsia" w:ascii="宋体" w:hAnsi="宋体"/>
        </w:rPr>
        <w:tab/>
      </w:r>
      <w:r>
        <w:rPr>
          <w:rFonts w:hint="eastAsia" w:ascii="宋体" w:hAnsi="宋体"/>
        </w:rPr>
        <w:fldChar w:fldCharType="begin"/>
      </w:r>
      <w:r>
        <w:rPr>
          <w:rFonts w:hint="eastAsia" w:ascii="宋体" w:hAnsi="宋体"/>
        </w:rPr>
        <w:instrText xml:space="preserve"> PAGEREF _Toc54862261 \h </w:instrText>
      </w:r>
      <w:r>
        <w:rPr>
          <w:rFonts w:hint="eastAsia" w:ascii="宋体" w:hAnsi="宋体"/>
        </w:rPr>
        <w:fldChar w:fldCharType="separate"/>
      </w:r>
      <w:r>
        <w:rPr>
          <w:rFonts w:ascii="宋体" w:hAnsi="宋体"/>
        </w:rPr>
        <w:t>77</w:t>
      </w:r>
      <w:r>
        <w:rPr>
          <w:rFonts w:hint="eastAsia" w:ascii="宋体" w:hAnsi="宋体"/>
        </w:rPr>
        <w:fldChar w:fldCharType="end"/>
      </w:r>
    </w:p>
    <w:p w14:paraId="00478CB9">
      <w:pPr>
        <w:pStyle w:val="23"/>
        <w:tabs>
          <w:tab w:val="right" w:leader="dot" w:pos="8296"/>
        </w:tabs>
        <w:ind w:left="960"/>
        <w:rPr>
          <w:rFonts w:ascii="宋体" w:hAnsi="宋体"/>
          <w:sz w:val="21"/>
          <w:szCs w:val="22"/>
        </w:rPr>
      </w:pPr>
      <w:r>
        <w:rPr>
          <w:rFonts w:hint="eastAsia" w:ascii="宋体" w:hAnsi="宋体"/>
          <w:bCs/>
        </w:rPr>
        <w:t>9.4 未能通过竣工试验</w:t>
      </w:r>
      <w:r>
        <w:rPr>
          <w:rFonts w:hint="eastAsia" w:ascii="宋体" w:hAnsi="宋体"/>
        </w:rPr>
        <w:tab/>
      </w:r>
      <w:r>
        <w:rPr>
          <w:rFonts w:hint="eastAsia" w:ascii="宋体" w:hAnsi="宋体"/>
        </w:rPr>
        <w:fldChar w:fldCharType="begin"/>
      </w:r>
      <w:r>
        <w:rPr>
          <w:rFonts w:hint="eastAsia" w:ascii="宋体" w:hAnsi="宋体"/>
        </w:rPr>
        <w:instrText xml:space="preserve"> PAGEREF _Toc54862262 \h </w:instrText>
      </w:r>
      <w:r>
        <w:rPr>
          <w:rFonts w:hint="eastAsia" w:ascii="宋体" w:hAnsi="宋体"/>
        </w:rPr>
        <w:fldChar w:fldCharType="separate"/>
      </w:r>
      <w:r>
        <w:rPr>
          <w:rFonts w:ascii="宋体" w:hAnsi="宋体"/>
        </w:rPr>
        <w:t>78</w:t>
      </w:r>
      <w:r>
        <w:rPr>
          <w:rFonts w:hint="eastAsia" w:ascii="宋体" w:hAnsi="宋体"/>
        </w:rPr>
        <w:fldChar w:fldCharType="end"/>
      </w:r>
    </w:p>
    <w:p w14:paraId="3FD60ABA">
      <w:pPr>
        <w:pStyle w:val="37"/>
        <w:tabs>
          <w:tab w:val="right" w:leader="dot" w:pos="8296"/>
        </w:tabs>
        <w:ind w:left="480"/>
        <w:rPr>
          <w:rFonts w:ascii="宋体" w:hAnsi="宋体"/>
          <w:sz w:val="21"/>
          <w:szCs w:val="22"/>
        </w:rPr>
      </w:pPr>
      <w:r>
        <w:rPr>
          <w:rFonts w:hint="eastAsia" w:ascii="宋体" w:hAnsi="宋体"/>
          <w:bCs/>
        </w:rPr>
        <w:t>第10条 验收和工程接收</w:t>
      </w:r>
      <w:r>
        <w:rPr>
          <w:rFonts w:hint="eastAsia" w:ascii="宋体" w:hAnsi="宋体"/>
        </w:rPr>
        <w:tab/>
      </w:r>
      <w:r>
        <w:rPr>
          <w:rFonts w:hint="eastAsia" w:ascii="宋体" w:hAnsi="宋体"/>
        </w:rPr>
        <w:fldChar w:fldCharType="begin"/>
      </w:r>
      <w:r>
        <w:rPr>
          <w:rFonts w:hint="eastAsia" w:ascii="宋体" w:hAnsi="宋体"/>
        </w:rPr>
        <w:instrText xml:space="preserve"> PAGEREF _Toc54862263 \h </w:instrText>
      </w:r>
      <w:r>
        <w:rPr>
          <w:rFonts w:hint="eastAsia" w:ascii="宋体" w:hAnsi="宋体"/>
        </w:rPr>
        <w:fldChar w:fldCharType="separate"/>
      </w:r>
      <w:r>
        <w:rPr>
          <w:rFonts w:ascii="宋体" w:hAnsi="宋体"/>
        </w:rPr>
        <w:t>79</w:t>
      </w:r>
      <w:r>
        <w:rPr>
          <w:rFonts w:hint="eastAsia" w:ascii="宋体" w:hAnsi="宋体"/>
        </w:rPr>
        <w:fldChar w:fldCharType="end"/>
      </w:r>
    </w:p>
    <w:p w14:paraId="1927281D">
      <w:pPr>
        <w:pStyle w:val="23"/>
        <w:tabs>
          <w:tab w:val="right" w:leader="dot" w:pos="8296"/>
        </w:tabs>
        <w:ind w:left="960"/>
        <w:rPr>
          <w:rFonts w:ascii="宋体" w:hAnsi="宋体"/>
          <w:sz w:val="21"/>
          <w:szCs w:val="22"/>
        </w:rPr>
      </w:pPr>
      <w:r>
        <w:rPr>
          <w:rFonts w:hint="eastAsia" w:ascii="宋体" w:hAnsi="宋体"/>
          <w:bCs/>
        </w:rPr>
        <w:t>10.1 竣工验收</w:t>
      </w:r>
      <w:r>
        <w:rPr>
          <w:rFonts w:hint="eastAsia" w:ascii="宋体" w:hAnsi="宋体"/>
        </w:rPr>
        <w:tab/>
      </w:r>
      <w:r>
        <w:rPr>
          <w:rFonts w:hint="eastAsia" w:ascii="宋体" w:hAnsi="宋体"/>
        </w:rPr>
        <w:fldChar w:fldCharType="begin"/>
      </w:r>
      <w:r>
        <w:rPr>
          <w:rFonts w:hint="eastAsia" w:ascii="宋体" w:hAnsi="宋体"/>
        </w:rPr>
        <w:instrText xml:space="preserve"> PAGEREF _Toc54862264 \h </w:instrText>
      </w:r>
      <w:r>
        <w:rPr>
          <w:rFonts w:hint="eastAsia" w:ascii="宋体" w:hAnsi="宋体"/>
        </w:rPr>
        <w:fldChar w:fldCharType="separate"/>
      </w:r>
      <w:r>
        <w:rPr>
          <w:rFonts w:ascii="宋体" w:hAnsi="宋体"/>
        </w:rPr>
        <w:t>79</w:t>
      </w:r>
      <w:r>
        <w:rPr>
          <w:rFonts w:hint="eastAsia" w:ascii="宋体" w:hAnsi="宋体"/>
        </w:rPr>
        <w:fldChar w:fldCharType="end"/>
      </w:r>
    </w:p>
    <w:p w14:paraId="6575A3D8">
      <w:pPr>
        <w:pStyle w:val="23"/>
        <w:tabs>
          <w:tab w:val="right" w:leader="dot" w:pos="8296"/>
        </w:tabs>
        <w:ind w:left="960"/>
        <w:rPr>
          <w:rFonts w:ascii="宋体" w:hAnsi="宋体"/>
          <w:sz w:val="21"/>
          <w:szCs w:val="22"/>
        </w:rPr>
      </w:pPr>
      <w:r>
        <w:rPr>
          <w:rFonts w:hint="eastAsia" w:ascii="宋体" w:hAnsi="宋体"/>
          <w:bCs/>
        </w:rPr>
        <w:t>10.2 单位/区段工程的验收</w:t>
      </w:r>
      <w:r>
        <w:rPr>
          <w:rFonts w:hint="eastAsia" w:ascii="宋体" w:hAnsi="宋体"/>
        </w:rPr>
        <w:tab/>
      </w:r>
      <w:r>
        <w:rPr>
          <w:rFonts w:hint="eastAsia" w:ascii="宋体" w:hAnsi="宋体"/>
        </w:rPr>
        <w:fldChar w:fldCharType="begin"/>
      </w:r>
      <w:r>
        <w:rPr>
          <w:rFonts w:hint="eastAsia" w:ascii="宋体" w:hAnsi="宋体"/>
        </w:rPr>
        <w:instrText xml:space="preserve"> PAGEREF _Toc54862265 \h </w:instrText>
      </w:r>
      <w:r>
        <w:rPr>
          <w:rFonts w:hint="eastAsia" w:ascii="宋体" w:hAnsi="宋体"/>
        </w:rPr>
        <w:fldChar w:fldCharType="separate"/>
      </w:r>
      <w:r>
        <w:rPr>
          <w:rFonts w:ascii="宋体" w:hAnsi="宋体"/>
        </w:rPr>
        <w:t>81</w:t>
      </w:r>
      <w:r>
        <w:rPr>
          <w:rFonts w:hint="eastAsia" w:ascii="宋体" w:hAnsi="宋体"/>
        </w:rPr>
        <w:fldChar w:fldCharType="end"/>
      </w:r>
    </w:p>
    <w:p w14:paraId="079E4D08">
      <w:pPr>
        <w:pStyle w:val="23"/>
        <w:tabs>
          <w:tab w:val="right" w:leader="dot" w:pos="8296"/>
        </w:tabs>
        <w:ind w:left="960"/>
        <w:rPr>
          <w:rFonts w:ascii="宋体" w:hAnsi="宋体"/>
          <w:sz w:val="21"/>
          <w:szCs w:val="22"/>
        </w:rPr>
      </w:pPr>
      <w:r>
        <w:rPr>
          <w:rFonts w:hint="eastAsia" w:ascii="宋体" w:hAnsi="宋体"/>
          <w:bCs/>
        </w:rPr>
        <w:t>10.3 工程的接收</w:t>
      </w:r>
      <w:r>
        <w:rPr>
          <w:rFonts w:hint="eastAsia" w:ascii="宋体" w:hAnsi="宋体"/>
        </w:rPr>
        <w:tab/>
      </w:r>
      <w:r>
        <w:rPr>
          <w:rFonts w:hint="eastAsia" w:ascii="宋体" w:hAnsi="宋体"/>
        </w:rPr>
        <w:fldChar w:fldCharType="begin"/>
      </w:r>
      <w:r>
        <w:rPr>
          <w:rFonts w:hint="eastAsia" w:ascii="宋体" w:hAnsi="宋体"/>
        </w:rPr>
        <w:instrText xml:space="preserve"> PAGEREF _Toc54862266 \h </w:instrText>
      </w:r>
      <w:r>
        <w:rPr>
          <w:rFonts w:hint="eastAsia" w:ascii="宋体" w:hAnsi="宋体"/>
        </w:rPr>
        <w:fldChar w:fldCharType="separate"/>
      </w:r>
      <w:r>
        <w:rPr>
          <w:rFonts w:ascii="宋体" w:hAnsi="宋体"/>
        </w:rPr>
        <w:t>81</w:t>
      </w:r>
      <w:r>
        <w:rPr>
          <w:rFonts w:hint="eastAsia" w:ascii="宋体" w:hAnsi="宋体"/>
        </w:rPr>
        <w:fldChar w:fldCharType="end"/>
      </w:r>
    </w:p>
    <w:p w14:paraId="5EEDC358">
      <w:pPr>
        <w:pStyle w:val="23"/>
        <w:tabs>
          <w:tab w:val="right" w:leader="dot" w:pos="8296"/>
        </w:tabs>
        <w:ind w:left="960"/>
        <w:rPr>
          <w:rFonts w:ascii="宋体" w:hAnsi="宋体"/>
          <w:sz w:val="21"/>
          <w:szCs w:val="22"/>
        </w:rPr>
      </w:pPr>
      <w:r>
        <w:rPr>
          <w:rFonts w:hint="eastAsia" w:ascii="宋体" w:hAnsi="宋体"/>
          <w:bCs/>
        </w:rPr>
        <w:t>10.4 接收证书</w:t>
      </w:r>
      <w:r>
        <w:rPr>
          <w:rFonts w:hint="eastAsia" w:ascii="宋体" w:hAnsi="宋体"/>
        </w:rPr>
        <w:tab/>
      </w:r>
      <w:r>
        <w:rPr>
          <w:rFonts w:hint="eastAsia" w:ascii="宋体" w:hAnsi="宋体"/>
        </w:rPr>
        <w:fldChar w:fldCharType="begin"/>
      </w:r>
      <w:r>
        <w:rPr>
          <w:rFonts w:hint="eastAsia" w:ascii="宋体" w:hAnsi="宋体"/>
        </w:rPr>
        <w:instrText xml:space="preserve"> PAGEREF _Toc54862267 \h </w:instrText>
      </w:r>
      <w:r>
        <w:rPr>
          <w:rFonts w:hint="eastAsia" w:ascii="宋体" w:hAnsi="宋体"/>
        </w:rPr>
        <w:fldChar w:fldCharType="separate"/>
      </w:r>
      <w:r>
        <w:rPr>
          <w:rFonts w:ascii="宋体" w:hAnsi="宋体"/>
        </w:rPr>
        <w:t>82</w:t>
      </w:r>
      <w:r>
        <w:rPr>
          <w:rFonts w:hint="eastAsia" w:ascii="宋体" w:hAnsi="宋体"/>
        </w:rPr>
        <w:fldChar w:fldCharType="end"/>
      </w:r>
    </w:p>
    <w:p w14:paraId="3D9B7968">
      <w:pPr>
        <w:pStyle w:val="23"/>
        <w:tabs>
          <w:tab w:val="right" w:leader="dot" w:pos="8296"/>
        </w:tabs>
        <w:ind w:left="960"/>
        <w:rPr>
          <w:rFonts w:ascii="宋体" w:hAnsi="宋体"/>
          <w:sz w:val="21"/>
          <w:szCs w:val="22"/>
        </w:rPr>
      </w:pPr>
      <w:r>
        <w:rPr>
          <w:rFonts w:hint="eastAsia" w:ascii="宋体" w:hAnsi="宋体"/>
          <w:bCs/>
        </w:rPr>
        <w:t>10.5 竣工退场</w:t>
      </w:r>
      <w:r>
        <w:rPr>
          <w:rFonts w:hint="eastAsia" w:ascii="宋体" w:hAnsi="宋体"/>
        </w:rPr>
        <w:tab/>
      </w:r>
      <w:r>
        <w:rPr>
          <w:rFonts w:hint="eastAsia" w:ascii="宋体" w:hAnsi="宋体"/>
        </w:rPr>
        <w:fldChar w:fldCharType="begin"/>
      </w:r>
      <w:r>
        <w:rPr>
          <w:rFonts w:hint="eastAsia" w:ascii="宋体" w:hAnsi="宋体"/>
        </w:rPr>
        <w:instrText xml:space="preserve"> PAGEREF _Toc54862268 \h </w:instrText>
      </w:r>
      <w:r>
        <w:rPr>
          <w:rFonts w:hint="eastAsia" w:ascii="宋体" w:hAnsi="宋体"/>
        </w:rPr>
        <w:fldChar w:fldCharType="separate"/>
      </w:r>
      <w:r>
        <w:rPr>
          <w:rFonts w:ascii="宋体" w:hAnsi="宋体"/>
        </w:rPr>
        <w:t>83</w:t>
      </w:r>
      <w:r>
        <w:rPr>
          <w:rFonts w:hint="eastAsia" w:ascii="宋体" w:hAnsi="宋体"/>
        </w:rPr>
        <w:fldChar w:fldCharType="end"/>
      </w:r>
    </w:p>
    <w:p w14:paraId="33462D25">
      <w:pPr>
        <w:pStyle w:val="37"/>
        <w:tabs>
          <w:tab w:val="right" w:leader="dot" w:pos="8296"/>
        </w:tabs>
        <w:ind w:left="480"/>
        <w:rPr>
          <w:rFonts w:ascii="宋体" w:hAnsi="宋体"/>
          <w:sz w:val="21"/>
          <w:szCs w:val="22"/>
        </w:rPr>
      </w:pPr>
      <w:r>
        <w:rPr>
          <w:rFonts w:hint="eastAsia" w:ascii="宋体" w:hAnsi="宋体"/>
          <w:bCs/>
        </w:rPr>
        <w:t>第11条 缺陷责任与保修</w:t>
      </w:r>
      <w:r>
        <w:rPr>
          <w:rFonts w:hint="eastAsia" w:ascii="宋体" w:hAnsi="宋体"/>
        </w:rPr>
        <w:tab/>
      </w:r>
      <w:r>
        <w:rPr>
          <w:rFonts w:hint="eastAsia" w:ascii="宋体" w:hAnsi="宋体"/>
        </w:rPr>
        <w:fldChar w:fldCharType="begin"/>
      </w:r>
      <w:r>
        <w:rPr>
          <w:rFonts w:hint="eastAsia" w:ascii="宋体" w:hAnsi="宋体"/>
        </w:rPr>
        <w:instrText xml:space="preserve"> PAGEREF _Toc54862269 \h </w:instrText>
      </w:r>
      <w:r>
        <w:rPr>
          <w:rFonts w:hint="eastAsia" w:ascii="宋体" w:hAnsi="宋体"/>
        </w:rPr>
        <w:fldChar w:fldCharType="separate"/>
      </w:r>
      <w:r>
        <w:rPr>
          <w:rFonts w:ascii="宋体" w:hAnsi="宋体"/>
        </w:rPr>
        <w:t>84</w:t>
      </w:r>
      <w:r>
        <w:rPr>
          <w:rFonts w:hint="eastAsia" w:ascii="宋体" w:hAnsi="宋体"/>
        </w:rPr>
        <w:fldChar w:fldCharType="end"/>
      </w:r>
    </w:p>
    <w:p w14:paraId="5FA0ED8B">
      <w:pPr>
        <w:pStyle w:val="23"/>
        <w:tabs>
          <w:tab w:val="right" w:leader="dot" w:pos="8296"/>
        </w:tabs>
        <w:ind w:left="960"/>
        <w:rPr>
          <w:rFonts w:ascii="宋体" w:hAnsi="宋体"/>
          <w:sz w:val="21"/>
          <w:szCs w:val="22"/>
        </w:rPr>
      </w:pPr>
      <w:r>
        <w:rPr>
          <w:rFonts w:hint="eastAsia" w:ascii="宋体" w:hAnsi="宋体"/>
          <w:bCs/>
        </w:rPr>
        <w:t>11.1 工程保修的原则</w:t>
      </w:r>
      <w:r>
        <w:rPr>
          <w:rFonts w:hint="eastAsia" w:ascii="宋体" w:hAnsi="宋体"/>
        </w:rPr>
        <w:tab/>
      </w:r>
      <w:r>
        <w:rPr>
          <w:rFonts w:hint="eastAsia" w:ascii="宋体" w:hAnsi="宋体"/>
        </w:rPr>
        <w:fldChar w:fldCharType="begin"/>
      </w:r>
      <w:r>
        <w:rPr>
          <w:rFonts w:hint="eastAsia" w:ascii="宋体" w:hAnsi="宋体"/>
        </w:rPr>
        <w:instrText xml:space="preserve"> PAGEREF _Toc54862270 \h </w:instrText>
      </w:r>
      <w:r>
        <w:rPr>
          <w:rFonts w:hint="eastAsia" w:ascii="宋体" w:hAnsi="宋体"/>
        </w:rPr>
        <w:fldChar w:fldCharType="separate"/>
      </w:r>
      <w:r>
        <w:rPr>
          <w:rFonts w:ascii="宋体" w:hAnsi="宋体"/>
        </w:rPr>
        <w:t>84</w:t>
      </w:r>
      <w:r>
        <w:rPr>
          <w:rFonts w:hint="eastAsia" w:ascii="宋体" w:hAnsi="宋体"/>
        </w:rPr>
        <w:fldChar w:fldCharType="end"/>
      </w:r>
    </w:p>
    <w:p w14:paraId="15ACC69A">
      <w:pPr>
        <w:pStyle w:val="23"/>
        <w:tabs>
          <w:tab w:val="right" w:leader="dot" w:pos="8296"/>
        </w:tabs>
        <w:ind w:left="960"/>
        <w:rPr>
          <w:rFonts w:ascii="宋体" w:hAnsi="宋体"/>
          <w:sz w:val="21"/>
          <w:szCs w:val="22"/>
        </w:rPr>
      </w:pPr>
      <w:r>
        <w:rPr>
          <w:rFonts w:hint="eastAsia" w:ascii="宋体" w:hAnsi="宋体"/>
          <w:bCs/>
        </w:rPr>
        <w:t>11.2 缺陷责任期</w:t>
      </w:r>
      <w:r>
        <w:rPr>
          <w:rFonts w:hint="eastAsia" w:ascii="宋体" w:hAnsi="宋体"/>
        </w:rPr>
        <w:tab/>
      </w:r>
      <w:r>
        <w:rPr>
          <w:rFonts w:hint="eastAsia" w:ascii="宋体" w:hAnsi="宋体"/>
        </w:rPr>
        <w:fldChar w:fldCharType="begin"/>
      </w:r>
      <w:r>
        <w:rPr>
          <w:rFonts w:hint="eastAsia" w:ascii="宋体" w:hAnsi="宋体"/>
        </w:rPr>
        <w:instrText xml:space="preserve"> PAGEREF _Toc54862271 \h </w:instrText>
      </w:r>
      <w:r>
        <w:rPr>
          <w:rFonts w:hint="eastAsia" w:ascii="宋体" w:hAnsi="宋体"/>
        </w:rPr>
        <w:fldChar w:fldCharType="separate"/>
      </w:r>
      <w:r>
        <w:rPr>
          <w:rFonts w:ascii="宋体" w:hAnsi="宋体"/>
        </w:rPr>
        <w:t>84</w:t>
      </w:r>
      <w:r>
        <w:rPr>
          <w:rFonts w:hint="eastAsia" w:ascii="宋体" w:hAnsi="宋体"/>
        </w:rPr>
        <w:fldChar w:fldCharType="end"/>
      </w:r>
    </w:p>
    <w:p w14:paraId="5C7EBD3A">
      <w:pPr>
        <w:pStyle w:val="23"/>
        <w:tabs>
          <w:tab w:val="right" w:leader="dot" w:pos="8296"/>
        </w:tabs>
        <w:ind w:left="960"/>
        <w:rPr>
          <w:rFonts w:ascii="宋体" w:hAnsi="宋体"/>
          <w:sz w:val="21"/>
          <w:szCs w:val="22"/>
        </w:rPr>
      </w:pPr>
      <w:r>
        <w:rPr>
          <w:rFonts w:hint="eastAsia" w:ascii="宋体" w:hAnsi="宋体"/>
          <w:bCs/>
        </w:rPr>
        <w:t>11.3 缺陷调查</w:t>
      </w:r>
      <w:r>
        <w:rPr>
          <w:rFonts w:hint="eastAsia" w:ascii="宋体" w:hAnsi="宋体"/>
        </w:rPr>
        <w:tab/>
      </w:r>
      <w:r>
        <w:rPr>
          <w:rFonts w:hint="eastAsia" w:ascii="宋体" w:hAnsi="宋体"/>
        </w:rPr>
        <w:fldChar w:fldCharType="begin"/>
      </w:r>
      <w:r>
        <w:rPr>
          <w:rFonts w:hint="eastAsia" w:ascii="宋体" w:hAnsi="宋体"/>
        </w:rPr>
        <w:instrText xml:space="preserve"> PAGEREF _Toc54862272 \h </w:instrText>
      </w:r>
      <w:r>
        <w:rPr>
          <w:rFonts w:hint="eastAsia" w:ascii="宋体" w:hAnsi="宋体"/>
        </w:rPr>
        <w:fldChar w:fldCharType="separate"/>
      </w:r>
      <w:r>
        <w:rPr>
          <w:rFonts w:ascii="宋体" w:hAnsi="宋体"/>
        </w:rPr>
        <w:t>85</w:t>
      </w:r>
      <w:r>
        <w:rPr>
          <w:rFonts w:hint="eastAsia" w:ascii="宋体" w:hAnsi="宋体"/>
        </w:rPr>
        <w:fldChar w:fldCharType="end"/>
      </w:r>
    </w:p>
    <w:p w14:paraId="41279E80">
      <w:pPr>
        <w:pStyle w:val="23"/>
        <w:tabs>
          <w:tab w:val="right" w:leader="dot" w:pos="8296"/>
        </w:tabs>
        <w:ind w:left="960"/>
        <w:rPr>
          <w:rFonts w:ascii="宋体" w:hAnsi="宋体"/>
          <w:sz w:val="21"/>
          <w:szCs w:val="22"/>
        </w:rPr>
      </w:pPr>
      <w:r>
        <w:rPr>
          <w:rFonts w:hint="eastAsia" w:ascii="宋体" w:hAnsi="宋体"/>
          <w:bCs/>
        </w:rPr>
        <w:t>11.4 缺陷修复后的进一步试验</w:t>
      </w:r>
      <w:r>
        <w:rPr>
          <w:rFonts w:hint="eastAsia" w:ascii="宋体" w:hAnsi="宋体"/>
        </w:rPr>
        <w:tab/>
      </w:r>
      <w:r>
        <w:rPr>
          <w:rFonts w:hint="eastAsia" w:ascii="宋体" w:hAnsi="宋体"/>
        </w:rPr>
        <w:fldChar w:fldCharType="begin"/>
      </w:r>
      <w:r>
        <w:rPr>
          <w:rFonts w:hint="eastAsia" w:ascii="宋体" w:hAnsi="宋体"/>
        </w:rPr>
        <w:instrText xml:space="preserve"> PAGEREF _Toc54862273 \h </w:instrText>
      </w:r>
      <w:r>
        <w:rPr>
          <w:rFonts w:hint="eastAsia" w:ascii="宋体" w:hAnsi="宋体"/>
        </w:rPr>
        <w:fldChar w:fldCharType="separate"/>
      </w:r>
      <w:r>
        <w:rPr>
          <w:rFonts w:ascii="宋体" w:hAnsi="宋体"/>
        </w:rPr>
        <w:t>87</w:t>
      </w:r>
      <w:r>
        <w:rPr>
          <w:rFonts w:hint="eastAsia" w:ascii="宋体" w:hAnsi="宋体"/>
        </w:rPr>
        <w:fldChar w:fldCharType="end"/>
      </w:r>
    </w:p>
    <w:p w14:paraId="5AA46D69">
      <w:pPr>
        <w:pStyle w:val="23"/>
        <w:tabs>
          <w:tab w:val="right" w:leader="dot" w:pos="8296"/>
        </w:tabs>
        <w:ind w:left="960"/>
        <w:rPr>
          <w:rFonts w:ascii="宋体" w:hAnsi="宋体"/>
          <w:sz w:val="21"/>
          <w:szCs w:val="22"/>
        </w:rPr>
      </w:pPr>
      <w:r>
        <w:rPr>
          <w:rFonts w:hint="eastAsia" w:ascii="宋体" w:hAnsi="宋体"/>
          <w:bCs/>
        </w:rPr>
        <w:t>11.5 承包人出入权</w:t>
      </w:r>
      <w:r>
        <w:rPr>
          <w:rFonts w:hint="eastAsia" w:ascii="宋体" w:hAnsi="宋体"/>
        </w:rPr>
        <w:tab/>
      </w:r>
      <w:r>
        <w:rPr>
          <w:rFonts w:hint="eastAsia" w:ascii="宋体" w:hAnsi="宋体"/>
        </w:rPr>
        <w:fldChar w:fldCharType="begin"/>
      </w:r>
      <w:r>
        <w:rPr>
          <w:rFonts w:hint="eastAsia" w:ascii="宋体" w:hAnsi="宋体"/>
        </w:rPr>
        <w:instrText xml:space="preserve"> PAGEREF _Toc54862274 \h </w:instrText>
      </w:r>
      <w:r>
        <w:rPr>
          <w:rFonts w:hint="eastAsia" w:ascii="宋体" w:hAnsi="宋体"/>
        </w:rPr>
        <w:fldChar w:fldCharType="separate"/>
      </w:r>
      <w:r>
        <w:rPr>
          <w:rFonts w:ascii="宋体" w:hAnsi="宋体"/>
        </w:rPr>
        <w:t>87</w:t>
      </w:r>
      <w:r>
        <w:rPr>
          <w:rFonts w:hint="eastAsia" w:ascii="宋体" w:hAnsi="宋体"/>
        </w:rPr>
        <w:fldChar w:fldCharType="end"/>
      </w:r>
    </w:p>
    <w:p w14:paraId="1DA87F4A">
      <w:pPr>
        <w:pStyle w:val="23"/>
        <w:tabs>
          <w:tab w:val="right" w:leader="dot" w:pos="8296"/>
        </w:tabs>
        <w:ind w:left="960"/>
        <w:rPr>
          <w:rFonts w:ascii="宋体" w:hAnsi="宋体"/>
          <w:sz w:val="21"/>
          <w:szCs w:val="22"/>
        </w:rPr>
      </w:pPr>
      <w:r>
        <w:rPr>
          <w:rFonts w:hint="eastAsia" w:ascii="宋体" w:hAnsi="宋体"/>
          <w:bCs/>
        </w:rPr>
        <w:t>11.6 缺陷责任期终止证书</w:t>
      </w:r>
      <w:r>
        <w:rPr>
          <w:rFonts w:hint="eastAsia" w:ascii="宋体" w:hAnsi="宋体"/>
        </w:rPr>
        <w:tab/>
      </w:r>
      <w:r>
        <w:rPr>
          <w:rFonts w:hint="eastAsia" w:ascii="宋体" w:hAnsi="宋体"/>
        </w:rPr>
        <w:fldChar w:fldCharType="begin"/>
      </w:r>
      <w:r>
        <w:rPr>
          <w:rFonts w:hint="eastAsia" w:ascii="宋体" w:hAnsi="宋体"/>
        </w:rPr>
        <w:instrText xml:space="preserve"> PAGEREF _Toc54862275 \h </w:instrText>
      </w:r>
      <w:r>
        <w:rPr>
          <w:rFonts w:hint="eastAsia" w:ascii="宋体" w:hAnsi="宋体"/>
        </w:rPr>
        <w:fldChar w:fldCharType="separate"/>
      </w:r>
      <w:r>
        <w:rPr>
          <w:rFonts w:ascii="宋体" w:hAnsi="宋体"/>
        </w:rPr>
        <w:t>88</w:t>
      </w:r>
      <w:r>
        <w:rPr>
          <w:rFonts w:hint="eastAsia" w:ascii="宋体" w:hAnsi="宋体"/>
        </w:rPr>
        <w:fldChar w:fldCharType="end"/>
      </w:r>
    </w:p>
    <w:p w14:paraId="5B618163">
      <w:pPr>
        <w:pStyle w:val="23"/>
        <w:tabs>
          <w:tab w:val="right" w:leader="dot" w:pos="8296"/>
        </w:tabs>
        <w:ind w:left="960"/>
        <w:rPr>
          <w:rFonts w:ascii="宋体" w:hAnsi="宋体"/>
          <w:sz w:val="21"/>
          <w:szCs w:val="22"/>
        </w:rPr>
      </w:pPr>
      <w:r>
        <w:rPr>
          <w:rFonts w:hint="eastAsia" w:ascii="宋体" w:hAnsi="宋体"/>
          <w:bCs/>
        </w:rPr>
        <w:t>11.7 保修责任</w:t>
      </w:r>
      <w:r>
        <w:rPr>
          <w:rFonts w:hint="eastAsia" w:ascii="宋体" w:hAnsi="宋体"/>
        </w:rPr>
        <w:tab/>
      </w:r>
      <w:r>
        <w:rPr>
          <w:rFonts w:hint="eastAsia" w:ascii="宋体" w:hAnsi="宋体"/>
        </w:rPr>
        <w:fldChar w:fldCharType="begin"/>
      </w:r>
      <w:r>
        <w:rPr>
          <w:rFonts w:hint="eastAsia" w:ascii="宋体" w:hAnsi="宋体"/>
        </w:rPr>
        <w:instrText xml:space="preserve"> PAGEREF _Toc54862276 \h </w:instrText>
      </w:r>
      <w:r>
        <w:rPr>
          <w:rFonts w:hint="eastAsia" w:ascii="宋体" w:hAnsi="宋体"/>
        </w:rPr>
        <w:fldChar w:fldCharType="separate"/>
      </w:r>
      <w:r>
        <w:rPr>
          <w:rFonts w:ascii="宋体" w:hAnsi="宋体"/>
        </w:rPr>
        <w:t>88</w:t>
      </w:r>
      <w:r>
        <w:rPr>
          <w:rFonts w:hint="eastAsia" w:ascii="宋体" w:hAnsi="宋体"/>
        </w:rPr>
        <w:fldChar w:fldCharType="end"/>
      </w:r>
    </w:p>
    <w:p w14:paraId="5D4BA2F5">
      <w:pPr>
        <w:pStyle w:val="37"/>
        <w:tabs>
          <w:tab w:val="right" w:leader="dot" w:pos="8296"/>
        </w:tabs>
        <w:ind w:left="480"/>
        <w:rPr>
          <w:rFonts w:ascii="宋体" w:hAnsi="宋体"/>
          <w:sz w:val="21"/>
          <w:szCs w:val="22"/>
        </w:rPr>
      </w:pPr>
      <w:r>
        <w:rPr>
          <w:rFonts w:hint="eastAsia" w:ascii="宋体" w:hAnsi="宋体"/>
          <w:bCs/>
        </w:rPr>
        <w:t>第12条 竣工后试验</w:t>
      </w:r>
      <w:r>
        <w:rPr>
          <w:rFonts w:hint="eastAsia" w:ascii="宋体" w:hAnsi="宋体"/>
        </w:rPr>
        <w:tab/>
      </w:r>
      <w:r>
        <w:rPr>
          <w:rFonts w:hint="eastAsia" w:ascii="宋体" w:hAnsi="宋体"/>
        </w:rPr>
        <w:fldChar w:fldCharType="begin"/>
      </w:r>
      <w:r>
        <w:rPr>
          <w:rFonts w:hint="eastAsia" w:ascii="宋体" w:hAnsi="宋体"/>
        </w:rPr>
        <w:instrText xml:space="preserve"> PAGEREF _Toc54862277 \h </w:instrText>
      </w:r>
      <w:r>
        <w:rPr>
          <w:rFonts w:hint="eastAsia" w:ascii="宋体" w:hAnsi="宋体"/>
        </w:rPr>
        <w:fldChar w:fldCharType="separate"/>
      </w:r>
      <w:r>
        <w:rPr>
          <w:rFonts w:ascii="宋体" w:hAnsi="宋体"/>
        </w:rPr>
        <w:t>88</w:t>
      </w:r>
      <w:r>
        <w:rPr>
          <w:rFonts w:hint="eastAsia" w:ascii="宋体" w:hAnsi="宋体"/>
        </w:rPr>
        <w:fldChar w:fldCharType="end"/>
      </w:r>
    </w:p>
    <w:p w14:paraId="39EE5C46">
      <w:pPr>
        <w:pStyle w:val="23"/>
        <w:tabs>
          <w:tab w:val="right" w:leader="dot" w:pos="8296"/>
        </w:tabs>
        <w:ind w:left="960"/>
        <w:rPr>
          <w:rFonts w:ascii="宋体" w:hAnsi="宋体"/>
          <w:sz w:val="21"/>
          <w:szCs w:val="22"/>
        </w:rPr>
      </w:pPr>
      <w:r>
        <w:rPr>
          <w:rFonts w:hint="eastAsia" w:ascii="宋体" w:hAnsi="宋体"/>
          <w:bCs/>
        </w:rPr>
        <w:t>12.1 竣工后试验的程序</w:t>
      </w:r>
      <w:r>
        <w:rPr>
          <w:rFonts w:hint="eastAsia" w:ascii="宋体" w:hAnsi="宋体"/>
        </w:rPr>
        <w:tab/>
      </w:r>
      <w:r>
        <w:rPr>
          <w:rFonts w:hint="eastAsia" w:ascii="宋体" w:hAnsi="宋体"/>
        </w:rPr>
        <w:fldChar w:fldCharType="begin"/>
      </w:r>
      <w:r>
        <w:rPr>
          <w:rFonts w:hint="eastAsia" w:ascii="宋体" w:hAnsi="宋体"/>
        </w:rPr>
        <w:instrText xml:space="preserve"> PAGEREF _Toc54862278 \h </w:instrText>
      </w:r>
      <w:r>
        <w:rPr>
          <w:rFonts w:hint="eastAsia" w:ascii="宋体" w:hAnsi="宋体"/>
        </w:rPr>
        <w:fldChar w:fldCharType="separate"/>
      </w:r>
      <w:r>
        <w:rPr>
          <w:rFonts w:ascii="宋体" w:hAnsi="宋体"/>
        </w:rPr>
        <w:t>88</w:t>
      </w:r>
      <w:r>
        <w:rPr>
          <w:rFonts w:hint="eastAsia" w:ascii="宋体" w:hAnsi="宋体"/>
        </w:rPr>
        <w:fldChar w:fldCharType="end"/>
      </w:r>
    </w:p>
    <w:p w14:paraId="48625F9A">
      <w:pPr>
        <w:pStyle w:val="23"/>
        <w:tabs>
          <w:tab w:val="right" w:leader="dot" w:pos="8296"/>
        </w:tabs>
        <w:ind w:left="960"/>
        <w:rPr>
          <w:rFonts w:ascii="宋体" w:hAnsi="宋体"/>
          <w:sz w:val="21"/>
          <w:szCs w:val="22"/>
        </w:rPr>
      </w:pPr>
      <w:r>
        <w:rPr>
          <w:rFonts w:hint="eastAsia" w:ascii="宋体" w:hAnsi="宋体"/>
          <w:bCs/>
        </w:rPr>
        <w:t>12.2 延误的试验</w:t>
      </w:r>
      <w:r>
        <w:rPr>
          <w:rFonts w:hint="eastAsia" w:ascii="宋体" w:hAnsi="宋体"/>
        </w:rPr>
        <w:tab/>
      </w:r>
      <w:r>
        <w:rPr>
          <w:rFonts w:hint="eastAsia" w:ascii="宋体" w:hAnsi="宋体"/>
        </w:rPr>
        <w:fldChar w:fldCharType="begin"/>
      </w:r>
      <w:r>
        <w:rPr>
          <w:rFonts w:hint="eastAsia" w:ascii="宋体" w:hAnsi="宋体"/>
        </w:rPr>
        <w:instrText xml:space="preserve"> PAGEREF _Toc54862279 \h </w:instrText>
      </w:r>
      <w:r>
        <w:rPr>
          <w:rFonts w:hint="eastAsia" w:ascii="宋体" w:hAnsi="宋体"/>
        </w:rPr>
        <w:fldChar w:fldCharType="separate"/>
      </w:r>
      <w:r>
        <w:rPr>
          <w:rFonts w:ascii="宋体" w:hAnsi="宋体"/>
        </w:rPr>
        <w:t>89</w:t>
      </w:r>
      <w:r>
        <w:rPr>
          <w:rFonts w:hint="eastAsia" w:ascii="宋体" w:hAnsi="宋体"/>
        </w:rPr>
        <w:fldChar w:fldCharType="end"/>
      </w:r>
    </w:p>
    <w:p w14:paraId="0831F280">
      <w:pPr>
        <w:pStyle w:val="23"/>
        <w:tabs>
          <w:tab w:val="right" w:leader="dot" w:pos="8296"/>
        </w:tabs>
        <w:ind w:left="960"/>
        <w:rPr>
          <w:rFonts w:ascii="宋体" w:hAnsi="宋体"/>
          <w:sz w:val="21"/>
          <w:szCs w:val="22"/>
        </w:rPr>
      </w:pPr>
      <w:r>
        <w:rPr>
          <w:rFonts w:hint="eastAsia" w:ascii="宋体" w:hAnsi="宋体"/>
          <w:bCs/>
        </w:rPr>
        <w:t>12.3 重新试验</w:t>
      </w:r>
      <w:r>
        <w:rPr>
          <w:rFonts w:hint="eastAsia" w:ascii="宋体" w:hAnsi="宋体"/>
        </w:rPr>
        <w:tab/>
      </w:r>
      <w:r>
        <w:rPr>
          <w:rFonts w:hint="eastAsia" w:ascii="宋体" w:hAnsi="宋体"/>
        </w:rPr>
        <w:fldChar w:fldCharType="begin"/>
      </w:r>
      <w:r>
        <w:rPr>
          <w:rFonts w:hint="eastAsia" w:ascii="宋体" w:hAnsi="宋体"/>
        </w:rPr>
        <w:instrText xml:space="preserve"> PAGEREF _Toc54862280 \h </w:instrText>
      </w:r>
      <w:r>
        <w:rPr>
          <w:rFonts w:hint="eastAsia" w:ascii="宋体" w:hAnsi="宋体"/>
        </w:rPr>
        <w:fldChar w:fldCharType="separate"/>
      </w:r>
      <w:r>
        <w:rPr>
          <w:rFonts w:ascii="宋体" w:hAnsi="宋体"/>
        </w:rPr>
        <w:t>90</w:t>
      </w:r>
      <w:r>
        <w:rPr>
          <w:rFonts w:hint="eastAsia" w:ascii="宋体" w:hAnsi="宋体"/>
        </w:rPr>
        <w:fldChar w:fldCharType="end"/>
      </w:r>
    </w:p>
    <w:p w14:paraId="219CBC95">
      <w:pPr>
        <w:pStyle w:val="23"/>
        <w:tabs>
          <w:tab w:val="right" w:leader="dot" w:pos="8296"/>
        </w:tabs>
        <w:ind w:left="960"/>
        <w:rPr>
          <w:rFonts w:ascii="宋体" w:hAnsi="宋体"/>
          <w:sz w:val="21"/>
          <w:szCs w:val="22"/>
        </w:rPr>
      </w:pPr>
      <w:r>
        <w:rPr>
          <w:rFonts w:hint="eastAsia" w:ascii="宋体" w:hAnsi="宋体"/>
          <w:bCs/>
        </w:rPr>
        <w:t>12.4 未能通过竣工后试验</w:t>
      </w:r>
      <w:r>
        <w:rPr>
          <w:rFonts w:hint="eastAsia" w:ascii="宋体" w:hAnsi="宋体"/>
        </w:rPr>
        <w:tab/>
      </w:r>
      <w:r>
        <w:rPr>
          <w:rFonts w:hint="eastAsia" w:ascii="宋体" w:hAnsi="宋体"/>
        </w:rPr>
        <w:fldChar w:fldCharType="begin"/>
      </w:r>
      <w:r>
        <w:rPr>
          <w:rFonts w:hint="eastAsia" w:ascii="宋体" w:hAnsi="宋体"/>
        </w:rPr>
        <w:instrText xml:space="preserve"> PAGEREF _Toc54862281 \h </w:instrText>
      </w:r>
      <w:r>
        <w:rPr>
          <w:rFonts w:hint="eastAsia" w:ascii="宋体" w:hAnsi="宋体"/>
        </w:rPr>
        <w:fldChar w:fldCharType="separate"/>
      </w:r>
      <w:r>
        <w:rPr>
          <w:rFonts w:ascii="宋体" w:hAnsi="宋体"/>
        </w:rPr>
        <w:t>90</w:t>
      </w:r>
      <w:r>
        <w:rPr>
          <w:rFonts w:hint="eastAsia" w:ascii="宋体" w:hAnsi="宋体"/>
        </w:rPr>
        <w:fldChar w:fldCharType="end"/>
      </w:r>
    </w:p>
    <w:p w14:paraId="08326E0D">
      <w:pPr>
        <w:pStyle w:val="37"/>
        <w:tabs>
          <w:tab w:val="right" w:leader="dot" w:pos="8296"/>
        </w:tabs>
        <w:ind w:left="480"/>
        <w:rPr>
          <w:rFonts w:ascii="宋体" w:hAnsi="宋体"/>
          <w:sz w:val="21"/>
          <w:szCs w:val="22"/>
        </w:rPr>
      </w:pPr>
      <w:r>
        <w:rPr>
          <w:rFonts w:hint="eastAsia" w:ascii="宋体" w:hAnsi="宋体"/>
          <w:bCs/>
        </w:rPr>
        <w:t>第13条 变更与调整</w:t>
      </w:r>
      <w:r>
        <w:rPr>
          <w:rFonts w:hint="eastAsia" w:ascii="宋体" w:hAnsi="宋体"/>
        </w:rPr>
        <w:tab/>
      </w:r>
      <w:r>
        <w:rPr>
          <w:rFonts w:hint="eastAsia" w:ascii="宋体" w:hAnsi="宋体"/>
        </w:rPr>
        <w:fldChar w:fldCharType="begin"/>
      </w:r>
      <w:r>
        <w:rPr>
          <w:rFonts w:hint="eastAsia" w:ascii="宋体" w:hAnsi="宋体"/>
        </w:rPr>
        <w:instrText xml:space="preserve"> PAGEREF _Toc54862282 \h </w:instrText>
      </w:r>
      <w:r>
        <w:rPr>
          <w:rFonts w:hint="eastAsia" w:ascii="宋体" w:hAnsi="宋体"/>
        </w:rPr>
        <w:fldChar w:fldCharType="separate"/>
      </w:r>
      <w:r>
        <w:rPr>
          <w:rFonts w:ascii="宋体" w:hAnsi="宋体"/>
        </w:rPr>
        <w:t>91</w:t>
      </w:r>
      <w:r>
        <w:rPr>
          <w:rFonts w:hint="eastAsia" w:ascii="宋体" w:hAnsi="宋体"/>
        </w:rPr>
        <w:fldChar w:fldCharType="end"/>
      </w:r>
    </w:p>
    <w:p w14:paraId="6504E820">
      <w:pPr>
        <w:pStyle w:val="23"/>
        <w:tabs>
          <w:tab w:val="right" w:leader="dot" w:pos="8296"/>
        </w:tabs>
        <w:ind w:left="960"/>
        <w:rPr>
          <w:rFonts w:ascii="宋体" w:hAnsi="宋体"/>
          <w:sz w:val="21"/>
          <w:szCs w:val="22"/>
        </w:rPr>
      </w:pPr>
      <w:r>
        <w:rPr>
          <w:rFonts w:hint="eastAsia" w:ascii="宋体" w:hAnsi="宋体"/>
          <w:bCs/>
        </w:rPr>
        <w:t>13.1 发包人变更权</w:t>
      </w:r>
      <w:r>
        <w:rPr>
          <w:rFonts w:hint="eastAsia" w:ascii="宋体" w:hAnsi="宋体"/>
        </w:rPr>
        <w:tab/>
      </w:r>
      <w:r>
        <w:rPr>
          <w:rFonts w:hint="eastAsia" w:ascii="宋体" w:hAnsi="宋体"/>
        </w:rPr>
        <w:fldChar w:fldCharType="begin"/>
      </w:r>
      <w:r>
        <w:rPr>
          <w:rFonts w:hint="eastAsia" w:ascii="宋体" w:hAnsi="宋体"/>
        </w:rPr>
        <w:instrText xml:space="preserve"> PAGEREF _Toc54862283 \h </w:instrText>
      </w:r>
      <w:r>
        <w:rPr>
          <w:rFonts w:hint="eastAsia" w:ascii="宋体" w:hAnsi="宋体"/>
        </w:rPr>
        <w:fldChar w:fldCharType="separate"/>
      </w:r>
      <w:r>
        <w:rPr>
          <w:rFonts w:ascii="宋体" w:hAnsi="宋体"/>
        </w:rPr>
        <w:t>91</w:t>
      </w:r>
      <w:r>
        <w:rPr>
          <w:rFonts w:hint="eastAsia" w:ascii="宋体" w:hAnsi="宋体"/>
        </w:rPr>
        <w:fldChar w:fldCharType="end"/>
      </w:r>
    </w:p>
    <w:p w14:paraId="31EE7124">
      <w:pPr>
        <w:pStyle w:val="23"/>
        <w:tabs>
          <w:tab w:val="right" w:leader="dot" w:pos="8296"/>
        </w:tabs>
        <w:ind w:left="960"/>
        <w:rPr>
          <w:rFonts w:ascii="宋体" w:hAnsi="宋体"/>
          <w:sz w:val="21"/>
          <w:szCs w:val="22"/>
        </w:rPr>
      </w:pPr>
      <w:r>
        <w:rPr>
          <w:rFonts w:hint="eastAsia" w:ascii="宋体" w:hAnsi="宋体"/>
          <w:bCs/>
        </w:rPr>
        <w:t>13.2 承包人的合理化建议</w:t>
      </w:r>
      <w:r>
        <w:rPr>
          <w:rFonts w:hint="eastAsia" w:ascii="宋体" w:hAnsi="宋体"/>
        </w:rPr>
        <w:tab/>
      </w:r>
      <w:r>
        <w:rPr>
          <w:rFonts w:hint="eastAsia" w:ascii="宋体" w:hAnsi="宋体"/>
        </w:rPr>
        <w:fldChar w:fldCharType="begin"/>
      </w:r>
      <w:r>
        <w:rPr>
          <w:rFonts w:hint="eastAsia" w:ascii="宋体" w:hAnsi="宋体"/>
        </w:rPr>
        <w:instrText xml:space="preserve"> PAGEREF _Toc54862284 \h </w:instrText>
      </w:r>
      <w:r>
        <w:rPr>
          <w:rFonts w:hint="eastAsia" w:ascii="宋体" w:hAnsi="宋体"/>
        </w:rPr>
        <w:fldChar w:fldCharType="separate"/>
      </w:r>
      <w:r>
        <w:rPr>
          <w:rFonts w:ascii="宋体" w:hAnsi="宋体"/>
        </w:rPr>
        <w:t>91</w:t>
      </w:r>
      <w:r>
        <w:rPr>
          <w:rFonts w:hint="eastAsia" w:ascii="宋体" w:hAnsi="宋体"/>
        </w:rPr>
        <w:fldChar w:fldCharType="end"/>
      </w:r>
    </w:p>
    <w:p w14:paraId="0BFA7ADB">
      <w:pPr>
        <w:pStyle w:val="23"/>
        <w:tabs>
          <w:tab w:val="right" w:leader="dot" w:pos="8296"/>
        </w:tabs>
        <w:ind w:left="960"/>
        <w:rPr>
          <w:rFonts w:ascii="宋体" w:hAnsi="宋体"/>
          <w:sz w:val="21"/>
          <w:szCs w:val="22"/>
        </w:rPr>
      </w:pPr>
      <w:r>
        <w:rPr>
          <w:rFonts w:hint="eastAsia" w:ascii="宋体" w:hAnsi="宋体"/>
          <w:bCs/>
        </w:rPr>
        <w:t>13.3 变更程序</w:t>
      </w:r>
      <w:r>
        <w:rPr>
          <w:rFonts w:hint="eastAsia" w:ascii="宋体" w:hAnsi="宋体"/>
        </w:rPr>
        <w:tab/>
      </w:r>
      <w:r>
        <w:rPr>
          <w:rFonts w:hint="eastAsia" w:ascii="宋体" w:hAnsi="宋体"/>
        </w:rPr>
        <w:fldChar w:fldCharType="begin"/>
      </w:r>
      <w:r>
        <w:rPr>
          <w:rFonts w:hint="eastAsia" w:ascii="宋体" w:hAnsi="宋体"/>
        </w:rPr>
        <w:instrText xml:space="preserve"> PAGEREF _Toc54862285 \h </w:instrText>
      </w:r>
      <w:r>
        <w:rPr>
          <w:rFonts w:hint="eastAsia" w:ascii="宋体" w:hAnsi="宋体"/>
        </w:rPr>
        <w:fldChar w:fldCharType="separate"/>
      </w:r>
      <w:r>
        <w:rPr>
          <w:rFonts w:ascii="宋体" w:hAnsi="宋体"/>
        </w:rPr>
        <w:t>92</w:t>
      </w:r>
      <w:r>
        <w:rPr>
          <w:rFonts w:hint="eastAsia" w:ascii="宋体" w:hAnsi="宋体"/>
        </w:rPr>
        <w:fldChar w:fldCharType="end"/>
      </w:r>
    </w:p>
    <w:p w14:paraId="463B639A">
      <w:pPr>
        <w:pStyle w:val="23"/>
        <w:tabs>
          <w:tab w:val="right" w:leader="dot" w:pos="8296"/>
        </w:tabs>
        <w:ind w:left="960"/>
        <w:rPr>
          <w:rFonts w:ascii="宋体" w:hAnsi="宋体"/>
          <w:sz w:val="21"/>
          <w:szCs w:val="22"/>
        </w:rPr>
      </w:pPr>
      <w:r>
        <w:rPr>
          <w:rFonts w:hint="eastAsia" w:ascii="宋体" w:hAnsi="宋体"/>
          <w:bCs/>
        </w:rPr>
        <w:t>13.4 暂估价</w:t>
      </w:r>
      <w:r>
        <w:rPr>
          <w:rFonts w:hint="eastAsia" w:ascii="宋体" w:hAnsi="宋体"/>
        </w:rPr>
        <w:tab/>
      </w:r>
      <w:r>
        <w:rPr>
          <w:rFonts w:hint="eastAsia" w:ascii="宋体" w:hAnsi="宋体"/>
        </w:rPr>
        <w:fldChar w:fldCharType="begin"/>
      </w:r>
      <w:r>
        <w:rPr>
          <w:rFonts w:hint="eastAsia" w:ascii="宋体" w:hAnsi="宋体"/>
        </w:rPr>
        <w:instrText xml:space="preserve"> PAGEREF _Toc54862286 \h </w:instrText>
      </w:r>
      <w:r>
        <w:rPr>
          <w:rFonts w:hint="eastAsia" w:ascii="宋体" w:hAnsi="宋体"/>
        </w:rPr>
        <w:fldChar w:fldCharType="separate"/>
      </w:r>
      <w:r>
        <w:rPr>
          <w:rFonts w:ascii="宋体" w:hAnsi="宋体"/>
        </w:rPr>
        <w:t>94</w:t>
      </w:r>
      <w:r>
        <w:rPr>
          <w:rFonts w:hint="eastAsia" w:ascii="宋体" w:hAnsi="宋体"/>
        </w:rPr>
        <w:fldChar w:fldCharType="end"/>
      </w:r>
    </w:p>
    <w:p w14:paraId="474A3F1D">
      <w:pPr>
        <w:pStyle w:val="23"/>
        <w:tabs>
          <w:tab w:val="right" w:leader="dot" w:pos="8296"/>
        </w:tabs>
        <w:ind w:left="960"/>
        <w:rPr>
          <w:rFonts w:ascii="宋体" w:hAnsi="宋体"/>
          <w:sz w:val="21"/>
          <w:szCs w:val="22"/>
        </w:rPr>
      </w:pPr>
      <w:r>
        <w:rPr>
          <w:rFonts w:hint="eastAsia" w:ascii="宋体" w:hAnsi="宋体"/>
          <w:bCs/>
        </w:rPr>
        <w:t>13.5 暂列金额</w:t>
      </w:r>
      <w:r>
        <w:rPr>
          <w:rFonts w:hint="eastAsia" w:ascii="宋体" w:hAnsi="宋体"/>
        </w:rPr>
        <w:tab/>
      </w:r>
      <w:r>
        <w:rPr>
          <w:rFonts w:hint="eastAsia" w:ascii="宋体" w:hAnsi="宋体"/>
        </w:rPr>
        <w:fldChar w:fldCharType="begin"/>
      </w:r>
      <w:r>
        <w:rPr>
          <w:rFonts w:hint="eastAsia" w:ascii="宋体" w:hAnsi="宋体"/>
        </w:rPr>
        <w:instrText xml:space="preserve"> PAGEREF _Toc54862287 \h </w:instrText>
      </w:r>
      <w:r>
        <w:rPr>
          <w:rFonts w:hint="eastAsia" w:ascii="宋体" w:hAnsi="宋体"/>
        </w:rPr>
        <w:fldChar w:fldCharType="separate"/>
      </w:r>
      <w:r>
        <w:rPr>
          <w:rFonts w:ascii="宋体" w:hAnsi="宋体"/>
        </w:rPr>
        <w:t>95</w:t>
      </w:r>
      <w:r>
        <w:rPr>
          <w:rFonts w:hint="eastAsia" w:ascii="宋体" w:hAnsi="宋体"/>
        </w:rPr>
        <w:fldChar w:fldCharType="end"/>
      </w:r>
    </w:p>
    <w:p w14:paraId="33287FFB">
      <w:pPr>
        <w:pStyle w:val="23"/>
        <w:tabs>
          <w:tab w:val="right" w:leader="dot" w:pos="8296"/>
        </w:tabs>
        <w:ind w:left="960"/>
        <w:rPr>
          <w:rFonts w:ascii="宋体" w:hAnsi="宋体"/>
          <w:sz w:val="21"/>
          <w:szCs w:val="22"/>
        </w:rPr>
      </w:pPr>
      <w:r>
        <w:rPr>
          <w:rFonts w:hint="eastAsia" w:ascii="宋体" w:hAnsi="宋体"/>
          <w:bCs/>
        </w:rPr>
        <w:t>13.6 计日工</w:t>
      </w:r>
      <w:r>
        <w:rPr>
          <w:rFonts w:hint="eastAsia" w:ascii="宋体" w:hAnsi="宋体"/>
        </w:rPr>
        <w:tab/>
      </w:r>
      <w:r>
        <w:rPr>
          <w:rFonts w:hint="eastAsia" w:ascii="宋体" w:hAnsi="宋体"/>
        </w:rPr>
        <w:fldChar w:fldCharType="begin"/>
      </w:r>
      <w:r>
        <w:rPr>
          <w:rFonts w:hint="eastAsia" w:ascii="宋体" w:hAnsi="宋体"/>
        </w:rPr>
        <w:instrText xml:space="preserve"> PAGEREF _Toc54862288 \h </w:instrText>
      </w:r>
      <w:r>
        <w:rPr>
          <w:rFonts w:hint="eastAsia" w:ascii="宋体" w:hAnsi="宋体"/>
        </w:rPr>
        <w:fldChar w:fldCharType="separate"/>
      </w:r>
      <w:r>
        <w:rPr>
          <w:rFonts w:ascii="宋体" w:hAnsi="宋体"/>
        </w:rPr>
        <w:t>95</w:t>
      </w:r>
      <w:r>
        <w:rPr>
          <w:rFonts w:hint="eastAsia" w:ascii="宋体" w:hAnsi="宋体"/>
        </w:rPr>
        <w:fldChar w:fldCharType="end"/>
      </w:r>
    </w:p>
    <w:p w14:paraId="6B27783B">
      <w:pPr>
        <w:pStyle w:val="23"/>
        <w:tabs>
          <w:tab w:val="right" w:leader="dot" w:pos="8296"/>
        </w:tabs>
        <w:ind w:left="960"/>
        <w:rPr>
          <w:rFonts w:ascii="宋体" w:hAnsi="宋体"/>
          <w:sz w:val="21"/>
          <w:szCs w:val="22"/>
        </w:rPr>
      </w:pPr>
      <w:r>
        <w:rPr>
          <w:rFonts w:hint="eastAsia" w:ascii="宋体" w:hAnsi="宋体"/>
          <w:bCs/>
        </w:rPr>
        <w:t>13.7 法律变化引起的调整</w:t>
      </w:r>
      <w:r>
        <w:rPr>
          <w:rFonts w:hint="eastAsia" w:ascii="宋体" w:hAnsi="宋体"/>
        </w:rPr>
        <w:tab/>
      </w:r>
      <w:r>
        <w:rPr>
          <w:rFonts w:hint="eastAsia" w:ascii="宋体" w:hAnsi="宋体"/>
        </w:rPr>
        <w:fldChar w:fldCharType="begin"/>
      </w:r>
      <w:r>
        <w:rPr>
          <w:rFonts w:hint="eastAsia" w:ascii="宋体" w:hAnsi="宋体"/>
        </w:rPr>
        <w:instrText xml:space="preserve"> PAGEREF _Toc54862289 \h </w:instrText>
      </w:r>
      <w:r>
        <w:rPr>
          <w:rFonts w:hint="eastAsia" w:ascii="宋体" w:hAnsi="宋体"/>
        </w:rPr>
        <w:fldChar w:fldCharType="separate"/>
      </w:r>
      <w:r>
        <w:rPr>
          <w:rFonts w:ascii="宋体" w:hAnsi="宋体"/>
        </w:rPr>
        <w:t>96</w:t>
      </w:r>
      <w:r>
        <w:rPr>
          <w:rFonts w:hint="eastAsia" w:ascii="宋体" w:hAnsi="宋体"/>
        </w:rPr>
        <w:fldChar w:fldCharType="end"/>
      </w:r>
    </w:p>
    <w:p w14:paraId="5536287A">
      <w:pPr>
        <w:pStyle w:val="23"/>
        <w:tabs>
          <w:tab w:val="right" w:leader="dot" w:pos="8296"/>
        </w:tabs>
        <w:ind w:left="960"/>
        <w:rPr>
          <w:rFonts w:ascii="宋体" w:hAnsi="宋体"/>
          <w:sz w:val="21"/>
          <w:szCs w:val="22"/>
        </w:rPr>
      </w:pPr>
      <w:r>
        <w:rPr>
          <w:rFonts w:hint="eastAsia" w:ascii="宋体" w:hAnsi="宋体"/>
          <w:bCs/>
        </w:rPr>
        <w:t>13.8 市场价格波动引起的调整</w:t>
      </w:r>
      <w:r>
        <w:rPr>
          <w:rFonts w:hint="eastAsia" w:ascii="宋体" w:hAnsi="宋体"/>
        </w:rPr>
        <w:tab/>
      </w:r>
      <w:r>
        <w:rPr>
          <w:rFonts w:hint="eastAsia" w:ascii="宋体" w:hAnsi="宋体"/>
        </w:rPr>
        <w:fldChar w:fldCharType="begin"/>
      </w:r>
      <w:r>
        <w:rPr>
          <w:rFonts w:hint="eastAsia" w:ascii="宋体" w:hAnsi="宋体"/>
        </w:rPr>
        <w:instrText xml:space="preserve"> PAGEREF _Toc54862290 \h </w:instrText>
      </w:r>
      <w:r>
        <w:rPr>
          <w:rFonts w:hint="eastAsia" w:ascii="宋体" w:hAnsi="宋体"/>
        </w:rPr>
        <w:fldChar w:fldCharType="separate"/>
      </w:r>
      <w:r>
        <w:rPr>
          <w:rFonts w:ascii="宋体" w:hAnsi="宋体"/>
        </w:rPr>
        <w:t>97</w:t>
      </w:r>
      <w:r>
        <w:rPr>
          <w:rFonts w:hint="eastAsia" w:ascii="宋体" w:hAnsi="宋体"/>
        </w:rPr>
        <w:fldChar w:fldCharType="end"/>
      </w:r>
    </w:p>
    <w:p w14:paraId="0249A32D">
      <w:pPr>
        <w:pStyle w:val="37"/>
        <w:tabs>
          <w:tab w:val="right" w:leader="dot" w:pos="8296"/>
        </w:tabs>
        <w:ind w:left="480"/>
        <w:rPr>
          <w:rFonts w:ascii="宋体" w:hAnsi="宋体"/>
          <w:sz w:val="21"/>
          <w:szCs w:val="22"/>
        </w:rPr>
      </w:pPr>
      <w:r>
        <w:rPr>
          <w:rFonts w:hint="eastAsia" w:ascii="宋体" w:hAnsi="宋体"/>
          <w:bCs/>
        </w:rPr>
        <w:t>第14条 合同价格与支付</w:t>
      </w:r>
      <w:r>
        <w:rPr>
          <w:rFonts w:hint="eastAsia" w:ascii="宋体" w:hAnsi="宋体"/>
        </w:rPr>
        <w:tab/>
      </w:r>
      <w:r>
        <w:rPr>
          <w:rFonts w:hint="eastAsia" w:ascii="宋体" w:hAnsi="宋体"/>
        </w:rPr>
        <w:fldChar w:fldCharType="begin"/>
      </w:r>
      <w:r>
        <w:rPr>
          <w:rFonts w:hint="eastAsia" w:ascii="宋体" w:hAnsi="宋体"/>
        </w:rPr>
        <w:instrText xml:space="preserve"> PAGEREF _Toc54862291 \h </w:instrText>
      </w:r>
      <w:r>
        <w:rPr>
          <w:rFonts w:hint="eastAsia" w:ascii="宋体" w:hAnsi="宋体"/>
        </w:rPr>
        <w:fldChar w:fldCharType="separate"/>
      </w:r>
      <w:r>
        <w:rPr>
          <w:rFonts w:ascii="宋体" w:hAnsi="宋体"/>
        </w:rPr>
        <w:t>99</w:t>
      </w:r>
      <w:r>
        <w:rPr>
          <w:rFonts w:hint="eastAsia" w:ascii="宋体" w:hAnsi="宋体"/>
        </w:rPr>
        <w:fldChar w:fldCharType="end"/>
      </w:r>
    </w:p>
    <w:p w14:paraId="09E810FB">
      <w:pPr>
        <w:pStyle w:val="23"/>
        <w:tabs>
          <w:tab w:val="right" w:leader="dot" w:pos="8296"/>
        </w:tabs>
        <w:ind w:left="960"/>
        <w:rPr>
          <w:rFonts w:ascii="宋体" w:hAnsi="宋体"/>
          <w:sz w:val="21"/>
          <w:szCs w:val="22"/>
        </w:rPr>
      </w:pPr>
      <w:r>
        <w:rPr>
          <w:rFonts w:hint="eastAsia" w:ascii="宋体" w:hAnsi="宋体"/>
          <w:bCs/>
        </w:rPr>
        <w:t>14.1 合同价格形式</w:t>
      </w:r>
      <w:r>
        <w:rPr>
          <w:rFonts w:hint="eastAsia" w:ascii="宋体" w:hAnsi="宋体"/>
        </w:rPr>
        <w:tab/>
      </w:r>
      <w:r>
        <w:rPr>
          <w:rFonts w:hint="eastAsia" w:ascii="宋体" w:hAnsi="宋体"/>
        </w:rPr>
        <w:fldChar w:fldCharType="begin"/>
      </w:r>
      <w:r>
        <w:rPr>
          <w:rFonts w:hint="eastAsia" w:ascii="宋体" w:hAnsi="宋体"/>
        </w:rPr>
        <w:instrText xml:space="preserve"> PAGEREF _Toc54862292 \h </w:instrText>
      </w:r>
      <w:r>
        <w:rPr>
          <w:rFonts w:hint="eastAsia" w:ascii="宋体" w:hAnsi="宋体"/>
        </w:rPr>
        <w:fldChar w:fldCharType="separate"/>
      </w:r>
      <w:r>
        <w:rPr>
          <w:rFonts w:ascii="宋体" w:hAnsi="宋体"/>
        </w:rPr>
        <w:t>99</w:t>
      </w:r>
      <w:r>
        <w:rPr>
          <w:rFonts w:hint="eastAsia" w:ascii="宋体" w:hAnsi="宋体"/>
        </w:rPr>
        <w:fldChar w:fldCharType="end"/>
      </w:r>
    </w:p>
    <w:p w14:paraId="688388D4">
      <w:pPr>
        <w:pStyle w:val="23"/>
        <w:tabs>
          <w:tab w:val="right" w:leader="dot" w:pos="8296"/>
        </w:tabs>
        <w:ind w:left="960"/>
        <w:rPr>
          <w:rFonts w:ascii="宋体" w:hAnsi="宋体"/>
          <w:sz w:val="21"/>
          <w:szCs w:val="22"/>
        </w:rPr>
      </w:pPr>
      <w:r>
        <w:rPr>
          <w:rFonts w:hint="eastAsia" w:ascii="宋体" w:hAnsi="宋体"/>
          <w:bCs/>
        </w:rPr>
        <w:t>14.2 预付款</w:t>
      </w:r>
      <w:r>
        <w:rPr>
          <w:rFonts w:hint="eastAsia" w:ascii="宋体" w:hAnsi="宋体"/>
        </w:rPr>
        <w:tab/>
      </w:r>
      <w:r>
        <w:rPr>
          <w:rFonts w:hint="eastAsia" w:ascii="宋体" w:hAnsi="宋体"/>
        </w:rPr>
        <w:fldChar w:fldCharType="begin"/>
      </w:r>
      <w:r>
        <w:rPr>
          <w:rFonts w:hint="eastAsia" w:ascii="宋体" w:hAnsi="宋体"/>
        </w:rPr>
        <w:instrText xml:space="preserve"> PAGEREF _Toc54862293 \h </w:instrText>
      </w:r>
      <w:r>
        <w:rPr>
          <w:rFonts w:hint="eastAsia" w:ascii="宋体" w:hAnsi="宋体"/>
        </w:rPr>
        <w:fldChar w:fldCharType="separate"/>
      </w:r>
      <w:r>
        <w:rPr>
          <w:rFonts w:ascii="宋体" w:hAnsi="宋体"/>
        </w:rPr>
        <w:t>100</w:t>
      </w:r>
      <w:r>
        <w:rPr>
          <w:rFonts w:hint="eastAsia" w:ascii="宋体" w:hAnsi="宋体"/>
        </w:rPr>
        <w:fldChar w:fldCharType="end"/>
      </w:r>
    </w:p>
    <w:p w14:paraId="5BC2AFAE">
      <w:pPr>
        <w:pStyle w:val="23"/>
        <w:tabs>
          <w:tab w:val="right" w:leader="dot" w:pos="8296"/>
        </w:tabs>
        <w:ind w:left="960"/>
        <w:rPr>
          <w:rFonts w:ascii="宋体" w:hAnsi="宋体"/>
          <w:sz w:val="21"/>
          <w:szCs w:val="22"/>
        </w:rPr>
      </w:pPr>
      <w:r>
        <w:rPr>
          <w:rFonts w:hint="eastAsia" w:ascii="宋体" w:hAnsi="宋体"/>
          <w:bCs/>
        </w:rPr>
        <w:t>14.3 工程进度款</w:t>
      </w:r>
      <w:r>
        <w:rPr>
          <w:rFonts w:hint="eastAsia" w:ascii="宋体" w:hAnsi="宋体"/>
        </w:rPr>
        <w:tab/>
      </w:r>
      <w:r>
        <w:rPr>
          <w:rFonts w:hint="eastAsia" w:ascii="宋体" w:hAnsi="宋体"/>
        </w:rPr>
        <w:fldChar w:fldCharType="begin"/>
      </w:r>
      <w:r>
        <w:rPr>
          <w:rFonts w:hint="eastAsia" w:ascii="宋体" w:hAnsi="宋体"/>
        </w:rPr>
        <w:instrText xml:space="preserve"> PAGEREF _Toc54862294 \h </w:instrText>
      </w:r>
      <w:r>
        <w:rPr>
          <w:rFonts w:hint="eastAsia" w:ascii="宋体" w:hAnsi="宋体"/>
        </w:rPr>
        <w:fldChar w:fldCharType="separate"/>
      </w:r>
      <w:r>
        <w:rPr>
          <w:rFonts w:ascii="宋体" w:hAnsi="宋体"/>
        </w:rPr>
        <w:t>101</w:t>
      </w:r>
      <w:r>
        <w:rPr>
          <w:rFonts w:hint="eastAsia" w:ascii="宋体" w:hAnsi="宋体"/>
        </w:rPr>
        <w:fldChar w:fldCharType="end"/>
      </w:r>
    </w:p>
    <w:p w14:paraId="6C05B1B6">
      <w:pPr>
        <w:pStyle w:val="23"/>
        <w:tabs>
          <w:tab w:val="right" w:leader="dot" w:pos="8296"/>
        </w:tabs>
        <w:ind w:left="960"/>
        <w:rPr>
          <w:rFonts w:ascii="宋体" w:hAnsi="宋体"/>
          <w:sz w:val="21"/>
          <w:szCs w:val="22"/>
        </w:rPr>
      </w:pPr>
      <w:r>
        <w:rPr>
          <w:rFonts w:hint="eastAsia" w:ascii="宋体" w:hAnsi="宋体"/>
          <w:bCs/>
        </w:rPr>
        <w:t>14.4 付款计划表</w:t>
      </w:r>
      <w:r>
        <w:rPr>
          <w:rFonts w:hint="eastAsia" w:ascii="宋体" w:hAnsi="宋体"/>
        </w:rPr>
        <w:tab/>
      </w:r>
      <w:r>
        <w:rPr>
          <w:rFonts w:hint="eastAsia" w:ascii="宋体" w:hAnsi="宋体"/>
        </w:rPr>
        <w:fldChar w:fldCharType="begin"/>
      </w:r>
      <w:r>
        <w:rPr>
          <w:rFonts w:hint="eastAsia" w:ascii="宋体" w:hAnsi="宋体"/>
        </w:rPr>
        <w:instrText xml:space="preserve"> PAGEREF _Toc54862295 \h </w:instrText>
      </w:r>
      <w:r>
        <w:rPr>
          <w:rFonts w:hint="eastAsia" w:ascii="宋体" w:hAnsi="宋体"/>
        </w:rPr>
        <w:fldChar w:fldCharType="separate"/>
      </w:r>
      <w:r>
        <w:rPr>
          <w:rFonts w:ascii="宋体" w:hAnsi="宋体"/>
        </w:rPr>
        <w:t>103</w:t>
      </w:r>
      <w:r>
        <w:rPr>
          <w:rFonts w:hint="eastAsia" w:ascii="宋体" w:hAnsi="宋体"/>
        </w:rPr>
        <w:fldChar w:fldCharType="end"/>
      </w:r>
    </w:p>
    <w:p w14:paraId="7107C0DB">
      <w:pPr>
        <w:pStyle w:val="23"/>
        <w:tabs>
          <w:tab w:val="right" w:leader="dot" w:pos="8296"/>
        </w:tabs>
        <w:ind w:left="960"/>
        <w:rPr>
          <w:rFonts w:ascii="宋体" w:hAnsi="宋体"/>
          <w:sz w:val="21"/>
          <w:szCs w:val="22"/>
        </w:rPr>
      </w:pPr>
      <w:r>
        <w:rPr>
          <w:rFonts w:hint="eastAsia" w:ascii="宋体" w:hAnsi="宋体"/>
          <w:bCs/>
        </w:rPr>
        <w:t>14.5 竣工结算</w:t>
      </w:r>
      <w:r>
        <w:rPr>
          <w:rFonts w:hint="eastAsia" w:ascii="宋体" w:hAnsi="宋体"/>
        </w:rPr>
        <w:tab/>
      </w:r>
      <w:r>
        <w:rPr>
          <w:rFonts w:hint="eastAsia" w:ascii="宋体" w:hAnsi="宋体"/>
        </w:rPr>
        <w:fldChar w:fldCharType="begin"/>
      </w:r>
      <w:r>
        <w:rPr>
          <w:rFonts w:hint="eastAsia" w:ascii="宋体" w:hAnsi="宋体"/>
        </w:rPr>
        <w:instrText xml:space="preserve"> PAGEREF _Toc54862296 \h </w:instrText>
      </w:r>
      <w:r>
        <w:rPr>
          <w:rFonts w:hint="eastAsia" w:ascii="宋体" w:hAnsi="宋体"/>
        </w:rPr>
        <w:fldChar w:fldCharType="separate"/>
      </w:r>
      <w:r>
        <w:rPr>
          <w:rFonts w:ascii="宋体" w:hAnsi="宋体"/>
        </w:rPr>
        <w:t>104</w:t>
      </w:r>
      <w:r>
        <w:rPr>
          <w:rFonts w:hint="eastAsia" w:ascii="宋体" w:hAnsi="宋体"/>
        </w:rPr>
        <w:fldChar w:fldCharType="end"/>
      </w:r>
    </w:p>
    <w:p w14:paraId="1B9747C7">
      <w:pPr>
        <w:pStyle w:val="23"/>
        <w:tabs>
          <w:tab w:val="right" w:leader="dot" w:pos="8296"/>
        </w:tabs>
        <w:ind w:left="960"/>
        <w:rPr>
          <w:rFonts w:ascii="宋体" w:hAnsi="宋体"/>
          <w:sz w:val="21"/>
          <w:szCs w:val="22"/>
        </w:rPr>
      </w:pPr>
      <w:r>
        <w:rPr>
          <w:rFonts w:hint="eastAsia" w:ascii="宋体" w:hAnsi="宋体"/>
          <w:bCs/>
        </w:rPr>
        <w:t>14.6 质量保证金</w:t>
      </w:r>
      <w:r>
        <w:rPr>
          <w:rFonts w:hint="eastAsia" w:ascii="宋体" w:hAnsi="宋体"/>
        </w:rPr>
        <w:tab/>
      </w:r>
      <w:r>
        <w:rPr>
          <w:rFonts w:hint="eastAsia" w:ascii="宋体" w:hAnsi="宋体"/>
        </w:rPr>
        <w:fldChar w:fldCharType="begin"/>
      </w:r>
      <w:r>
        <w:rPr>
          <w:rFonts w:hint="eastAsia" w:ascii="宋体" w:hAnsi="宋体"/>
        </w:rPr>
        <w:instrText xml:space="preserve"> PAGEREF _Toc54862297 \h </w:instrText>
      </w:r>
      <w:r>
        <w:rPr>
          <w:rFonts w:hint="eastAsia" w:ascii="宋体" w:hAnsi="宋体"/>
        </w:rPr>
        <w:fldChar w:fldCharType="separate"/>
      </w:r>
      <w:r>
        <w:rPr>
          <w:rFonts w:ascii="宋体" w:hAnsi="宋体"/>
        </w:rPr>
        <w:t>106</w:t>
      </w:r>
      <w:r>
        <w:rPr>
          <w:rFonts w:hint="eastAsia" w:ascii="宋体" w:hAnsi="宋体"/>
        </w:rPr>
        <w:fldChar w:fldCharType="end"/>
      </w:r>
    </w:p>
    <w:p w14:paraId="1434FCD1">
      <w:pPr>
        <w:pStyle w:val="23"/>
        <w:tabs>
          <w:tab w:val="right" w:leader="dot" w:pos="8296"/>
        </w:tabs>
        <w:ind w:left="960"/>
        <w:rPr>
          <w:rFonts w:ascii="宋体" w:hAnsi="宋体"/>
          <w:sz w:val="21"/>
          <w:szCs w:val="22"/>
        </w:rPr>
      </w:pPr>
      <w:r>
        <w:rPr>
          <w:rFonts w:hint="eastAsia" w:ascii="宋体" w:hAnsi="宋体"/>
          <w:bCs/>
        </w:rPr>
        <w:t>14.7 最终结清</w:t>
      </w:r>
      <w:r>
        <w:rPr>
          <w:rFonts w:hint="eastAsia" w:ascii="宋体" w:hAnsi="宋体"/>
        </w:rPr>
        <w:tab/>
      </w:r>
      <w:r>
        <w:rPr>
          <w:rFonts w:hint="eastAsia" w:ascii="宋体" w:hAnsi="宋体"/>
        </w:rPr>
        <w:fldChar w:fldCharType="begin"/>
      </w:r>
      <w:r>
        <w:rPr>
          <w:rFonts w:hint="eastAsia" w:ascii="宋体" w:hAnsi="宋体"/>
        </w:rPr>
        <w:instrText xml:space="preserve"> PAGEREF _Toc54862298 \h </w:instrText>
      </w:r>
      <w:r>
        <w:rPr>
          <w:rFonts w:hint="eastAsia" w:ascii="宋体" w:hAnsi="宋体"/>
        </w:rPr>
        <w:fldChar w:fldCharType="separate"/>
      </w:r>
      <w:r>
        <w:rPr>
          <w:rFonts w:ascii="宋体" w:hAnsi="宋体"/>
        </w:rPr>
        <w:t>108</w:t>
      </w:r>
      <w:r>
        <w:rPr>
          <w:rFonts w:hint="eastAsia" w:ascii="宋体" w:hAnsi="宋体"/>
        </w:rPr>
        <w:fldChar w:fldCharType="end"/>
      </w:r>
    </w:p>
    <w:p w14:paraId="16E5CECC">
      <w:pPr>
        <w:pStyle w:val="37"/>
        <w:tabs>
          <w:tab w:val="right" w:leader="dot" w:pos="8296"/>
        </w:tabs>
        <w:ind w:left="480"/>
        <w:rPr>
          <w:rFonts w:ascii="宋体" w:hAnsi="宋体"/>
          <w:sz w:val="21"/>
          <w:szCs w:val="22"/>
        </w:rPr>
      </w:pPr>
      <w:r>
        <w:rPr>
          <w:rFonts w:hint="eastAsia" w:ascii="宋体" w:hAnsi="宋体"/>
          <w:bCs/>
        </w:rPr>
        <w:t>第15条 违约</w:t>
      </w:r>
      <w:r>
        <w:rPr>
          <w:rFonts w:hint="eastAsia" w:ascii="宋体" w:hAnsi="宋体"/>
        </w:rPr>
        <w:tab/>
      </w:r>
      <w:r>
        <w:rPr>
          <w:rFonts w:hint="eastAsia" w:ascii="宋体" w:hAnsi="宋体"/>
        </w:rPr>
        <w:fldChar w:fldCharType="begin"/>
      </w:r>
      <w:r>
        <w:rPr>
          <w:rFonts w:hint="eastAsia" w:ascii="宋体" w:hAnsi="宋体"/>
        </w:rPr>
        <w:instrText xml:space="preserve"> PAGEREF _Toc54862299 \h </w:instrText>
      </w:r>
      <w:r>
        <w:rPr>
          <w:rFonts w:hint="eastAsia" w:ascii="宋体" w:hAnsi="宋体"/>
        </w:rPr>
        <w:fldChar w:fldCharType="separate"/>
      </w:r>
      <w:r>
        <w:rPr>
          <w:rFonts w:ascii="宋体" w:hAnsi="宋体"/>
        </w:rPr>
        <w:t>109</w:t>
      </w:r>
      <w:r>
        <w:rPr>
          <w:rFonts w:hint="eastAsia" w:ascii="宋体" w:hAnsi="宋体"/>
        </w:rPr>
        <w:fldChar w:fldCharType="end"/>
      </w:r>
    </w:p>
    <w:p w14:paraId="25C0F871">
      <w:pPr>
        <w:pStyle w:val="23"/>
        <w:tabs>
          <w:tab w:val="right" w:leader="dot" w:pos="8296"/>
        </w:tabs>
        <w:ind w:left="960"/>
        <w:rPr>
          <w:rFonts w:ascii="宋体" w:hAnsi="宋体"/>
          <w:sz w:val="21"/>
          <w:szCs w:val="22"/>
        </w:rPr>
      </w:pPr>
      <w:r>
        <w:rPr>
          <w:rFonts w:hint="eastAsia" w:ascii="宋体" w:hAnsi="宋体"/>
          <w:bCs/>
        </w:rPr>
        <w:t>15.1 发包人违约</w:t>
      </w:r>
      <w:r>
        <w:rPr>
          <w:rFonts w:hint="eastAsia" w:ascii="宋体" w:hAnsi="宋体"/>
        </w:rPr>
        <w:tab/>
      </w:r>
      <w:r>
        <w:rPr>
          <w:rFonts w:hint="eastAsia" w:ascii="宋体" w:hAnsi="宋体"/>
        </w:rPr>
        <w:fldChar w:fldCharType="begin"/>
      </w:r>
      <w:r>
        <w:rPr>
          <w:rFonts w:hint="eastAsia" w:ascii="宋体" w:hAnsi="宋体"/>
        </w:rPr>
        <w:instrText xml:space="preserve"> PAGEREF _Toc54862300 \h </w:instrText>
      </w:r>
      <w:r>
        <w:rPr>
          <w:rFonts w:hint="eastAsia" w:ascii="宋体" w:hAnsi="宋体"/>
        </w:rPr>
        <w:fldChar w:fldCharType="separate"/>
      </w:r>
      <w:r>
        <w:rPr>
          <w:rFonts w:ascii="宋体" w:hAnsi="宋体"/>
        </w:rPr>
        <w:t>109</w:t>
      </w:r>
      <w:r>
        <w:rPr>
          <w:rFonts w:hint="eastAsia" w:ascii="宋体" w:hAnsi="宋体"/>
        </w:rPr>
        <w:fldChar w:fldCharType="end"/>
      </w:r>
    </w:p>
    <w:p w14:paraId="2C11A4D6">
      <w:pPr>
        <w:pStyle w:val="23"/>
        <w:tabs>
          <w:tab w:val="right" w:leader="dot" w:pos="8296"/>
        </w:tabs>
        <w:ind w:left="960"/>
        <w:rPr>
          <w:rFonts w:ascii="宋体" w:hAnsi="宋体"/>
          <w:sz w:val="21"/>
          <w:szCs w:val="22"/>
        </w:rPr>
      </w:pPr>
      <w:r>
        <w:rPr>
          <w:rFonts w:hint="eastAsia" w:ascii="宋体" w:hAnsi="宋体"/>
          <w:bCs/>
        </w:rPr>
        <w:t>15.2 承包人违约</w:t>
      </w:r>
      <w:r>
        <w:rPr>
          <w:rFonts w:hint="eastAsia" w:ascii="宋体" w:hAnsi="宋体"/>
        </w:rPr>
        <w:tab/>
      </w:r>
      <w:r>
        <w:rPr>
          <w:rFonts w:hint="eastAsia" w:ascii="宋体" w:hAnsi="宋体"/>
        </w:rPr>
        <w:fldChar w:fldCharType="begin"/>
      </w:r>
      <w:r>
        <w:rPr>
          <w:rFonts w:hint="eastAsia" w:ascii="宋体" w:hAnsi="宋体"/>
        </w:rPr>
        <w:instrText xml:space="preserve"> PAGEREF _Toc54862301 \h </w:instrText>
      </w:r>
      <w:r>
        <w:rPr>
          <w:rFonts w:hint="eastAsia" w:ascii="宋体" w:hAnsi="宋体"/>
        </w:rPr>
        <w:fldChar w:fldCharType="separate"/>
      </w:r>
      <w:r>
        <w:rPr>
          <w:rFonts w:ascii="宋体" w:hAnsi="宋体"/>
        </w:rPr>
        <w:t>111</w:t>
      </w:r>
      <w:r>
        <w:rPr>
          <w:rFonts w:hint="eastAsia" w:ascii="宋体" w:hAnsi="宋体"/>
        </w:rPr>
        <w:fldChar w:fldCharType="end"/>
      </w:r>
    </w:p>
    <w:p w14:paraId="4B1D2150">
      <w:pPr>
        <w:pStyle w:val="23"/>
        <w:tabs>
          <w:tab w:val="right" w:leader="dot" w:pos="8296"/>
        </w:tabs>
        <w:ind w:left="960"/>
        <w:rPr>
          <w:rFonts w:ascii="宋体" w:hAnsi="宋体"/>
          <w:sz w:val="21"/>
          <w:szCs w:val="22"/>
        </w:rPr>
      </w:pPr>
      <w:r>
        <w:rPr>
          <w:rFonts w:hint="eastAsia" w:ascii="宋体" w:hAnsi="宋体"/>
          <w:bCs/>
        </w:rPr>
        <w:t>15.3 第三人造成的违约</w:t>
      </w:r>
      <w:r>
        <w:rPr>
          <w:rFonts w:hint="eastAsia" w:ascii="宋体" w:hAnsi="宋体"/>
        </w:rPr>
        <w:tab/>
      </w:r>
      <w:r>
        <w:rPr>
          <w:rFonts w:hint="eastAsia" w:ascii="宋体" w:hAnsi="宋体"/>
        </w:rPr>
        <w:fldChar w:fldCharType="begin"/>
      </w:r>
      <w:r>
        <w:rPr>
          <w:rFonts w:hint="eastAsia" w:ascii="宋体" w:hAnsi="宋体"/>
        </w:rPr>
        <w:instrText xml:space="preserve"> PAGEREF _Toc54862302 \h </w:instrText>
      </w:r>
      <w:r>
        <w:rPr>
          <w:rFonts w:hint="eastAsia" w:ascii="宋体" w:hAnsi="宋体"/>
        </w:rPr>
        <w:fldChar w:fldCharType="separate"/>
      </w:r>
      <w:r>
        <w:rPr>
          <w:rFonts w:ascii="宋体" w:hAnsi="宋体"/>
        </w:rPr>
        <w:t>112</w:t>
      </w:r>
      <w:r>
        <w:rPr>
          <w:rFonts w:hint="eastAsia" w:ascii="宋体" w:hAnsi="宋体"/>
        </w:rPr>
        <w:fldChar w:fldCharType="end"/>
      </w:r>
    </w:p>
    <w:p w14:paraId="221CCDF9">
      <w:pPr>
        <w:pStyle w:val="37"/>
        <w:tabs>
          <w:tab w:val="right" w:leader="dot" w:pos="8296"/>
        </w:tabs>
        <w:ind w:left="480"/>
        <w:rPr>
          <w:rFonts w:ascii="宋体" w:hAnsi="宋体"/>
          <w:sz w:val="21"/>
          <w:szCs w:val="22"/>
        </w:rPr>
      </w:pPr>
      <w:r>
        <w:rPr>
          <w:rFonts w:hint="eastAsia" w:ascii="宋体" w:hAnsi="宋体"/>
          <w:bCs/>
        </w:rPr>
        <w:t>第16条 合同解除</w:t>
      </w:r>
      <w:r>
        <w:rPr>
          <w:rFonts w:hint="eastAsia" w:ascii="宋体" w:hAnsi="宋体"/>
        </w:rPr>
        <w:tab/>
      </w:r>
      <w:r>
        <w:rPr>
          <w:rFonts w:hint="eastAsia" w:ascii="宋体" w:hAnsi="宋体"/>
        </w:rPr>
        <w:fldChar w:fldCharType="begin"/>
      </w:r>
      <w:r>
        <w:rPr>
          <w:rFonts w:hint="eastAsia" w:ascii="宋体" w:hAnsi="宋体"/>
        </w:rPr>
        <w:instrText xml:space="preserve"> PAGEREF _Toc54862303 \h </w:instrText>
      </w:r>
      <w:r>
        <w:rPr>
          <w:rFonts w:hint="eastAsia" w:ascii="宋体" w:hAnsi="宋体"/>
        </w:rPr>
        <w:fldChar w:fldCharType="separate"/>
      </w:r>
      <w:r>
        <w:rPr>
          <w:rFonts w:ascii="宋体" w:hAnsi="宋体"/>
        </w:rPr>
        <w:t>112</w:t>
      </w:r>
      <w:r>
        <w:rPr>
          <w:rFonts w:hint="eastAsia" w:ascii="宋体" w:hAnsi="宋体"/>
        </w:rPr>
        <w:fldChar w:fldCharType="end"/>
      </w:r>
    </w:p>
    <w:p w14:paraId="48691737">
      <w:pPr>
        <w:pStyle w:val="23"/>
        <w:tabs>
          <w:tab w:val="right" w:leader="dot" w:pos="8296"/>
        </w:tabs>
        <w:ind w:left="960"/>
        <w:rPr>
          <w:rFonts w:ascii="宋体" w:hAnsi="宋体"/>
          <w:sz w:val="21"/>
          <w:szCs w:val="22"/>
        </w:rPr>
      </w:pPr>
      <w:r>
        <w:rPr>
          <w:rFonts w:hint="eastAsia" w:ascii="宋体" w:hAnsi="宋体"/>
          <w:bCs/>
        </w:rPr>
        <w:t>16.1 由发包人解除合同</w:t>
      </w:r>
      <w:r>
        <w:rPr>
          <w:rFonts w:hint="eastAsia" w:ascii="宋体" w:hAnsi="宋体"/>
        </w:rPr>
        <w:tab/>
      </w:r>
      <w:r>
        <w:rPr>
          <w:rFonts w:hint="eastAsia" w:ascii="宋体" w:hAnsi="宋体"/>
        </w:rPr>
        <w:fldChar w:fldCharType="begin"/>
      </w:r>
      <w:r>
        <w:rPr>
          <w:rFonts w:hint="eastAsia" w:ascii="宋体" w:hAnsi="宋体"/>
        </w:rPr>
        <w:instrText xml:space="preserve"> PAGEREF _Toc54862304 \h </w:instrText>
      </w:r>
      <w:r>
        <w:rPr>
          <w:rFonts w:hint="eastAsia" w:ascii="宋体" w:hAnsi="宋体"/>
        </w:rPr>
        <w:fldChar w:fldCharType="separate"/>
      </w:r>
      <w:r>
        <w:rPr>
          <w:rFonts w:ascii="宋体" w:hAnsi="宋体"/>
        </w:rPr>
        <w:t>112</w:t>
      </w:r>
      <w:r>
        <w:rPr>
          <w:rFonts w:hint="eastAsia" w:ascii="宋体" w:hAnsi="宋体"/>
        </w:rPr>
        <w:fldChar w:fldCharType="end"/>
      </w:r>
    </w:p>
    <w:p w14:paraId="3019AFDA">
      <w:pPr>
        <w:pStyle w:val="23"/>
        <w:tabs>
          <w:tab w:val="right" w:leader="dot" w:pos="8296"/>
        </w:tabs>
        <w:ind w:left="960"/>
        <w:rPr>
          <w:rFonts w:ascii="宋体" w:hAnsi="宋体"/>
          <w:sz w:val="21"/>
          <w:szCs w:val="22"/>
        </w:rPr>
      </w:pPr>
      <w:r>
        <w:rPr>
          <w:rFonts w:hint="eastAsia" w:ascii="宋体" w:hAnsi="宋体"/>
          <w:bCs/>
        </w:rPr>
        <w:t>16.2 由承包人解除合同</w:t>
      </w:r>
      <w:r>
        <w:rPr>
          <w:rFonts w:hint="eastAsia" w:ascii="宋体" w:hAnsi="宋体"/>
        </w:rPr>
        <w:tab/>
      </w:r>
      <w:r>
        <w:rPr>
          <w:rFonts w:hint="eastAsia" w:ascii="宋体" w:hAnsi="宋体"/>
        </w:rPr>
        <w:fldChar w:fldCharType="begin"/>
      </w:r>
      <w:r>
        <w:rPr>
          <w:rFonts w:hint="eastAsia" w:ascii="宋体" w:hAnsi="宋体"/>
        </w:rPr>
        <w:instrText xml:space="preserve"> PAGEREF _Toc54862305 \h </w:instrText>
      </w:r>
      <w:r>
        <w:rPr>
          <w:rFonts w:hint="eastAsia" w:ascii="宋体" w:hAnsi="宋体"/>
        </w:rPr>
        <w:fldChar w:fldCharType="separate"/>
      </w:r>
      <w:r>
        <w:rPr>
          <w:rFonts w:ascii="宋体" w:hAnsi="宋体"/>
        </w:rPr>
        <w:t>116</w:t>
      </w:r>
      <w:r>
        <w:rPr>
          <w:rFonts w:hint="eastAsia" w:ascii="宋体" w:hAnsi="宋体"/>
        </w:rPr>
        <w:fldChar w:fldCharType="end"/>
      </w:r>
    </w:p>
    <w:p w14:paraId="51EE4840">
      <w:pPr>
        <w:pStyle w:val="23"/>
        <w:tabs>
          <w:tab w:val="right" w:leader="dot" w:pos="8296"/>
        </w:tabs>
        <w:ind w:left="960"/>
        <w:rPr>
          <w:rFonts w:ascii="宋体" w:hAnsi="宋体"/>
          <w:sz w:val="21"/>
          <w:szCs w:val="22"/>
        </w:rPr>
      </w:pPr>
      <w:r>
        <w:rPr>
          <w:rFonts w:hint="eastAsia" w:ascii="宋体" w:hAnsi="宋体"/>
          <w:bCs/>
        </w:rPr>
        <w:t>16.3 合同解除后的事项</w:t>
      </w:r>
      <w:r>
        <w:rPr>
          <w:rFonts w:hint="eastAsia" w:ascii="宋体" w:hAnsi="宋体"/>
        </w:rPr>
        <w:tab/>
      </w:r>
      <w:r>
        <w:rPr>
          <w:rFonts w:hint="eastAsia" w:ascii="宋体" w:hAnsi="宋体"/>
        </w:rPr>
        <w:fldChar w:fldCharType="begin"/>
      </w:r>
      <w:r>
        <w:rPr>
          <w:rFonts w:hint="eastAsia" w:ascii="宋体" w:hAnsi="宋体"/>
        </w:rPr>
        <w:instrText xml:space="preserve"> PAGEREF _Toc54862306 \h </w:instrText>
      </w:r>
      <w:r>
        <w:rPr>
          <w:rFonts w:hint="eastAsia" w:ascii="宋体" w:hAnsi="宋体"/>
        </w:rPr>
        <w:fldChar w:fldCharType="separate"/>
      </w:r>
      <w:r>
        <w:rPr>
          <w:rFonts w:ascii="宋体" w:hAnsi="宋体"/>
        </w:rPr>
        <w:t>119</w:t>
      </w:r>
      <w:r>
        <w:rPr>
          <w:rFonts w:hint="eastAsia" w:ascii="宋体" w:hAnsi="宋体"/>
        </w:rPr>
        <w:fldChar w:fldCharType="end"/>
      </w:r>
    </w:p>
    <w:p w14:paraId="7E324696">
      <w:pPr>
        <w:pStyle w:val="37"/>
        <w:tabs>
          <w:tab w:val="right" w:leader="dot" w:pos="8296"/>
        </w:tabs>
        <w:ind w:left="480"/>
        <w:rPr>
          <w:rFonts w:ascii="宋体" w:hAnsi="宋体"/>
          <w:sz w:val="21"/>
          <w:szCs w:val="22"/>
        </w:rPr>
      </w:pPr>
      <w:r>
        <w:rPr>
          <w:rFonts w:hint="eastAsia" w:ascii="宋体" w:hAnsi="宋体"/>
          <w:bCs/>
        </w:rPr>
        <w:t>第17条 不可抗力</w:t>
      </w:r>
      <w:r>
        <w:rPr>
          <w:rFonts w:hint="eastAsia" w:ascii="宋体" w:hAnsi="宋体"/>
        </w:rPr>
        <w:tab/>
      </w:r>
      <w:r>
        <w:rPr>
          <w:rFonts w:hint="eastAsia" w:ascii="宋体" w:hAnsi="宋体"/>
        </w:rPr>
        <w:fldChar w:fldCharType="begin"/>
      </w:r>
      <w:r>
        <w:rPr>
          <w:rFonts w:hint="eastAsia" w:ascii="宋体" w:hAnsi="宋体"/>
        </w:rPr>
        <w:instrText xml:space="preserve"> PAGEREF _Toc54862307 \h </w:instrText>
      </w:r>
      <w:r>
        <w:rPr>
          <w:rFonts w:hint="eastAsia" w:ascii="宋体" w:hAnsi="宋体"/>
        </w:rPr>
        <w:fldChar w:fldCharType="separate"/>
      </w:r>
      <w:r>
        <w:rPr>
          <w:rFonts w:ascii="宋体" w:hAnsi="宋体"/>
        </w:rPr>
        <w:t>119</w:t>
      </w:r>
      <w:r>
        <w:rPr>
          <w:rFonts w:hint="eastAsia" w:ascii="宋体" w:hAnsi="宋体"/>
        </w:rPr>
        <w:fldChar w:fldCharType="end"/>
      </w:r>
    </w:p>
    <w:p w14:paraId="6AF616C8">
      <w:pPr>
        <w:pStyle w:val="23"/>
        <w:tabs>
          <w:tab w:val="right" w:leader="dot" w:pos="8296"/>
        </w:tabs>
        <w:ind w:left="960"/>
        <w:rPr>
          <w:rFonts w:ascii="宋体" w:hAnsi="宋体"/>
          <w:sz w:val="21"/>
          <w:szCs w:val="22"/>
        </w:rPr>
      </w:pPr>
      <w:r>
        <w:rPr>
          <w:rFonts w:hint="eastAsia" w:ascii="宋体" w:hAnsi="宋体"/>
          <w:bCs/>
        </w:rPr>
        <w:t>17.1 不可抗力的定义</w:t>
      </w:r>
      <w:r>
        <w:rPr>
          <w:rFonts w:hint="eastAsia" w:ascii="宋体" w:hAnsi="宋体"/>
        </w:rPr>
        <w:tab/>
      </w:r>
      <w:r>
        <w:rPr>
          <w:rFonts w:hint="eastAsia" w:ascii="宋体" w:hAnsi="宋体"/>
        </w:rPr>
        <w:fldChar w:fldCharType="begin"/>
      </w:r>
      <w:r>
        <w:rPr>
          <w:rFonts w:hint="eastAsia" w:ascii="宋体" w:hAnsi="宋体"/>
        </w:rPr>
        <w:instrText xml:space="preserve"> PAGEREF _Toc54862308 \h </w:instrText>
      </w:r>
      <w:r>
        <w:rPr>
          <w:rFonts w:hint="eastAsia" w:ascii="宋体" w:hAnsi="宋体"/>
        </w:rPr>
        <w:fldChar w:fldCharType="separate"/>
      </w:r>
      <w:r>
        <w:rPr>
          <w:rFonts w:ascii="宋体" w:hAnsi="宋体"/>
        </w:rPr>
        <w:t>119</w:t>
      </w:r>
      <w:r>
        <w:rPr>
          <w:rFonts w:hint="eastAsia" w:ascii="宋体" w:hAnsi="宋体"/>
        </w:rPr>
        <w:fldChar w:fldCharType="end"/>
      </w:r>
    </w:p>
    <w:p w14:paraId="155A4544">
      <w:pPr>
        <w:pStyle w:val="23"/>
        <w:tabs>
          <w:tab w:val="right" w:leader="dot" w:pos="8296"/>
        </w:tabs>
        <w:ind w:left="960"/>
        <w:rPr>
          <w:rFonts w:ascii="宋体" w:hAnsi="宋体"/>
          <w:sz w:val="21"/>
          <w:szCs w:val="22"/>
        </w:rPr>
      </w:pPr>
      <w:r>
        <w:rPr>
          <w:rFonts w:hint="eastAsia" w:ascii="宋体" w:hAnsi="宋体"/>
          <w:bCs/>
        </w:rPr>
        <w:t>17.2 不可抗力的通知</w:t>
      </w:r>
      <w:r>
        <w:rPr>
          <w:rFonts w:hint="eastAsia" w:ascii="宋体" w:hAnsi="宋体"/>
        </w:rPr>
        <w:tab/>
      </w:r>
      <w:r>
        <w:rPr>
          <w:rFonts w:hint="eastAsia" w:ascii="宋体" w:hAnsi="宋体"/>
        </w:rPr>
        <w:fldChar w:fldCharType="begin"/>
      </w:r>
      <w:r>
        <w:rPr>
          <w:rFonts w:hint="eastAsia" w:ascii="宋体" w:hAnsi="宋体"/>
        </w:rPr>
        <w:instrText xml:space="preserve"> PAGEREF _Toc54862309 \h </w:instrText>
      </w:r>
      <w:r>
        <w:rPr>
          <w:rFonts w:hint="eastAsia" w:ascii="宋体" w:hAnsi="宋体"/>
        </w:rPr>
        <w:fldChar w:fldCharType="separate"/>
      </w:r>
      <w:r>
        <w:rPr>
          <w:rFonts w:ascii="宋体" w:hAnsi="宋体"/>
        </w:rPr>
        <w:t>119</w:t>
      </w:r>
      <w:r>
        <w:rPr>
          <w:rFonts w:hint="eastAsia" w:ascii="宋体" w:hAnsi="宋体"/>
        </w:rPr>
        <w:fldChar w:fldCharType="end"/>
      </w:r>
    </w:p>
    <w:p w14:paraId="12D573C2">
      <w:pPr>
        <w:pStyle w:val="23"/>
        <w:tabs>
          <w:tab w:val="right" w:leader="dot" w:pos="8296"/>
        </w:tabs>
        <w:ind w:left="960"/>
        <w:rPr>
          <w:rFonts w:ascii="宋体" w:hAnsi="宋体"/>
          <w:sz w:val="21"/>
          <w:szCs w:val="22"/>
        </w:rPr>
      </w:pPr>
      <w:r>
        <w:rPr>
          <w:rFonts w:hint="eastAsia" w:ascii="宋体" w:hAnsi="宋体"/>
          <w:bCs/>
        </w:rPr>
        <w:t>17.3 将损失减至最小的义务</w:t>
      </w:r>
      <w:r>
        <w:rPr>
          <w:rFonts w:hint="eastAsia" w:ascii="宋体" w:hAnsi="宋体"/>
        </w:rPr>
        <w:tab/>
      </w:r>
      <w:r>
        <w:rPr>
          <w:rFonts w:hint="eastAsia" w:ascii="宋体" w:hAnsi="宋体"/>
        </w:rPr>
        <w:fldChar w:fldCharType="begin"/>
      </w:r>
      <w:r>
        <w:rPr>
          <w:rFonts w:hint="eastAsia" w:ascii="宋体" w:hAnsi="宋体"/>
        </w:rPr>
        <w:instrText xml:space="preserve"> PAGEREF _Toc54862310 \h </w:instrText>
      </w:r>
      <w:r>
        <w:rPr>
          <w:rFonts w:hint="eastAsia" w:ascii="宋体" w:hAnsi="宋体"/>
        </w:rPr>
        <w:fldChar w:fldCharType="separate"/>
      </w:r>
      <w:r>
        <w:rPr>
          <w:rFonts w:ascii="宋体" w:hAnsi="宋体"/>
        </w:rPr>
        <w:t>120</w:t>
      </w:r>
      <w:r>
        <w:rPr>
          <w:rFonts w:hint="eastAsia" w:ascii="宋体" w:hAnsi="宋体"/>
        </w:rPr>
        <w:fldChar w:fldCharType="end"/>
      </w:r>
    </w:p>
    <w:p w14:paraId="7A72033B">
      <w:pPr>
        <w:pStyle w:val="23"/>
        <w:tabs>
          <w:tab w:val="right" w:leader="dot" w:pos="8296"/>
        </w:tabs>
        <w:ind w:left="960"/>
        <w:rPr>
          <w:rFonts w:ascii="宋体" w:hAnsi="宋体"/>
          <w:sz w:val="21"/>
          <w:szCs w:val="22"/>
        </w:rPr>
      </w:pPr>
      <w:r>
        <w:rPr>
          <w:rFonts w:hint="eastAsia" w:ascii="宋体" w:hAnsi="宋体"/>
          <w:bCs/>
        </w:rPr>
        <w:t>17.4 不可抗力后果的承担</w:t>
      </w:r>
      <w:r>
        <w:rPr>
          <w:rFonts w:hint="eastAsia" w:ascii="宋体" w:hAnsi="宋体"/>
        </w:rPr>
        <w:tab/>
      </w:r>
      <w:r>
        <w:rPr>
          <w:rFonts w:hint="eastAsia" w:ascii="宋体" w:hAnsi="宋体"/>
        </w:rPr>
        <w:fldChar w:fldCharType="begin"/>
      </w:r>
      <w:r>
        <w:rPr>
          <w:rFonts w:hint="eastAsia" w:ascii="宋体" w:hAnsi="宋体"/>
        </w:rPr>
        <w:instrText xml:space="preserve"> PAGEREF _Toc54862311 \h </w:instrText>
      </w:r>
      <w:r>
        <w:rPr>
          <w:rFonts w:hint="eastAsia" w:ascii="宋体" w:hAnsi="宋体"/>
        </w:rPr>
        <w:fldChar w:fldCharType="separate"/>
      </w:r>
      <w:r>
        <w:rPr>
          <w:rFonts w:ascii="宋体" w:hAnsi="宋体"/>
        </w:rPr>
        <w:t>120</w:t>
      </w:r>
      <w:r>
        <w:rPr>
          <w:rFonts w:hint="eastAsia" w:ascii="宋体" w:hAnsi="宋体"/>
        </w:rPr>
        <w:fldChar w:fldCharType="end"/>
      </w:r>
    </w:p>
    <w:p w14:paraId="22287BB7">
      <w:pPr>
        <w:pStyle w:val="23"/>
        <w:tabs>
          <w:tab w:val="right" w:leader="dot" w:pos="8296"/>
        </w:tabs>
        <w:ind w:left="960"/>
        <w:rPr>
          <w:rFonts w:ascii="宋体" w:hAnsi="宋体"/>
          <w:sz w:val="21"/>
          <w:szCs w:val="22"/>
        </w:rPr>
      </w:pPr>
      <w:r>
        <w:rPr>
          <w:rFonts w:hint="eastAsia" w:ascii="宋体" w:hAnsi="宋体"/>
          <w:bCs/>
        </w:rPr>
        <w:t>17.5 不可抗力影响分包人</w:t>
      </w:r>
      <w:r>
        <w:rPr>
          <w:rFonts w:hint="eastAsia" w:ascii="宋体" w:hAnsi="宋体"/>
        </w:rPr>
        <w:tab/>
      </w:r>
      <w:r>
        <w:rPr>
          <w:rFonts w:hint="eastAsia" w:ascii="宋体" w:hAnsi="宋体"/>
        </w:rPr>
        <w:fldChar w:fldCharType="begin"/>
      </w:r>
      <w:r>
        <w:rPr>
          <w:rFonts w:hint="eastAsia" w:ascii="宋体" w:hAnsi="宋体"/>
        </w:rPr>
        <w:instrText xml:space="preserve"> PAGEREF _Toc54862312 \h </w:instrText>
      </w:r>
      <w:r>
        <w:rPr>
          <w:rFonts w:hint="eastAsia" w:ascii="宋体" w:hAnsi="宋体"/>
        </w:rPr>
        <w:fldChar w:fldCharType="separate"/>
      </w:r>
      <w:r>
        <w:rPr>
          <w:rFonts w:ascii="宋体" w:hAnsi="宋体"/>
        </w:rPr>
        <w:t>121</w:t>
      </w:r>
      <w:r>
        <w:rPr>
          <w:rFonts w:hint="eastAsia" w:ascii="宋体" w:hAnsi="宋体"/>
        </w:rPr>
        <w:fldChar w:fldCharType="end"/>
      </w:r>
    </w:p>
    <w:p w14:paraId="56EDF34F">
      <w:pPr>
        <w:pStyle w:val="23"/>
        <w:tabs>
          <w:tab w:val="right" w:leader="dot" w:pos="8296"/>
        </w:tabs>
        <w:ind w:left="960"/>
        <w:rPr>
          <w:rFonts w:ascii="宋体" w:hAnsi="宋体"/>
          <w:sz w:val="21"/>
          <w:szCs w:val="22"/>
        </w:rPr>
      </w:pPr>
      <w:r>
        <w:rPr>
          <w:rFonts w:hint="eastAsia" w:ascii="宋体" w:hAnsi="宋体"/>
          <w:bCs/>
        </w:rPr>
        <w:t>17.6 因不可抗力解除合同</w:t>
      </w:r>
      <w:r>
        <w:rPr>
          <w:rFonts w:hint="eastAsia" w:ascii="宋体" w:hAnsi="宋体"/>
        </w:rPr>
        <w:tab/>
      </w:r>
      <w:r>
        <w:rPr>
          <w:rFonts w:hint="eastAsia" w:ascii="宋体" w:hAnsi="宋体"/>
        </w:rPr>
        <w:fldChar w:fldCharType="begin"/>
      </w:r>
      <w:r>
        <w:rPr>
          <w:rFonts w:hint="eastAsia" w:ascii="宋体" w:hAnsi="宋体"/>
        </w:rPr>
        <w:instrText xml:space="preserve"> PAGEREF _Toc54862313 \h </w:instrText>
      </w:r>
      <w:r>
        <w:rPr>
          <w:rFonts w:hint="eastAsia" w:ascii="宋体" w:hAnsi="宋体"/>
        </w:rPr>
        <w:fldChar w:fldCharType="separate"/>
      </w:r>
      <w:r>
        <w:rPr>
          <w:rFonts w:ascii="宋体" w:hAnsi="宋体"/>
        </w:rPr>
        <w:t>121</w:t>
      </w:r>
      <w:r>
        <w:rPr>
          <w:rFonts w:hint="eastAsia" w:ascii="宋体" w:hAnsi="宋体"/>
        </w:rPr>
        <w:fldChar w:fldCharType="end"/>
      </w:r>
    </w:p>
    <w:p w14:paraId="251643EF">
      <w:pPr>
        <w:pStyle w:val="37"/>
        <w:tabs>
          <w:tab w:val="right" w:leader="dot" w:pos="8296"/>
        </w:tabs>
        <w:ind w:left="480"/>
        <w:rPr>
          <w:rFonts w:ascii="宋体" w:hAnsi="宋体"/>
          <w:sz w:val="21"/>
          <w:szCs w:val="22"/>
        </w:rPr>
      </w:pPr>
      <w:r>
        <w:rPr>
          <w:rFonts w:hint="eastAsia" w:ascii="宋体" w:hAnsi="宋体"/>
          <w:bCs/>
        </w:rPr>
        <w:t>第18条 保险</w:t>
      </w:r>
      <w:r>
        <w:rPr>
          <w:rFonts w:hint="eastAsia" w:ascii="宋体" w:hAnsi="宋体"/>
        </w:rPr>
        <w:tab/>
      </w:r>
      <w:r>
        <w:rPr>
          <w:rFonts w:hint="eastAsia" w:ascii="宋体" w:hAnsi="宋体"/>
        </w:rPr>
        <w:fldChar w:fldCharType="begin"/>
      </w:r>
      <w:r>
        <w:rPr>
          <w:rFonts w:hint="eastAsia" w:ascii="宋体" w:hAnsi="宋体"/>
        </w:rPr>
        <w:instrText xml:space="preserve"> PAGEREF _Toc54862314 \h </w:instrText>
      </w:r>
      <w:r>
        <w:rPr>
          <w:rFonts w:hint="eastAsia" w:ascii="宋体" w:hAnsi="宋体"/>
        </w:rPr>
        <w:fldChar w:fldCharType="separate"/>
      </w:r>
      <w:r>
        <w:rPr>
          <w:rFonts w:ascii="宋体" w:hAnsi="宋体"/>
        </w:rPr>
        <w:t>122</w:t>
      </w:r>
      <w:r>
        <w:rPr>
          <w:rFonts w:hint="eastAsia" w:ascii="宋体" w:hAnsi="宋体"/>
        </w:rPr>
        <w:fldChar w:fldCharType="end"/>
      </w:r>
    </w:p>
    <w:p w14:paraId="3D908A4B">
      <w:pPr>
        <w:pStyle w:val="23"/>
        <w:tabs>
          <w:tab w:val="right" w:leader="dot" w:pos="8296"/>
        </w:tabs>
        <w:ind w:left="960"/>
        <w:rPr>
          <w:rFonts w:ascii="宋体" w:hAnsi="宋体"/>
          <w:sz w:val="21"/>
          <w:szCs w:val="22"/>
        </w:rPr>
      </w:pPr>
      <w:r>
        <w:rPr>
          <w:rFonts w:hint="eastAsia" w:ascii="宋体" w:hAnsi="宋体"/>
          <w:bCs/>
        </w:rPr>
        <w:t>18.1 设计和工程保险</w:t>
      </w:r>
      <w:r>
        <w:rPr>
          <w:rFonts w:hint="eastAsia" w:ascii="宋体" w:hAnsi="宋体"/>
        </w:rPr>
        <w:tab/>
      </w:r>
      <w:r>
        <w:rPr>
          <w:rFonts w:hint="eastAsia" w:ascii="宋体" w:hAnsi="宋体"/>
        </w:rPr>
        <w:fldChar w:fldCharType="begin"/>
      </w:r>
      <w:r>
        <w:rPr>
          <w:rFonts w:hint="eastAsia" w:ascii="宋体" w:hAnsi="宋体"/>
        </w:rPr>
        <w:instrText xml:space="preserve"> PAGEREF _Toc54862315 \h </w:instrText>
      </w:r>
      <w:r>
        <w:rPr>
          <w:rFonts w:hint="eastAsia" w:ascii="宋体" w:hAnsi="宋体"/>
        </w:rPr>
        <w:fldChar w:fldCharType="separate"/>
      </w:r>
      <w:r>
        <w:rPr>
          <w:rFonts w:ascii="宋体" w:hAnsi="宋体"/>
        </w:rPr>
        <w:t>122</w:t>
      </w:r>
      <w:r>
        <w:rPr>
          <w:rFonts w:hint="eastAsia" w:ascii="宋体" w:hAnsi="宋体"/>
        </w:rPr>
        <w:fldChar w:fldCharType="end"/>
      </w:r>
    </w:p>
    <w:p w14:paraId="52788BCF">
      <w:pPr>
        <w:pStyle w:val="23"/>
        <w:tabs>
          <w:tab w:val="right" w:leader="dot" w:pos="8296"/>
        </w:tabs>
        <w:ind w:left="960"/>
        <w:rPr>
          <w:rFonts w:ascii="宋体" w:hAnsi="宋体"/>
          <w:sz w:val="21"/>
          <w:szCs w:val="22"/>
        </w:rPr>
      </w:pPr>
      <w:r>
        <w:rPr>
          <w:rFonts w:hint="eastAsia" w:ascii="宋体" w:hAnsi="宋体"/>
          <w:bCs/>
        </w:rPr>
        <w:t>18.2 工伤和意外伤害保险</w:t>
      </w:r>
      <w:r>
        <w:rPr>
          <w:rFonts w:hint="eastAsia" w:ascii="宋体" w:hAnsi="宋体"/>
        </w:rPr>
        <w:tab/>
      </w:r>
      <w:r>
        <w:rPr>
          <w:rFonts w:hint="eastAsia" w:ascii="宋体" w:hAnsi="宋体"/>
        </w:rPr>
        <w:fldChar w:fldCharType="begin"/>
      </w:r>
      <w:r>
        <w:rPr>
          <w:rFonts w:hint="eastAsia" w:ascii="宋体" w:hAnsi="宋体"/>
        </w:rPr>
        <w:instrText xml:space="preserve"> PAGEREF _Toc54862316 \h </w:instrText>
      </w:r>
      <w:r>
        <w:rPr>
          <w:rFonts w:hint="eastAsia" w:ascii="宋体" w:hAnsi="宋体"/>
        </w:rPr>
        <w:fldChar w:fldCharType="separate"/>
      </w:r>
      <w:r>
        <w:rPr>
          <w:rFonts w:ascii="宋体" w:hAnsi="宋体"/>
        </w:rPr>
        <w:t>122</w:t>
      </w:r>
      <w:r>
        <w:rPr>
          <w:rFonts w:hint="eastAsia" w:ascii="宋体" w:hAnsi="宋体"/>
        </w:rPr>
        <w:fldChar w:fldCharType="end"/>
      </w:r>
    </w:p>
    <w:p w14:paraId="6C9B40A4">
      <w:pPr>
        <w:pStyle w:val="23"/>
        <w:tabs>
          <w:tab w:val="right" w:leader="dot" w:pos="8296"/>
        </w:tabs>
        <w:ind w:left="960"/>
        <w:rPr>
          <w:rFonts w:ascii="宋体" w:hAnsi="宋体"/>
          <w:sz w:val="21"/>
          <w:szCs w:val="22"/>
        </w:rPr>
      </w:pPr>
      <w:r>
        <w:rPr>
          <w:rFonts w:hint="eastAsia" w:ascii="宋体" w:hAnsi="宋体"/>
          <w:bCs/>
        </w:rPr>
        <w:t>18.3 货物保险</w:t>
      </w:r>
      <w:r>
        <w:rPr>
          <w:rFonts w:hint="eastAsia" w:ascii="宋体" w:hAnsi="宋体"/>
        </w:rPr>
        <w:tab/>
      </w:r>
      <w:r>
        <w:rPr>
          <w:rFonts w:hint="eastAsia" w:ascii="宋体" w:hAnsi="宋体"/>
        </w:rPr>
        <w:fldChar w:fldCharType="begin"/>
      </w:r>
      <w:r>
        <w:rPr>
          <w:rFonts w:hint="eastAsia" w:ascii="宋体" w:hAnsi="宋体"/>
        </w:rPr>
        <w:instrText xml:space="preserve"> PAGEREF _Toc54862317 \h </w:instrText>
      </w:r>
      <w:r>
        <w:rPr>
          <w:rFonts w:hint="eastAsia" w:ascii="宋体" w:hAnsi="宋体"/>
        </w:rPr>
        <w:fldChar w:fldCharType="separate"/>
      </w:r>
      <w:r>
        <w:rPr>
          <w:rFonts w:ascii="宋体" w:hAnsi="宋体"/>
        </w:rPr>
        <w:t>123</w:t>
      </w:r>
      <w:r>
        <w:rPr>
          <w:rFonts w:hint="eastAsia" w:ascii="宋体" w:hAnsi="宋体"/>
        </w:rPr>
        <w:fldChar w:fldCharType="end"/>
      </w:r>
    </w:p>
    <w:p w14:paraId="6EA80F05">
      <w:pPr>
        <w:pStyle w:val="23"/>
        <w:tabs>
          <w:tab w:val="right" w:leader="dot" w:pos="8296"/>
        </w:tabs>
        <w:ind w:left="960"/>
        <w:rPr>
          <w:rFonts w:ascii="宋体" w:hAnsi="宋体"/>
          <w:sz w:val="21"/>
          <w:szCs w:val="22"/>
        </w:rPr>
      </w:pPr>
      <w:r>
        <w:rPr>
          <w:rFonts w:hint="eastAsia" w:ascii="宋体" w:hAnsi="宋体"/>
          <w:bCs/>
        </w:rPr>
        <w:t>18.4 其他保险</w:t>
      </w:r>
      <w:r>
        <w:rPr>
          <w:rFonts w:hint="eastAsia" w:ascii="宋体" w:hAnsi="宋体"/>
        </w:rPr>
        <w:tab/>
      </w:r>
      <w:r>
        <w:rPr>
          <w:rFonts w:hint="eastAsia" w:ascii="宋体" w:hAnsi="宋体"/>
        </w:rPr>
        <w:fldChar w:fldCharType="begin"/>
      </w:r>
      <w:r>
        <w:rPr>
          <w:rFonts w:hint="eastAsia" w:ascii="宋体" w:hAnsi="宋体"/>
        </w:rPr>
        <w:instrText xml:space="preserve"> PAGEREF _Toc54862318 \h </w:instrText>
      </w:r>
      <w:r>
        <w:rPr>
          <w:rFonts w:hint="eastAsia" w:ascii="宋体" w:hAnsi="宋体"/>
        </w:rPr>
        <w:fldChar w:fldCharType="separate"/>
      </w:r>
      <w:r>
        <w:rPr>
          <w:rFonts w:ascii="宋体" w:hAnsi="宋体"/>
        </w:rPr>
        <w:t>123</w:t>
      </w:r>
      <w:r>
        <w:rPr>
          <w:rFonts w:hint="eastAsia" w:ascii="宋体" w:hAnsi="宋体"/>
        </w:rPr>
        <w:fldChar w:fldCharType="end"/>
      </w:r>
    </w:p>
    <w:p w14:paraId="33C48F0A">
      <w:pPr>
        <w:pStyle w:val="23"/>
        <w:tabs>
          <w:tab w:val="right" w:leader="dot" w:pos="8296"/>
        </w:tabs>
        <w:ind w:left="960"/>
        <w:rPr>
          <w:rFonts w:ascii="宋体" w:hAnsi="宋体"/>
          <w:sz w:val="21"/>
          <w:szCs w:val="22"/>
        </w:rPr>
      </w:pPr>
      <w:r>
        <w:rPr>
          <w:rFonts w:hint="eastAsia" w:ascii="宋体" w:hAnsi="宋体"/>
          <w:bCs/>
        </w:rPr>
        <w:t>18.5 对各项保险的一般要求</w:t>
      </w:r>
      <w:r>
        <w:rPr>
          <w:rFonts w:hint="eastAsia" w:ascii="宋体" w:hAnsi="宋体"/>
        </w:rPr>
        <w:tab/>
      </w:r>
      <w:r>
        <w:rPr>
          <w:rFonts w:hint="eastAsia" w:ascii="宋体" w:hAnsi="宋体"/>
        </w:rPr>
        <w:fldChar w:fldCharType="begin"/>
      </w:r>
      <w:r>
        <w:rPr>
          <w:rFonts w:hint="eastAsia" w:ascii="宋体" w:hAnsi="宋体"/>
        </w:rPr>
        <w:instrText xml:space="preserve"> PAGEREF _Toc54862319 \h </w:instrText>
      </w:r>
      <w:r>
        <w:rPr>
          <w:rFonts w:hint="eastAsia" w:ascii="宋体" w:hAnsi="宋体"/>
        </w:rPr>
        <w:fldChar w:fldCharType="separate"/>
      </w:r>
      <w:r>
        <w:rPr>
          <w:rFonts w:ascii="宋体" w:hAnsi="宋体"/>
        </w:rPr>
        <w:t>123</w:t>
      </w:r>
      <w:r>
        <w:rPr>
          <w:rFonts w:hint="eastAsia" w:ascii="宋体" w:hAnsi="宋体"/>
        </w:rPr>
        <w:fldChar w:fldCharType="end"/>
      </w:r>
    </w:p>
    <w:p w14:paraId="46CB49C8">
      <w:pPr>
        <w:pStyle w:val="37"/>
        <w:tabs>
          <w:tab w:val="right" w:leader="dot" w:pos="8296"/>
        </w:tabs>
        <w:ind w:left="480"/>
        <w:rPr>
          <w:rFonts w:ascii="宋体" w:hAnsi="宋体"/>
          <w:sz w:val="21"/>
          <w:szCs w:val="22"/>
        </w:rPr>
      </w:pPr>
      <w:r>
        <w:rPr>
          <w:rFonts w:hint="eastAsia" w:ascii="宋体" w:hAnsi="宋体"/>
          <w:bCs/>
        </w:rPr>
        <w:t>第19条 索赔</w:t>
      </w:r>
      <w:r>
        <w:rPr>
          <w:rFonts w:hint="eastAsia" w:ascii="宋体" w:hAnsi="宋体"/>
        </w:rPr>
        <w:tab/>
      </w:r>
      <w:r>
        <w:rPr>
          <w:rFonts w:hint="eastAsia" w:ascii="宋体" w:hAnsi="宋体"/>
        </w:rPr>
        <w:fldChar w:fldCharType="begin"/>
      </w:r>
      <w:r>
        <w:rPr>
          <w:rFonts w:hint="eastAsia" w:ascii="宋体" w:hAnsi="宋体"/>
        </w:rPr>
        <w:instrText xml:space="preserve"> PAGEREF _Toc54862320 \h </w:instrText>
      </w:r>
      <w:r>
        <w:rPr>
          <w:rFonts w:hint="eastAsia" w:ascii="宋体" w:hAnsi="宋体"/>
        </w:rPr>
        <w:fldChar w:fldCharType="separate"/>
      </w:r>
      <w:r>
        <w:rPr>
          <w:rFonts w:ascii="宋体" w:hAnsi="宋体"/>
        </w:rPr>
        <w:t>125</w:t>
      </w:r>
      <w:r>
        <w:rPr>
          <w:rFonts w:hint="eastAsia" w:ascii="宋体" w:hAnsi="宋体"/>
        </w:rPr>
        <w:fldChar w:fldCharType="end"/>
      </w:r>
    </w:p>
    <w:p w14:paraId="163D5946">
      <w:pPr>
        <w:pStyle w:val="23"/>
        <w:tabs>
          <w:tab w:val="right" w:leader="dot" w:pos="8296"/>
        </w:tabs>
        <w:ind w:left="960"/>
        <w:rPr>
          <w:rFonts w:ascii="宋体" w:hAnsi="宋体"/>
          <w:sz w:val="21"/>
          <w:szCs w:val="22"/>
        </w:rPr>
      </w:pPr>
      <w:r>
        <w:rPr>
          <w:rFonts w:hint="eastAsia" w:ascii="宋体" w:hAnsi="宋体"/>
          <w:bCs/>
        </w:rPr>
        <w:t>19.1 索赔的提出</w:t>
      </w:r>
      <w:r>
        <w:rPr>
          <w:rFonts w:hint="eastAsia" w:ascii="宋体" w:hAnsi="宋体"/>
        </w:rPr>
        <w:tab/>
      </w:r>
      <w:r>
        <w:rPr>
          <w:rFonts w:hint="eastAsia" w:ascii="宋体" w:hAnsi="宋体"/>
        </w:rPr>
        <w:fldChar w:fldCharType="begin"/>
      </w:r>
      <w:r>
        <w:rPr>
          <w:rFonts w:hint="eastAsia" w:ascii="宋体" w:hAnsi="宋体"/>
        </w:rPr>
        <w:instrText xml:space="preserve"> PAGEREF _Toc54862321 \h </w:instrText>
      </w:r>
      <w:r>
        <w:rPr>
          <w:rFonts w:hint="eastAsia" w:ascii="宋体" w:hAnsi="宋体"/>
        </w:rPr>
        <w:fldChar w:fldCharType="separate"/>
      </w:r>
      <w:r>
        <w:rPr>
          <w:rFonts w:ascii="宋体" w:hAnsi="宋体"/>
        </w:rPr>
        <w:t>125</w:t>
      </w:r>
      <w:r>
        <w:rPr>
          <w:rFonts w:hint="eastAsia" w:ascii="宋体" w:hAnsi="宋体"/>
        </w:rPr>
        <w:fldChar w:fldCharType="end"/>
      </w:r>
    </w:p>
    <w:p w14:paraId="2152F2E6">
      <w:pPr>
        <w:pStyle w:val="23"/>
        <w:tabs>
          <w:tab w:val="right" w:leader="dot" w:pos="8296"/>
        </w:tabs>
        <w:ind w:left="960"/>
        <w:rPr>
          <w:rFonts w:ascii="宋体" w:hAnsi="宋体"/>
          <w:sz w:val="21"/>
          <w:szCs w:val="22"/>
        </w:rPr>
      </w:pPr>
      <w:r>
        <w:rPr>
          <w:rFonts w:hint="eastAsia" w:ascii="宋体" w:hAnsi="宋体"/>
          <w:bCs/>
        </w:rPr>
        <w:t>19.2 承包人索赔的处理程序</w:t>
      </w:r>
      <w:r>
        <w:rPr>
          <w:rFonts w:hint="eastAsia" w:ascii="宋体" w:hAnsi="宋体"/>
        </w:rPr>
        <w:tab/>
      </w:r>
      <w:r>
        <w:rPr>
          <w:rFonts w:hint="eastAsia" w:ascii="宋体" w:hAnsi="宋体"/>
        </w:rPr>
        <w:fldChar w:fldCharType="begin"/>
      </w:r>
      <w:r>
        <w:rPr>
          <w:rFonts w:hint="eastAsia" w:ascii="宋体" w:hAnsi="宋体"/>
        </w:rPr>
        <w:instrText xml:space="preserve"> PAGEREF _Toc54862322 \h </w:instrText>
      </w:r>
      <w:r>
        <w:rPr>
          <w:rFonts w:hint="eastAsia" w:ascii="宋体" w:hAnsi="宋体"/>
        </w:rPr>
        <w:fldChar w:fldCharType="separate"/>
      </w:r>
      <w:r>
        <w:rPr>
          <w:rFonts w:ascii="宋体" w:hAnsi="宋体"/>
        </w:rPr>
        <w:t>126</w:t>
      </w:r>
      <w:r>
        <w:rPr>
          <w:rFonts w:hint="eastAsia" w:ascii="宋体" w:hAnsi="宋体"/>
        </w:rPr>
        <w:fldChar w:fldCharType="end"/>
      </w:r>
    </w:p>
    <w:p w14:paraId="1C8F633B">
      <w:pPr>
        <w:pStyle w:val="23"/>
        <w:tabs>
          <w:tab w:val="right" w:leader="dot" w:pos="8296"/>
        </w:tabs>
        <w:ind w:left="960"/>
        <w:rPr>
          <w:rFonts w:ascii="宋体" w:hAnsi="宋体"/>
          <w:sz w:val="21"/>
          <w:szCs w:val="22"/>
        </w:rPr>
      </w:pPr>
      <w:r>
        <w:rPr>
          <w:rFonts w:hint="eastAsia" w:ascii="宋体" w:hAnsi="宋体"/>
          <w:bCs/>
        </w:rPr>
        <w:t>19.3 发包人索赔的处理程序</w:t>
      </w:r>
      <w:r>
        <w:rPr>
          <w:rFonts w:hint="eastAsia" w:ascii="宋体" w:hAnsi="宋体"/>
        </w:rPr>
        <w:tab/>
      </w:r>
      <w:r>
        <w:rPr>
          <w:rFonts w:hint="eastAsia" w:ascii="宋体" w:hAnsi="宋体"/>
        </w:rPr>
        <w:fldChar w:fldCharType="begin"/>
      </w:r>
      <w:r>
        <w:rPr>
          <w:rFonts w:hint="eastAsia" w:ascii="宋体" w:hAnsi="宋体"/>
        </w:rPr>
        <w:instrText xml:space="preserve"> PAGEREF _Toc54862323 \h </w:instrText>
      </w:r>
      <w:r>
        <w:rPr>
          <w:rFonts w:hint="eastAsia" w:ascii="宋体" w:hAnsi="宋体"/>
        </w:rPr>
        <w:fldChar w:fldCharType="separate"/>
      </w:r>
      <w:r>
        <w:rPr>
          <w:rFonts w:ascii="宋体" w:hAnsi="宋体"/>
        </w:rPr>
        <w:t>126</w:t>
      </w:r>
      <w:r>
        <w:rPr>
          <w:rFonts w:hint="eastAsia" w:ascii="宋体" w:hAnsi="宋体"/>
        </w:rPr>
        <w:fldChar w:fldCharType="end"/>
      </w:r>
    </w:p>
    <w:p w14:paraId="23D7DD86">
      <w:pPr>
        <w:pStyle w:val="23"/>
        <w:tabs>
          <w:tab w:val="right" w:leader="dot" w:pos="8296"/>
        </w:tabs>
        <w:ind w:left="960"/>
        <w:rPr>
          <w:rFonts w:ascii="宋体" w:hAnsi="宋体"/>
          <w:sz w:val="21"/>
          <w:szCs w:val="22"/>
        </w:rPr>
      </w:pPr>
      <w:r>
        <w:rPr>
          <w:rFonts w:hint="eastAsia" w:ascii="宋体" w:hAnsi="宋体"/>
          <w:bCs/>
        </w:rPr>
        <w:t>19.4 提出索赔的期限</w:t>
      </w:r>
      <w:r>
        <w:rPr>
          <w:rFonts w:hint="eastAsia" w:ascii="宋体" w:hAnsi="宋体"/>
        </w:rPr>
        <w:tab/>
      </w:r>
      <w:r>
        <w:rPr>
          <w:rFonts w:hint="eastAsia" w:ascii="宋体" w:hAnsi="宋体"/>
        </w:rPr>
        <w:fldChar w:fldCharType="begin"/>
      </w:r>
      <w:r>
        <w:rPr>
          <w:rFonts w:hint="eastAsia" w:ascii="宋体" w:hAnsi="宋体"/>
        </w:rPr>
        <w:instrText xml:space="preserve"> PAGEREF _Toc54862324 \h </w:instrText>
      </w:r>
      <w:r>
        <w:rPr>
          <w:rFonts w:hint="eastAsia" w:ascii="宋体" w:hAnsi="宋体"/>
        </w:rPr>
        <w:fldChar w:fldCharType="separate"/>
      </w:r>
      <w:r>
        <w:rPr>
          <w:rFonts w:ascii="宋体" w:hAnsi="宋体"/>
        </w:rPr>
        <w:t>127</w:t>
      </w:r>
      <w:r>
        <w:rPr>
          <w:rFonts w:hint="eastAsia" w:ascii="宋体" w:hAnsi="宋体"/>
        </w:rPr>
        <w:fldChar w:fldCharType="end"/>
      </w:r>
    </w:p>
    <w:p w14:paraId="1B23B5DB">
      <w:pPr>
        <w:pStyle w:val="37"/>
        <w:tabs>
          <w:tab w:val="right" w:leader="dot" w:pos="8296"/>
        </w:tabs>
        <w:ind w:left="480"/>
        <w:rPr>
          <w:rFonts w:ascii="宋体" w:hAnsi="宋体"/>
          <w:sz w:val="21"/>
          <w:szCs w:val="22"/>
        </w:rPr>
      </w:pPr>
      <w:r>
        <w:rPr>
          <w:rFonts w:hint="eastAsia" w:ascii="宋体" w:hAnsi="宋体"/>
          <w:bCs/>
        </w:rPr>
        <w:t>第20条 争议解决</w:t>
      </w:r>
      <w:r>
        <w:rPr>
          <w:rFonts w:hint="eastAsia" w:ascii="宋体" w:hAnsi="宋体"/>
        </w:rPr>
        <w:tab/>
      </w:r>
      <w:r>
        <w:rPr>
          <w:rFonts w:hint="eastAsia" w:ascii="宋体" w:hAnsi="宋体"/>
        </w:rPr>
        <w:fldChar w:fldCharType="begin"/>
      </w:r>
      <w:r>
        <w:rPr>
          <w:rFonts w:hint="eastAsia" w:ascii="宋体" w:hAnsi="宋体"/>
        </w:rPr>
        <w:instrText xml:space="preserve"> PAGEREF _Toc54862325 \h </w:instrText>
      </w:r>
      <w:r>
        <w:rPr>
          <w:rFonts w:hint="eastAsia" w:ascii="宋体" w:hAnsi="宋体"/>
        </w:rPr>
        <w:fldChar w:fldCharType="separate"/>
      </w:r>
      <w:r>
        <w:rPr>
          <w:rFonts w:ascii="宋体" w:hAnsi="宋体"/>
        </w:rPr>
        <w:t>127</w:t>
      </w:r>
      <w:r>
        <w:rPr>
          <w:rFonts w:hint="eastAsia" w:ascii="宋体" w:hAnsi="宋体"/>
        </w:rPr>
        <w:fldChar w:fldCharType="end"/>
      </w:r>
    </w:p>
    <w:p w14:paraId="1EDEE0CD">
      <w:pPr>
        <w:pStyle w:val="23"/>
        <w:tabs>
          <w:tab w:val="right" w:leader="dot" w:pos="8296"/>
        </w:tabs>
        <w:ind w:left="960"/>
        <w:rPr>
          <w:rFonts w:ascii="宋体" w:hAnsi="宋体"/>
          <w:sz w:val="21"/>
          <w:szCs w:val="22"/>
        </w:rPr>
      </w:pPr>
      <w:r>
        <w:rPr>
          <w:rFonts w:hint="eastAsia" w:ascii="宋体" w:hAnsi="宋体"/>
          <w:bCs/>
        </w:rPr>
        <w:t>20.1 和解</w:t>
      </w:r>
      <w:r>
        <w:rPr>
          <w:rFonts w:hint="eastAsia" w:ascii="宋体" w:hAnsi="宋体"/>
        </w:rPr>
        <w:tab/>
      </w:r>
      <w:r>
        <w:rPr>
          <w:rFonts w:hint="eastAsia" w:ascii="宋体" w:hAnsi="宋体"/>
        </w:rPr>
        <w:fldChar w:fldCharType="begin"/>
      </w:r>
      <w:r>
        <w:rPr>
          <w:rFonts w:hint="eastAsia" w:ascii="宋体" w:hAnsi="宋体"/>
        </w:rPr>
        <w:instrText xml:space="preserve"> PAGEREF _Toc54862326 \h </w:instrText>
      </w:r>
      <w:r>
        <w:rPr>
          <w:rFonts w:hint="eastAsia" w:ascii="宋体" w:hAnsi="宋体"/>
        </w:rPr>
        <w:fldChar w:fldCharType="separate"/>
      </w:r>
      <w:r>
        <w:rPr>
          <w:rFonts w:ascii="宋体" w:hAnsi="宋体"/>
        </w:rPr>
        <w:t>127</w:t>
      </w:r>
      <w:r>
        <w:rPr>
          <w:rFonts w:hint="eastAsia" w:ascii="宋体" w:hAnsi="宋体"/>
        </w:rPr>
        <w:fldChar w:fldCharType="end"/>
      </w:r>
    </w:p>
    <w:p w14:paraId="7E61A040">
      <w:pPr>
        <w:pStyle w:val="23"/>
        <w:tabs>
          <w:tab w:val="right" w:leader="dot" w:pos="8296"/>
        </w:tabs>
        <w:ind w:left="960"/>
        <w:rPr>
          <w:rFonts w:ascii="宋体" w:hAnsi="宋体"/>
          <w:sz w:val="21"/>
          <w:szCs w:val="22"/>
        </w:rPr>
      </w:pPr>
      <w:r>
        <w:rPr>
          <w:rFonts w:hint="eastAsia" w:ascii="宋体" w:hAnsi="宋体"/>
          <w:bCs/>
        </w:rPr>
        <w:t>20.2 调解</w:t>
      </w:r>
      <w:r>
        <w:rPr>
          <w:rFonts w:hint="eastAsia" w:ascii="宋体" w:hAnsi="宋体"/>
        </w:rPr>
        <w:tab/>
      </w:r>
      <w:r>
        <w:rPr>
          <w:rFonts w:hint="eastAsia" w:ascii="宋体" w:hAnsi="宋体"/>
        </w:rPr>
        <w:fldChar w:fldCharType="begin"/>
      </w:r>
      <w:r>
        <w:rPr>
          <w:rFonts w:hint="eastAsia" w:ascii="宋体" w:hAnsi="宋体"/>
        </w:rPr>
        <w:instrText xml:space="preserve"> PAGEREF _Toc54862327 \h </w:instrText>
      </w:r>
      <w:r>
        <w:rPr>
          <w:rFonts w:hint="eastAsia" w:ascii="宋体" w:hAnsi="宋体"/>
        </w:rPr>
        <w:fldChar w:fldCharType="separate"/>
      </w:r>
      <w:r>
        <w:rPr>
          <w:rFonts w:ascii="宋体" w:hAnsi="宋体"/>
        </w:rPr>
        <w:t>127</w:t>
      </w:r>
      <w:r>
        <w:rPr>
          <w:rFonts w:hint="eastAsia" w:ascii="宋体" w:hAnsi="宋体"/>
        </w:rPr>
        <w:fldChar w:fldCharType="end"/>
      </w:r>
    </w:p>
    <w:p w14:paraId="26DDE09B">
      <w:pPr>
        <w:pStyle w:val="23"/>
        <w:tabs>
          <w:tab w:val="right" w:leader="dot" w:pos="8296"/>
        </w:tabs>
        <w:ind w:left="960"/>
        <w:rPr>
          <w:rFonts w:ascii="宋体" w:hAnsi="宋体"/>
          <w:sz w:val="21"/>
          <w:szCs w:val="22"/>
        </w:rPr>
      </w:pPr>
      <w:r>
        <w:rPr>
          <w:rFonts w:hint="eastAsia" w:ascii="宋体" w:hAnsi="宋体"/>
          <w:bCs/>
        </w:rPr>
        <w:t>20.3 争议评审</w:t>
      </w:r>
      <w:r>
        <w:rPr>
          <w:rFonts w:hint="eastAsia" w:ascii="宋体" w:hAnsi="宋体"/>
        </w:rPr>
        <w:tab/>
      </w:r>
      <w:r>
        <w:rPr>
          <w:rFonts w:hint="eastAsia" w:ascii="宋体" w:hAnsi="宋体"/>
        </w:rPr>
        <w:fldChar w:fldCharType="begin"/>
      </w:r>
      <w:r>
        <w:rPr>
          <w:rFonts w:hint="eastAsia" w:ascii="宋体" w:hAnsi="宋体"/>
        </w:rPr>
        <w:instrText xml:space="preserve"> PAGEREF _Toc54862328 \h </w:instrText>
      </w:r>
      <w:r>
        <w:rPr>
          <w:rFonts w:hint="eastAsia" w:ascii="宋体" w:hAnsi="宋体"/>
        </w:rPr>
        <w:fldChar w:fldCharType="separate"/>
      </w:r>
      <w:r>
        <w:rPr>
          <w:rFonts w:ascii="宋体" w:hAnsi="宋体"/>
        </w:rPr>
        <w:t>127</w:t>
      </w:r>
      <w:r>
        <w:rPr>
          <w:rFonts w:hint="eastAsia" w:ascii="宋体" w:hAnsi="宋体"/>
        </w:rPr>
        <w:fldChar w:fldCharType="end"/>
      </w:r>
    </w:p>
    <w:p w14:paraId="1A259802">
      <w:pPr>
        <w:pStyle w:val="23"/>
        <w:tabs>
          <w:tab w:val="right" w:leader="dot" w:pos="8296"/>
        </w:tabs>
        <w:ind w:left="960"/>
        <w:rPr>
          <w:rFonts w:ascii="宋体" w:hAnsi="宋体"/>
          <w:sz w:val="21"/>
          <w:szCs w:val="22"/>
        </w:rPr>
      </w:pPr>
      <w:r>
        <w:rPr>
          <w:rFonts w:hint="eastAsia" w:ascii="宋体" w:hAnsi="宋体"/>
          <w:bCs/>
        </w:rPr>
        <w:t>20.4 仲裁或诉讼</w:t>
      </w:r>
      <w:r>
        <w:rPr>
          <w:rFonts w:hint="eastAsia" w:ascii="宋体" w:hAnsi="宋体"/>
        </w:rPr>
        <w:tab/>
      </w:r>
      <w:r>
        <w:rPr>
          <w:rFonts w:hint="eastAsia" w:ascii="宋体" w:hAnsi="宋体"/>
        </w:rPr>
        <w:fldChar w:fldCharType="begin"/>
      </w:r>
      <w:r>
        <w:rPr>
          <w:rFonts w:hint="eastAsia" w:ascii="宋体" w:hAnsi="宋体"/>
        </w:rPr>
        <w:instrText xml:space="preserve"> PAGEREF _Toc54862329 \h </w:instrText>
      </w:r>
      <w:r>
        <w:rPr>
          <w:rFonts w:hint="eastAsia" w:ascii="宋体" w:hAnsi="宋体"/>
        </w:rPr>
        <w:fldChar w:fldCharType="separate"/>
      </w:r>
      <w:r>
        <w:rPr>
          <w:rFonts w:ascii="宋体" w:hAnsi="宋体"/>
        </w:rPr>
        <w:t>129</w:t>
      </w:r>
      <w:r>
        <w:rPr>
          <w:rFonts w:hint="eastAsia" w:ascii="宋体" w:hAnsi="宋体"/>
        </w:rPr>
        <w:fldChar w:fldCharType="end"/>
      </w:r>
    </w:p>
    <w:p w14:paraId="6503F067">
      <w:pPr>
        <w:pStyle w:val="23"/>
        <w:tabs>
          <w:tab w:val="right" w:leader="dot" w:pos="8296"/>
        </w:tabs>
        <w:ind w:left="960"/>
        <w:rPr>
          <w:rFonts w:ascii="宋体" w:hAnsi="宋体"/>
          <w:sz w:val="21"/>
          <w:szCs w:val="22"/>
        </w:rPr>
      </w:pPr>
      <w:r>
        <w:rPr>
          <w:rFonts w:hint="eastAsia" w:ascii="宋体" w:hAnsi="宋体"/>
          <w:bCs/>
        </w:rPr>
        <w:t>20.5 争议解决条款效力</w:t>
      </w:r>
      <w:r>
        <w:rPr>
          <w:rFonts w:hint="eastAsia" w:ascii="宋体" w:hAnsi="宋体"/>
        </w:rPr>
        <w:tab/>
      </w:r>
      <w:r>
        <w:rPr>
          <w:rFonts w:hint="eastAsia" w:ascii="宋体" w:hAnsi="宋体"/>
        </w:rPr>
        <w:fldChar w:fldCharType="begin"/>
      </w:r>
      <w:r>
        <w:rPr>
          <w:rFonts w:hint="eastAsia" w:ascii="宋体" w:hAnsi="宋体"/>
        </w:rPr>
        <w:instrText xml:space="preserve"> PAGEREF _Toc54862330 \h </w:instrText>
      </w:r>
      <w:r>
        <w:rPr>
          <w:rFonts w:hint="eastAsia" w:ascii="宋体" w:hAnsi="宋体"/>
        </w:rPr>
        <w:fldChar w:fldCharType="separate"/>
      </w:r>
      <w:r>
        <w:rPr>
          <w:rFonts w:ascii="宋体" w:hAnsi="宋体"/>
        </w:rPr>
        <w:t>130</w:t>
      </w:r>
      <w:r>
        <w:rPr>
          <w:rFonts w:hint="eastAsia" w:ascii="宋体" w:hAnsi="宋体"/>
        </w:rPr>
        <w:fldChar w:fldCharType="end"/>
      </w:r>
    </w:p>
    <w:p w14:paraId="4D71A4A4">
      <w:pPr>
        <w:pStyle w:val="31"/>
        <w:tabs>
          <w:tab w:val="right" w:leader="dot" w:pos="8296"/>
        </w:tabs>
        <w:ind w:firstLine="562"/>
        <w:rPr>
          <w:rFonts w:ascii="宋体" w:hAnsi="宋体"/>
          <w:b w:val="0"/>
          <w:bCs w:val="0"/>
          <w:sz w:val="22"/>
          <w:szCs w:val="24"/>
        </w:rPr>
      </w:pPr>
      <w:r>
        <w:rPr>
          <w:rFonts w:hint="eastAsia" w:ascii="宋体" w:hAnsi="宋体"/>
          <w:b w:val="0"/>
          <w:bCs w:val="0"/>
          <w:sz w:val="28"/>
          <w:szCs w:val="21"/>
        </w:rPr>
        <w:t>第三部分 专用合同条件</w:t>
      </w:r>
      <w:r>
        <w:rPr>
          <w:rFonts w:hint="eastAsia" w:ascii="宋体" w:hAnsi="宋体"/>
          <w:b w:val="0"/>
          <w:bCs w:val="0"/>
          <w:sz w:val="28"/>
          <w:szCs w:val="21"/>
        </w:rPr>
        <w:tab/>
      </w:r>
      <w:r>
        <w:rPr>
          <w:rFonts w:hint="eastAsia" w:ascii="宋体" w:hAnsi="宋体"/>
          <w:b w:val="0"/>
          <w:bCs w:val="0"/>
          <w:sz w:val="28"/>
          <w:szCs w:val="21"/>
        </w:rPr>
        <w:fldChar w:fldCharType="begin"/>
      </w:r>
      <w:r>
        <w:rPr>
          <w:rFonts w:hint="eastAsia" w:ascii="宋体" w:hAnsi="宋体"/>
          <w:b w:val="0"/>
          <w:bCs w:val="0"/>
          <w:sz w:val="28"/>
          <w:szCs w:val="21"/>
        </w:rPr>
        <w:instrText xml:space="preserve"> PAGEREF _Toc54862331 \h </w:instrText>
      </w:r>
      <w:r>
        <w:rPr>
          <w:rFonts w:hint="eastAsia" w:ascii="宋体" w:hAnsi="宋体"/>
          <w:b w:val="0"/>
          <w:bCs w:val="0"/>
          <w:sz w:val="28"/>
          <w:szCs w:val="21"/>
        </w:rPr>
        <w:fldChar w:fldCharType="separate"/>
      </w:r>
      <w:r>
        <w:rPr>
          <w:rFonts w:ascii="宋体" w:hAnsi="宋体"/>
          <w:b w:val="0"/>
          <w:bCs w:val="0"/>
          <w:sz w:val="28"/>
          <w:szCs w:val="21"/>
        </w:rPr>
        <w:t>131</w:t>
      </w:r>
      <w:r>
        <w:rPr>
          <w:rFonts w:hint="eastAsia" w:ascii="宋体" w:hAnsi="宋体"/>
          <w:b w:val="0"/>
          <w:bCs w:val="0"/>
          <w:sz w:val="28"/>
          <w:szCs w:val="21"/>
        </w:rPr>
        <w:fldChar w:fldCharType="end"/>
      </w:r>
    </w:p>
    <w:p w14:paraId="4FA7DA32">
      <w:pPr>
        <w:pStyle w:val="37"/>
        <w:tabs>
          <w:tab w:val="right" w:leader="dot" w:pos="8296"/>
        </w:tabs>
        <w:ind w:left="480"/>
        <w:rPr>
          <w:rFonts w:ascii="宋体" w:hAnsi="宋体"/>
          <w:sz w:val="21"/>
          <w:szCs w:val="22"/>
        </w:rPr>
      </w:pPr>
      <w:r>
        <w:rPr>
          <w:rFonts w:hint="eastAsia" w:ascii="宋体" w:hAnsi="宋体"/>
          <w:bCs/>
        </w:rPr>
        <w:t>第1条 一般约定</w:t>
      </w:r>
      <w:r>
        <w:rPr>
          <w:rFonts w:hint="eastAsia" w:ascii="宋体" w:hAnsi="宋体"/>
        </w:rPr>
        <w:tab/>
      </w:r>
      <w:r>
        <w:rPr>
          <w:rFonts w:hint="eastAsia" w:ascii="宋体" w:hAnsi="宋体"/>
        </w:rPr>
        <w:fldChar w:fldCharType="begin"/>
      </w:r>
      <w:r>
        <w:rPr>
          <w:rFonts w:hint="eastAsia" w:ascii="宋体" w:hAnsi="宋体"/>
        </w:rPr>
        <w:instrText xml:space="preserve"> PAGEREF _Toc54862332 \h </w:instrText>
      </w:r>
      <w:r>
        <w:rPr>
          <w:rFonts w:hint="eastAsia" w:ascii="宋体" w:hAnsi="宋体"/>
        </w:rPr>
        <w:fldChar w:fldCharType="separate"/>
      </w:r>
      <w:r>
        <w:rPr>
          <w:rFonts w:ascii="宋体" w:hAnsi="宋体"/>
        </w:rPr>
        <w:t>131</w:t>
      </w:r>
      <w:r>
        <w:rPr>
          <w:rFonts w:hint="eastAsia" w:ascii="宋体" w:hAnsi="宋体"/>
        </w:rPr>
        <w:fldChar w:fldCharType="end"/>
      </w:r>
    </w:p>
    <w:p w14:paraId="08CF7C06">
      <w:pPr>
        <w:pStyle w:val="37"/>
        <w:tabs>
          <w:tab w:val="right" w:leader="dot" w:pos="8296"/>
        </w:tabs>
        <w:ind w:left="480"/>
        <w:rPr>
          <w:rFonts w:ascii="宋体" w:hAnsi="宋体"/>
          <w:sz w:val="21"/>
          <w:szCs w:val="22"/>
        </w:rPr>
      </w:pPr>
      <w:r>
        <w:rPr>
          <w:rFonts w:hint="eastAsia" w:ascii="宋体" w:hAnsi="宋体"/>
          <w:bCs/>
        </w:rPr>
        <w:t>第2条 发包人</w:t>
      </w:r>
      <w:r>
        <w:rPr>
          <w:rFonts w:hint="eastAsia" w:ascii="宋体" w:hAnsi="宋体"/>
        </w:rPr>
        <w:tab/>
      </w:r>
      <w:r>
        <w:rPr>
          <w:rFonts w:hint="eastAsia" w:ascii="宋体" w:hAnsi="宋体"/>
        </w:rPr>
        <w:fldChar w:fldCharType="begin"/>
      </w:r>
      <w:r>
        <w:rPr>
          <w:rFonts w:hint="eastAsia" w:ascii="宋体" w:hAnsi="宋体"/>
        </w:rPr>
        <w:instrText xml:space="preserve"> PAGEREF _Toc54862333 \h </w:instrText>
      </w:r>
      <w:r>
        <w:rPr>
          <w:rFonts w:hint="eastAsia" w:ascii="宋体" w:hAnsi="宋体"/>
        </w:rPr>
        <w:fldChar w:fldCharType="separate"/>
      </w:r>
      <w:r>
        <w:rPr>
          <w:rFonts w:ascii="宋体" w:hAnsi="宋体"/>
        </w:rPr>
        <w:t>133</w:t>
      </w:r>
      <w:r>
        <w:rPr>
          <w:rFonts w:hint="eastAsia" w:ascii="宋体" w:hAnsi="宋体"/>
        </w:rPr>
        <w:fldChar w:fldCharType="end"/>
      </w:r>
    </w:p>
    <w:p w14:paraId="58345275">
      <w:pPr>
        <w:pStyle w:val="37"/>
        <w:tabs>
          <w:tab w:val="right" w:leader="dot" w:pos="8296"/>
        </w:tabs>
        <w:ind w:left="480"/>
        <w:rPr>
          <w:rFonts w:ascii="宋体" w:hAnsi="宋体"/>
          <w:sz w:val="21"/>
          <w:szCs w:val="22"/>
        </w:rPr>
      </w:pPr>
      <w:r>
        <w:rPr>
          <w:rFonts w:hint="eastAsia" w:ascii="宋体" w:hAnsi="宋体"/>
          <w:bCs/>
        </w:rPr>
        <w:t>第3条 发包人的管理</w:t>
      </w:r>
      <w:r>
        <w:rPr>
          <w:rFonts w:hint="eastAsia" w:ascii="宋体" w:hAnsi="宋体"/>
        </w:rPr>
        <w:tab/>
      </w:r>
      <w:r>
        <w:rPr>
          <w:rFonts w:hint="eastAsia" w:ascii="宋体" w:hAnsi="宋体"/>
        </w:rPr>
        <w:fldChar w:fldCharType="begin"/>
      </w:r>
      <w:r>
        <w:rPr>
          <w:rFonts w:hint="eastAsia" w:ascii="宋体" w:hAnsi="宋体"/>
        </w:rPr>
        <w:instrText xml:space="preserve"> PAGEREF _Toc54862334 \h </w:instrText>
      </w:r>
      <w:r>
        <w:rPr>
          <w:rFonts w:hint="eastAsia" w:ascii="宋体" w:hAnsi="宋体"/>
        </w:rPr>
        <w:fldChar w:fldCharType="separate"/>
      </w:r>
      <w:r>
        <w:rPr>
          <w:rFonts w:ascii="宋体" w:hAnsi="宋体"/>
        </w:rPr>
        <w:t>134</w:t>
      </w:r>
      <w:r>
        <w:rPr>
          <w:rFonts w:hint="eastAsia" w:ascii="宋体" w:hAnsi="宋体"/>
        </w:rPr>
        <w:fldChar w:fldCharType="end"/>
      </w:r>
    </w:p>
    <w:p w14:paraId="42BF64F6">
      <w:pPr>
        <w:pStyle w:val="37"/>
        <w:tabs>
          <w:tab w:val="right" w:leader="dot" w:pos="8296"/>
        </w:tabs>
        <w:ind w:left="480"/>
        <w:rPr>
          <w:rFonts w:ascii="宋体" w:hAnsi="宋体"/>
          <w:sz w:val="21"/>
          <w:szCs w:val="22"/>
        </w:rPr>
      </w:pPr>
      <w:r>
        <w:rPr>
          <w:rFonts w:hint="eastAsia" w:ascii="宋体" w:hAnsi="宋体"/>
          <w:bCs/>
        </w:rPr>
        <w:t>第4条 承包人</w:t>
      </w:r>
      <w:r>
        <w:rPr>
          <w:rFonts w:hint="eastAsia" w:ascii="宋体" w:hAnsi="宋体"/>
        </w:rPr>
        <w:tab/>
      </w:r>
      <w:r>
        <w:rPr>
          <w:rFonts w:hint="eastAsia" w:ascii="宋体" w:hAnsi="宋体"/>
        </w:rPr>
        <w:fldChar w:fldCharType="begin"/>
      </w:r>
      <w:r>
        <w:rPr>
          <w:rFonts w:hint="eastAsia" w:ascii="宋体" w:hAnsi="宋体"/>
        </w:rPr>
        <w:instrText xml:space="preserve"> PAGEREF _Toc54862335 \h </w:instrText>
      </w:r>
      <w:r>
        <w:rPr>
          <w:rFonts w:hint="eastAsia" w:ascii="宋体" w:hAnsi="宋体"/>
        </w:rPr>
        <w:fldChar w:fldCharType="separate"/>
      </w:r>
      <w:r>
        <w:rPr>
          <w:rFonts w:ascii="宋体" w:hAnsi="宋体"/>
        </w:rPr>
        <w:t>135</w:t>
      </w:r>
      <w:r>
        <w:rPr>
          <w:rFonts w:hint="eastAsia" w:ascii="宋体" w:hAnsi="宋体"/>
        </w:rPr>
        <w:fldChar w:fldCharType="end"/>
      </w:r>
    </w:p>
    <w:p w14:paraId="48CD3D6C">
      <w:pPr>
        <w:pStyle w:val="37"/>
        <w:tabs>
          <w:tab w:val="right" w:leader="dot" w:pos="8296"/>
        </w:tabs>
        <w:ind w:left="480"/>
        <w:rPr>
          <w:rFonts w:ascii="宋体" w:hAnsi="宋体"/>
          <w:sz w:val="21"/>
          <w:szCs w:val="22"/>
        </w:rPr>
      </w:pPr>
      <w:r>
        <w:rPr>
          <w:rFonts w:hint="eastAsia" w:ascii="宋体" w:hAnsi="宋体"/>
          <w:bCs/>
        </w:rPr>
        <w:t>第5条 设计</w:t>
      </w:r>
      <w:r>
        <w:rPr>
          <w:rFonts w:hint="eastAsia" w:ascii="宋体" w:hAnsi="宋体"/>
        </w:rPr>
        <w:tab/>
      </w:r>
      <w:r>
        <w:rPr>
          <w:rFonts w:hint="eastAsia" w:ascii="宋体" w:hAnsi="宋体"/>
        </w:rPr>
        <w:fldChar w:fldCharType="begin"/>
      </w:r>
      <w:r>
        <w:rPr>
          <w:rFonts w:hint="eastAsia" w:ascii="宋体" w:hAnsi="宋体"/>
        </w:rPr>
        <w:instrText xml:space="preserve"> PAGEREF _Toc54862336 \h </w:instrText>
      </w:r>
      <w:r>
        <w:rPr>
          <w:rFonts w:hint="eastAsia" w:ascii="宋体" w:hAnsi="宋体"/>
        </w:rPr>
        <w:fldChar w:fldCharType="separate"/>
      </w:r>
      <w:r>
        <w:rPr>
          <w:rFonts w:ascii="宋体" w:hAnsi="宋体"/>
        </w:rPr>
        <w:t>138</w:t>
      </w:r>
      <w:r>
        <w:rPr>
          <w:rFonts w:hint="eastAsia" w:ascii="宋体" w:hAnsi="宋体"/>
        </w:rPr>
        <w:fldChar w:fldCharType="end"/>
      </w:r>
    </w:p>
    <w:p w14:paraId="3AE68A0F">
      <w:pPr>
        <w:pStyle w:val="37"/>
        <w:tabs>
          <w:tab w:val="right" w:leader="dot" w:pos="8296"/>
        </w:tabs>
        <w:ind w:left="480"/>
        <w:rPr>
          <w:rFonts w:ascii="宋体" w:hAnsi="宋体"/>
          <w:sz w:val="21"/>
          <w:szCs w:val="22"/>
        </w:rPr>
      </w:pPr>
      <w:r>
        <w:rPr>
          <w:rFonts w:hint="eastAsia" w:ascii="宋体" w:hAnsi="宋体"/>
          <w:bCs/>
        </w:rPr>
        <w:t>第6条 材料、工程设备</w:t>
      </w:r>
      <w:r>
        <w:rPr>
          <w:rFonts w:hint="eastAsia" w:ascii="宋体" w:hAnsi="宋体"/>
        </w:rPr>
        <w:tab/>
      </w:r>
      <w:r>
        <w:rPr>
          <w:rFonts w:hint="eastAsia" w:ascii="宋体" w:hAnsi="宋体"/>
        </w:rPr>
        <w:fldChar w:fldCharType="begin"/>
      </w:r>
      <w:r>
        <w:rPr>
          <w:rFonts w:hint="eastAsia" w:ascii="宋体" w:hAnsi="宋体"/>
        </w:rPr>
        <w:instrText xml:space="preserve"> PAGEREF _Toc54862337 \h </w:instrText>
      </w:r>
      <w:r>
        <w:rPr>
          <w:rFonts w:hint="eastAsia" w:ascii="宋体" w:hAnsi="宋体"/>
        </w:rPr>
        <w:fldChar w:fldCharType="separate"/>
      </w:r>
      <w:r>
        <w:rPr>
          <w:rFonts w:ascii="宋体" w:hAnsi="宋体"/>
        </w:rPr>
        <w:t>139</w:t>
      </w:r>
      <w:r>
        <w:rPr>
          <w:rFonts w:hint="eastAsia" w:ascii="宋体" w:hAnsi="宋体"/>
        </w:rPr>
        <w:fldChar w:fldCharType="end"/>
      </w:r>
    </w:p>
    <w:p w14:paraId="592471CF">
      <w:pPr>
        <w:pStyle w:val="37"/>
        <w:tabs>
          <w:tab w:val="right" w:leader="dot" w:pos="8296"/>
        </w:tabs>
        <w:ind w:left="480"/>
        <w:rPr>
          <w:rFonts w:ascii="宋体" w:hAnsi="宋体"/>
          <w:sz w:val="21"/>
          <w:szCs w:val="22"/>
        </w:rPr>
      </w:pPr>
      <w:r>
        <w:rPr>
          <w:rFonts w:hint="eastAsia" w:ascii="宋体" w:hAnsi="宋体"/>
        </w:rPr>
        <w:t>第7条 施工</w:t>
      </w:r>
      <w:r>
        <w:rPr>
          <w:rFonts w:hint="eastAsia" w:ascii="宋体" w:hAnsi="宋体"/>
        </w:rPr>
        <w:tab/>
      </w:r>
      <w:r>
        <w:rPr>
          <w:rFonts w:hint="eastAsia" w:ascii="宋体" w:hAnsi="宋体"/>
        </w:rPr>
        <w:fldChar w:fldCharType="begin"/>
      </w:r>
      <w:r>
        <w:rPr>
          <w:rFonts w:hint="eastAsia" w:ascii="宋体" w:hAnsi="宋体"/>
        </w:rPr>
        <w:instrText xml:space="preserve"> PAGEREF _Toc54862338 \h </w:instrText>
      </w:r>
      <w:r>
        <w:rPr>
          <w:rFonts w:hint="eastAsia" w:ascii="宋体" w:hAnsi="宋体"/>
        </w:rPr>
        <w:fldChar w:fldCharType="separate"/>
      </w:r>
      <w:r>
        <w:rPr>
          <w:rFonts w:ascii="宋体" w:hAnsi="宋体"/>
        </w:rPr>
        <w:t>140</w:t>
      </w:r>
      <w:r>
        <w:rPr>
          <w:rFonts w:hint="eastAsia" w:ascii="宋体" w:hAnsi="宋体"/>
        </w:rPr>
        <w:fldChar w:fldCharType="end"/>
      </w:r>
    </w:p>
    <w:p w14:paraId="327F54D2">
      <w:pPr>
        <w:pStyle w:val="37"/>
        <w:tabs>
          <w:tab w:val="right" w:leader="dot" w:pos="8296"/>
        </w:tabs>
        <w:ind w:left="480"/>
        <w:rPr>
          <w:rFonts w:ascii="宋体" w:hAnsi="宋体"/>
          <w:sz w:val="21"/>
          <w:szCs w:val="22"/>
        </w:rPr>
      </w:pPr>
      <w:r>
        <w:rPr>
          <w:rFonts w:hint="eastAsia" w:ascii="宋体" w:hAnsi="宋体"/>
          <w:bCs/>
        </w:rPr>
        <w:t>第8条 工期和进度</w:t>
      </w:r>
      <w:r>
        <w:rPr>
          <w:rFonts w:hint="eastAsia" w:ascii="宋体" w:hAnsi="宋体"/>
        </w:rPr>
        <w:tab/>
      </w:r>
      <w:r>
        <w:rPr>
          <w:rFonts w:hint="eastAsia" w:ascii="宋体" w:hAnsi="宋体"/>
        </w:rPr>
        <w:fldChar w:fldCharType="begin"/>
      </w:r>
      <w:r>
        <w:rPr>
          <w:rFonts w:hint="eastAsia" w:ascii="宋体" w:hAnsi="宋体"/>
        </w:rPr>
        <w:instrText xml:space="preserve"> PAGEREF _Toc54862339 \h </w:instrText>
      </w:r>
      <w:r>
        <w:rPr>
          <w:rFonts w:hint="eastAsia" w:ascii="宋体" w:hAnsi="宋体"/>
        </w:rPr>
        <w:fldChar w:fldCharType="separate"/>
      </w:r>
      <w:r>
        <w:rPr>
          <w:rFonts w:ascii="宋体" w:hAnsi="宋体"/>
        </w:rPr>
        <w:t>142</w:t>
      </w:r>
      <w:r>
        <w:rPr>
          <w:rFonts w:hint="eastAsia" w:ascii="宋体" w:hAnsi="宋体"/>
        </w:rPr>
        <w:fldChar w:fldCharType="end"/>
      </w:r>
    </w:p>
    <w:p w14:paraId="662D1971">
      <w:pPr>
        <w:pStyle w:val="37"/>
        <w:tabs>
          <w:tab w:val="right" w:leader="dot" w:pos="8296"/>
        </w:tabs>
        <w:ind w:left="480"/>
        <w:rPr>
          <w:rFonts w:ascii="宋体" w:hAnsi="宋体"/>
          <w:sz w:val="21"/>
          <w:szCs w:val="22"/>
        </w:rPr>
      </w:pPr>
      <w:r>
        <w:rPr>
          <w:rFonts w:hint="eastAsia" w:ascii="宋体" w:hAnsi="宋体"/>
          <w:bCs/>
        </w:rPr>
        <w:t>第9条 竣工试验</w:t>
      </w:r>
      <w:r>
        <w:rPr>
          <w:rFonts w:hint="eastAsia" w:ascii="宋体" w:hAnsi="宋体"/>
        </w:rPr>
        <w:tab/>
      </w:r>
      <w:r>
        <w:rPr>
          <w:rFonts w:hint="eastAsia" w:ascii="宋体" w:hAnsi="宋体"/>
        </w:rPr>
        <w:fldChar w:fldCharType="begin"/>
      </w:r>
      <w:r>
        <w:rPr>
          <w:rFonts w:hint="eastAsia" w:ascii="宋体" w:hAnsi="宋体"/>
        </w:rPr>
        <w:instrText xml:space="preserve"> PAGEREF _Toc54862340 \h </w:instrText>
      </w:r>
      <w:r>
        <w:rPr>
          <w:rFonts w:hint="eastAsia" w:ascii="宋体" w:hAnsi="宋体"/>
        </w:rPr>
        <w:fldChar w:fldCharType="separate"/>
      </w:r>
      <w:r>
        <w:rPr>
          <w:rFonts w:ascii="宋体" w:hAnsi="宋体"/>
        </w:rPr>
        <w:t>144</w:t>
      </w:r>
      <w:r>
        <w:rPr>
          <w:rFonts w:hint="eastAsia" w:ascii="宋体" w:hAnsi="宋体"/>
        </w:rPr>
        <w:fldChar w:fldCharType="end"/>
      </w:r>
    </w:p>
    <w:p w14:paraId="1A641061">
      <w:pPr>
        <w:pStyle w:val="37"/>
        <w:tabs>
          <w:tab w:val="right" w:leader="dot" w:pos="8296"/>
        </w:tabs>
        <w:ind w:left="480"/>
        <w:rPr>
          <w:rFonts w:ascii="宋体" w:hAnsi="宋体"/>
          <w:sz w:val="21"/>
          <w:szCs w:val="22"/>
        </w:rPr>
      </w:pPr>
      <w:r>
        <w:rPr>
          <w:rFonts w:hint="eastAsia" w:ascii="宋体" w:hAnsi="宋体"/>
          <w:bCs/>
        </w:rPr>
        <w:t>第10条 验收和工程接收</w:t>
      </w:r>
      <w:r>
        <w:rPr>
          <w:rFonts w:hint="eastAsia" w:ascii="宋体" w:hAnsi="宋体"/>
        </w:rPr>
        <w:tab/>
      </w:r>
      <w:r>
        <w:rPr>
          <w:rFonts w:hint="eastAsia" w:ascii="宋体" w:hAnsi="宋体"/>
        </w:rPr>
        <w:fldChar w:fldCharType="begin"/>
      </w:r>
      <w:r>
        <w:rPr>
          <w:rFonts w:hint="eastAsia" w:ascii="宋体" w:hAnsi="宋体"/>
        </w:rPr>
        <w:instrText xml:space="preserve"> PAGEREF _Toc54862341 \h </w:instrText>
      </w:r>
      <w:r>
        <w:rPr>
          <w:rFonts w:hint="eastAsia" w:ascii="宋体" w:hAnsi="宋体"/>
        </w:rPr>
        <w:fldChar w:fldCharType="separate"/>
      </w:r>
      <w:r>
        <w:rPr>
          <w:rFonts w:ascii="宋体" w:hAnsi="宋体"/>
        </w:rPr>
        <w:t>144</w:t>
      </w:r>
      <w:r>
        <w:rPr>
          <w:rFonts w:hint="eastAsia" w:ascii="宋体" w:hAnsi="宋体"/>
        </w:rPr>
        <w:fldChar w:fldCharType="end"/>
      </w:r>
    </w:p>
    <w:p w14:paraId="1BA82B85">
      <w:pPr>
        <w:pStyle w:val="37"/>
        <w:tabs>
          <w:tab w:val="right" w:leader="dot" w:pos="8296"/>
        </w:tabs>
        <w:ind w:left="480"/>
        <w:rPr>
          <w:rFonts w:ascii="宋体" w:hAnsi="宋体"/>
          <w:sz w:val="21"/>
          <w:szCs w:val="22"/>
        </w:rPr>
      </w:pPr>
      <w:r>
        <w:rPr>
          <w:rFonts w:hint="eastAsia" w:ascii="宋体" w:hAnsi="宋体"/>
          <w:bCs/>
        </w:rPr>
        <w:t>第11条 缺陷责任与保修</w:t>
      </w:r>
      <w:r>
        <w:rPr>
          <w:rFonts w:hint="eastAsia" w:ascii="宋体" w:hAnsi="宋体"/>
        </w:rPr>
        <w:tab/>
      </w:r>
      <w:r>
        <w:rPr>
          <w:rFonts w:hint="eastAsia" w:ascii="宋体" w:hAnsi="宋体"/>
        </w:rPr>
        <w:fldChar w:fldCharType="begin"/>
      </w:r>
      <w:r>
        <w:rPr>
          <w:rFonts w:hint="eastAsia" w:ascii="宋体" w:hAnsi="宋体"/>
        </w:rPr>
        <w:instrText xml:space="preserve"> PAGEREF _Toc54862342 \h </w:instrText>
      </w:r>
      <w:r>
        <w:rPr>
          <w:rFonts w:hint="eastAsia" w:ascii="宋体" w:hAnsi="宋体"/>
        </w:rPr>
        <w:fldChar w:fldCharType="separate"/>
      </w:r>
      <w:r>
        <w:rPr>
          <w:rFonts w:ascii="宋体" w:hAnsi="宋体"/>
        </w:rPr>
        <w:t>145</w:t>
      </w:r>
      <w:r>
        <w:rPr>
          <w:rFonts w:hint="eastAsia" w:ascii="宋体" w:hAnsi="宋体"/>
        </w:rPr>
        <w:fldChar w:fldCharType="end"/>
      </w:r>
    </w:p>
    <w:p w14:paraId="5959DACA">
      <w:pPr>
        <w:pStyle w:val="37"/>
        <w:tabs>
          <w:tab w:val="right" w:leader="dot" w:pos="8296"/>
        </w:tabs>
        <w:ind w:left="480"/>
        <w:rPr>
          <w:rFonts w:ascii="宋体" w:hAnsi="宋体"/>
          <w:sz w:val="21"/>
          <w:szCs w:val="22"/>
        </w:rPr>
      </w:pPr>
      <w:r>
        <w:rPr>
          <w:rFonts w:hint="eastAsia" w:ascii="宋体" w:hAnsi="宋体"/>
          <w:bCs/>
        </w:rPr>
        <w:t>第12条 竣工后试验</w:t>
      </w:r>
      <w:r>
        <w:rPr>
          <w:rFonts w:hint="eastAsia" w:ascii="宋体" w:hAnsi="宋体"/>
        </w:rPr>
        <w:tab/>
      </w:r>
      <w:r>
        <w:rPr>
          <w:rFonts w:hint="eastAsia" w:ascii="宋体" w:hAnsi="宋体"/>
        </w:rPr>
        <w:fldChar w:fldCharType="begin"/>
      </w:r>
      <w:r>
        <w:rPr>
          <w:rFonts w:hint="eastAsia" w:ascii="宋体" w:hAnsi="宋体"/>
        </w:rPr>
        <w:instrText xml:space="preserve"> PAGEREF _Toc54862343 \h </w:instrText>
      </w:r>
      <w:r>
        <w:rPr>
          <w:rFonts w:hint="eastAsia" w:ascii="宋体" w:hAnsi="宋体"/>
        </w:rPr>
        <w:fldChar w:fldCharType="separate"/>
      </w:r>
      <w:r>
        <w:rPr>
          <w:rFonts w:ascii="宋体" w:hAnsi="宋体"/>
        </w:rPr>
        <w:t>146</w:t>
      </w:r>
      <w:r>
        <w:rPr>
          <w:rFonts w:hint="eastAsia" w:ascii="宋体" w:hAnsi="宋体"/>
        </w:rPr>
        <w:fldChar w:fldCharType="end"/>
      </w:r>
    </w:p>
    <w:p w14:paraId="71C70D60">
      <w:pPr>
        <w:pStyle w:val="37"/>
        <w:tabs>
          <w:tab w:val="right" w:leader="dot" w:pos="8296"/>
        </w:tabs>
        <w:ind w:left="480"/>
        <w:rPr>
          <w:rFonts w:ascii="宋体" w:hAnsi="宋体"/>
          <w:sz w:val="21"/>
          <w:szCs w:val="22"/>
        </w:rPr>
      </w:pPr>
      <w:r>
        <w:rPr>
          <w:rFonts w:hint="eastAsia" w:ascii="宋体" w:hAnsi="宋体"/>
          <w:bCs/>
        </w:rPr>
        <w:t>第13条 变更与调整</w:t>
      </w:r>
      <w:r>
        <w:rPr>
          <w:rFonts w:hint="eastAsia" w:ascii="宋体" w:hAnsi="宋体"/>
        </w:rPr>
        <w:tab/>
      </w:r>
      <w:r>
        <w:rPr>
          <w:rFonts w:hint="eastAsia" w:ascii="宋体" w:hAnsi="宋体"/>
        </w:rPr>
        <w:fldChar w:fldCharType="begin"/>
      </w:r>
      <w:r>
        <w:rPr>
          <w:rFonts w:hint="eastAsia" w:ascii="宋体" w:hAnsi="宋体"/>
        </w:rPr>
        <w:instrText xml:space="preserve"> PAGEREF _Toc54862344 \h </w:instrText>
      </w:r>
      <w:r>
        <w:rPr>
          <w:rFonts w:hint="eastAsia" w:ascii="宋体" w:hAnsi="宋体"/>
        </w:rPr>
        <w:fldChar w:fldCharType="separate"/>
      </w:r>
      <w:r>
        <w:rPr>
          <w:rFonts w:ascii="宋体" w:hAnsi="宋体"/>
        </w:rPr>
        <w:t>146</w:t>
      </w:r>
      <w:r>
        <w:rPr>
          <w:rFonts w:hint="eastAsia" w:ascii="宋体" w:hAnsi="宋体"/>
        </w:rPr>
        <w:fldChar w:fldCharType="end"/>
      </w:r>
    </w:p>
    <w:p w14:paraId="62FB8D80">
      <w:pPr>
        <w:pStyle w:val="37"/>
        <w:tabs>
          <w:tab w:val="right" w:leader="dot" w:pos="8296"/>
        </w:tabs>
        <w:ind w:left="480"/>
        <w:rPr>
          <w:rFonts w:ascii="宋体" w:hAnsi="宋体"/>
          <w:sz w:val="21"/>
          <w:szCs w:val="22"/>
        </w:rPr>
      </w:pPr>
      <w:r>
        <w:rPr>
          <w:rFonts w:hint="eastAsia" w:ascii="宋体" w:hAnsi="宋体"/>
          <w:bCs/>
        </w:rPr>
        <w:t>第14条 合同价格与支付</w:t>
      </w:r>
      <w:r>
        <w:rPr>
          <w:rFonts w:hint="eastAsia" w:ascii="宋体" w:hAnsi="宋体"/>
        </w:rPr>
        <w:tab/>
      </w:r>
      <w:r>
        <w:rPr>
          <w:rFonts w:hint="eastAsia" w:ascii="宋体" w:hAnsi="宋体"/>
        </w:rPr>
        <w:fldChar w:fldCharType="begin"/>
      </w:r>
      <w:r>
        <w:rPr>
          <w:rFonts w:hint="eastAsia" w:ascii="宋体" w:hAnsi="宋体"/>
        </w:rPr>
        <w:instrText xml:space="preserve"> PAGEREF _Toc54862345 \h </w:instrText>
      </w:r>
      <w:r>
        <w:rPr>
          <w:rFonts w:hint="eastAsia" w:ascii="宋体" w:hAnsi="宋体"/>
        </w:rPr>
        <w:fldChar w:fldCharType="separate"/>
      </w:r>
      <w:r>
        <w:rPr>
          <w:rFonts w:ascii="宋体" w:hAnsi="宋体"/>
        </w:rPr>
        <w:t>148</w:t>
      </w:r>
      <w:r>
        <w:rPr>
          <w:rFonts w:hint="eastAsia" w:ascii="宋体" w:hAnsi="宋体"/>
        </w:rPr>
        <w:fldChar w:fldCharType="end"/>
      </w:r>
    </w:p>
    <w:p w14:paraId="02B958A2">
      <w:pPr>
        <w:pStyle w:val="37"/>
        <w:tabs>
          <w:tab w:val="right" w:leader="dot" w:pos="8296"/>
        </w:tabs>
        <w:ind w:left="480"/>
        <w:rPr>
          <w:rFonts w:ascii="宋体" w:hAnsi="宋体"/>
          <w:sz w:val="21"/>
          <w:szCs w:val="22"/>
        </w:rPr>
      </w:pPr>
      <w:r>
        <w:rPr>
          <w:rFonts w:hint="eastAsia" w:ascii="宋体" w:hAnsi="宋体"/>
          <w:bCs/>
        </w:rPr>
        <w:t>第15条 违约</w:t>
      </w:r>
      <w:r>
        <w:rPr>
          <w:rFonts w:hint="eastAsia" w:ascii="宋体" w:hAnsi="宋体"/>
        </w:rPr>
        <w:tab/>
      </w:r>
      <w:r>
        <w:rPr>
          <w:rFonts w:hint="eastAsia" w:ascii="宋体" w:hAnsi="宋体"/>
        </w:rPr>
        <w:fldChar w:fldCharType="begin"/>
      </w:r>
      <w:r>
        <w:rPr>
          <w:rFonts w:hint="eastAsia" w:ascii="宋体" w:hAnsi="宋体"/>
        </w:rPr>
        <w:instrText xml:space="preserve"> PAGEREF _Toc54862346 \h </w:instrText>
      </w:r>
      <w:r>
        <w:rPr>
          <w:rFonts w:hint="eastAsia" w:ascii="宋体" w:hAnsi="宋体"/>
        </w:rPr>
        <w:fldChar w:fldCharType="separate"/>
      </w:r>
      <w:r>
        <w:rPr>
          <w:rFonts w:ascii="宋体" w:hAnsi="宋体"/>
        </w:rPr>
        <w:t>151</w:t>
      </w:r>
      <w:r>
        <w:rPr>
          <w:rFonts w:hint="eastAsia" w:ascii="宋体" w:hAnsi="宋体"/>
        </w:rPr>
        <w:fldChar w:fldCharType="end"/>
      </w:r>
    </w:p>
    <w:p w14:paraId="6E85DD11">
      <w:pPr>
        <w:pStyle w:val="37"/>
        <w:tabs>
          <w:tab w:val="right" w:leader="dot" w:pos="8296"/>
        </w:tabs>
        <w:ind w:left="480"/>
        <w:rPr>
          <w:rFonts w:ascii="宋体" w:hAnsi="宋体"/>
          <w:sz w:val="21"/>
          <w:szCs w:val="22"/>
        </w:rPr>
      </w:pPr>
      <w:r>
        <w:rPr>
          <w:rFonts w:hint="eastAsia" w:ascii="宋体" w:hAnsi="宋体"/>
          <w:bCs/>
        </w:rPr>
        <w:t>第16条 合同解除</w:t>
      </w:r>
      <w:r>
        <w:rPr>
          <w:rFonts w:hint="eastAsia" w:ascii="宋体" w:hAnsi="宋体"/>
        </w:rPr>
        <w:tab/>
      </w:r>
      <w:r>
        <w:rPr>
          <w:rFonts w:hint="eastAsia" w:ascii="宋体" w:hAnsi="宋体"/>
        </w:rPr>
        <w:fldChar w:fldCharType="begin"/>
      </w:r>
      <w:r>
        <w:rPr>
          <w:rFonts w:hint="eastAsia" w:ascii="宋体" w:hAnsi="宋体"/>
        </w:rPr>
        <w:instrText xml:space="preserve"> PAGEREF _Toc54862347 \h </w:instrText>
      </w:r>
      <w:r>
        <w:rPr>
          <w:rFonts w:hint="eastAsia" w:ascii="宋体" w:hAnsi="宋体"/>
        </w:rPr>
        <w:fldChar w:fldCharType="separate"/>
      </w:r>
      <w:r>
        <w:rPr>
          <w:rFonts w:ascii="宋体" w:hAnsi="宋体"/>
        </w:rPr>
        <w:t>151</w:t>
      </w:r>
      <w:r>
        <w:rPr>
          <w:rFonts w:hint="eastAsia" w:ascii="宋体" w:hAnsi="宋体"/>
        </w:rPr>
        <w:fldChar w:fldCharType="end"/>
      </w:r>
    </w:p>
    <w:p w14:paraId="2D4F04A9">
      <w:pPr>
        <w:pStyle w:val="37"/>
        <w:tabs>
          <w:tab w:val="right" w:leader="dot" w:pos="8296"/>
        </w:tabs>
        <w:ind w:left="480"/>
        <w:rPr>
          <w:rFonts w:ascii="宋体" w:hAnsi="宋体"/>
          <w:sz w:val="21"/>
          <w:szCs w:val="22"/>
        </w:rPr>
      </w:pPr>
      <w:r>
        <w:rPr>
          <w:rFonts w:hint="eastAsia" w:ascii="宋体" w:hAnsi="宋体"/>
          <w:bCs/>
        </w:rPr>
        <w:t>第17条 不可抗力</w:t>
      </w:r>
      <w:r>
        <w:rPr>
          <w:rFonts w:hint="eastAsia" w:ascii="宋体" w:hAnsi="宋体"/>
        </w:rPr>
        <w:tab/>
      </w:r>
      <w:r>
        <w:rPr>
          <w:rFonts w:hint="eastAsia" w:ascii="宋体" w:hAnsi="宋体"/>
        </w:rPr>
        <w:fldChar w:fldCharType="begin"/>
      </w:r>
      <w:r>
        <w:rPr>
          <w:rFonts w:hint="eastAsia" w:ascii="宋体" w:hAnsi="宋体"/>
        </w:rPr>
        <w:instrText xml:space="preserve"> PAGEREF _Toc54862348 \h </w:instrText>
      </w:r>
      <w:r>
        <w:rPr>
          <w:rFonts w:hint="eastAsia" w:ascii="宋体" w:hAnsi="宋体"/>
        </w:rPr>
        <w:fldChar w:fldCharType="separate"/>
      </w:r>
      <w:r>
        <w:rPr>
          <w:rFonts w:ascii="宋体" w:hAnsi="宋体"/>
        </w:rPr>
        <w:t>152</w:t>
      </w:r>
      <w:r>
        <w:rPr>
          <w:rFonts w:hint="eastAsia" w:ascii="宋体" w:hAnsi="宋体"/>
        </w:rPr>
        <w:fldChar w:fldCharType="end"/>
      </w:r>
    </w:p>
    <w:p w14:paraId="42327A40">
      <w:pPr>
        <w:pStyle w:val="37"/>
        <w:tabs>
          <w:tab w:val="right" w:leader="dot" w:pos="8296"/>
        </w:tabs>
        <w:ind w:left="480"/>
        <w:rPr>
          <w:rFonts w:ascii="宋体" w:hAnsi="宋体"/>
          <w:sz w:val="21"/>
          <w:szCs w:val="22"/>
        </w:rPr>
      </w:pPr>
      <w:r>
        <w:rPr>
          <w:rFonts w:hint="eastAsia" w:ascii="宋体" w:hAnsi="宋体"/>
          <w:bCs/>
        </w:rPr>
        <w:t>第18条 保险</w:t>
      </w:r>
      <w:r>
        <w:rPr>
          <w:rFonts w:hint="eastAsia" w:ascii="宋体" w:hAnsi="宋体"/>
        </w:rPr>
        <w:tab/>
      </w:r>
      <w:r>
        <w:rPr>
          <w:rFonts w:hint="eastAsia" w:ascii="宋体" w:hAnsi="宋体"/>
        </w:rPr>
        <w:fldChar w:fldCharType="begin"/>
      </w:r>
      <w:r>
        <w:rPr>
          <w:rFonts w:hint="eastAsia" w:ascii="宋体" w:hAnsi="宋体"/>
        </w:rPr>
        <w:instrText xml:space="preserve"> PAGEREF _Toc54862349 \h </w:instrText>
      </w:r>
      <w:r>
        <w:rPr>
          <w:rFonts w:hint="eastAsia" w:ascii="宋体" w:hAnsi="宋体"/>
        </w:rPr>
        <w:fldChar w:fldCharType="separate"/>
      </w:r>
      <w:r>
        <w:rPr>
          <w:rFonts w:ascii="宋体" w:hAnsi="宋体"/>
        </w:rPr>
        <w:t>152</w:t>
      </w:r>
      <w:r>
        <w:rPr>
          <w:rFonts w:hint="eastAsia" w:ascii="宋体" w:hAnsi="宋体"/>
        </w:rPr>
        <w:fldChar w:fldCharType="end"/>
      </w:r>
    </w:p>
    <w:p w14:paraId="09E807FA">
      <w:pPr>
        <w:pStyle w:val="37"/>
        <w:tabs>
          <w:tab w:val="right" w:leader="dot" w:pos="8296"/>
        </w:tabs>
        <w:ind w:left="480"/>
        <w:rPr>
          <w:rFonts w:ascii="宋体" w:hAnsi="宋体"/>
          <w:sz w:val="21"/>
          <w:szCs w:val="22"/>
        </w:rPr>
      </w:pPr>
      <w:r>
        <w:rPr>
          <w:rFonts w:hint="eastAsia" w:ascii="宋体" w:hAnsi="宋体"/>
          <w:bCs/>
        </w:rPr>
        <w:t>第20条 争议解决</w:t>
      </w:r>
      <w:r>
        <w:rPr>
          <w:rFonts w:hint="eastAsia" w:ascii="宋体" w:hAnsi="宋体"/>
        </w:rPr>
        <w:tab/>
      </w:r>
      <w:r>
        <w:rPr>
          <w:rFonts w:hint="eastAsia" w:ascii="宋体" w:hAnsi="宋体"/>
        </w:rPr>
        <w:fldChar w:fldCharType="begin"/>
      </w:r>
      <w:r>
        <w:rPr>
          <w:rFonts w:hint="eastAsia" w:ascii="宋体" w:hAnsi="宋体"/>
        </w:rPr>
        <w:instrText xml:space="preserve"> PAGEREF _Toc54862350 \h </w:instrText>
      </w:r>
      <w:r>
        <w:rPr>
          <w:rFonts w:hint="eastAsia" w:ascii="宋体" w:hAnsi="宋体"/>
        </w:rPr>
        <w:fldChar w:fldCharType="separate"/>
      </w:r>
      <w:r>
        <w:rPr>
          <w:rFonts w:ascii="宋体" w:hAnsi="宋体"/>
        </w:rPr>
        <w:t>153</w:t>
      </w:r>
      <w:r>
        <w:rPr>
          <w:rFonts w:hint="eastAsia" w:ascii="宋体" w:hAnsi="宋体"/>
        </w:rPr>
        <w:fldChar w:fldCharType="end"/>
      </w:r>
    </w:p>
    <w:p w14:paraId="61C50B22">
      <w:pPr>
        <w:pStyle w:val="31"/>
        <w:tabs>
          <w:tab w:val="right" w:leader="dot" w:pos="8296"/>
        </w:tabs>
        <w:rPr>
          <w:rFonts w:ascii="宋体" w:hAnsi="宋体"/>
          <w:sz w:val="21"/>
          <w:szCs w:val="22"/>
        </w:rPr>
      </w:pPr>
      <w:r>
        <w:rPr>
          <w:rFonts w:hint="eastAsia" w:ascii="宋体" w:hAnsi="宋体"/>
        </w:rPr>
        <w:t>专用合同条件附件</w:t>
      </w:r>
      <w:r>
        <w:rPr>
          <w:rFonts w:hint="eastAsia" w:ascii="宋体" w:hAnsi="宋体"/>
        </w:rPr>
        <w:tab/>
      </w:r>
      <w:r>
        <w:rPr>
          <w:rFonts w:hint="eastAsia" w:ascii="宋体" w:hAnsi="宋体"/>
        </w:rPr>
        <w:fldChar w:fldCharType="begin"/>
      </w:r>
      <w:r>
        <w:rPr>
          <w:rFonts w:hint="eastAsia" w:ascii="宋体" w:hAnsi="宋体"/>
        </w:rPr>
        <w:instrText xml:space="preserve"> PAGEREF _Toc54862351 \h </w:instrText>
      </w:r>
      <w:r>
        <w:rPr>
          <w:rFonts w:hint="eastAsia" w:ascii="宋体" w:hAnsi="宋体"/>
        </w:rPr>
        <w:fldChar w:fldCharType="separate"/>
      </w:r>
      <w:r>
        <w:rPr>
          <w:rFonts w:ascii="宋体" w:hAnsi="宋体"/>
        </w:rPr>
        <w:t>155</w:t>
      </w:r>
      <w:r>
        <w:rPr>
          <w:rFonts w:hint="eastAsia" w:ascii="宋体" w:hAnsi="宋体"/>
        </w:rPr>
        <w:fldChar w:fldCharType="end"/>
      </w:r>
    </w:p>
    <w:p w14:paraId="79E736CA">
      <w:pPr>
        <w:pStyle w:val="37"/>
        <w:tabs>
          <w:tab w:val="right" w:leader="dot" w:pos="8296"/>
        </w:tabs>
        <w:ind w:left="480"/>
        <w:rPr>
          <w:rFonts w:ascii="宋体" w:hAnsi="宋体"/>
          <w:sz w:val="21"/>
          <w:szCs w:val="22"/>
        </w:rPr>
      </w:pPr>
      <w:r>
        <w:rPr>
          <w:rFonts w:hint="eastAsia" w:ascii="宋体" w:hAnsi="宋体"/>
        </w:rPr>
        <w:t>附件1 《发包人要求》</w:t>
      </w:r>
      <w:r>
        <w:rPr>
          <w:rFonts w:hint="eastAsia" w:ascii="宋体" w:hAnsi="宋体"/>
        </w:rPr>
        <w:tab/>
      </w:r>
      <w:r>
        <w:rPr>
          <w:rFonts w:hint="eastAsia" w:ascii="宋体" w:hAnsi="宋体"/>
        </w:rPr>
        <w:fldChar w:fldCharType="begin"/>
      </w:r>
      <w:r>
        <w:rPr>
          <w:rFonts w:hint="eastAsia" w:ascii="宋体" w:hAnsi="宋体"/>
        </w:rPr>
        <w:instrText xml:space="preserve"> PAGEREF _Toc54862352 \h </w:instrText>
      </w:r>
      <w:r>
        <w:rPr>
          <w:rFonts w:hint="eastAsia" w:ascii="宋体" w:hAnsi="宋体"/>
        </w:rPr>
        <w:fldChar w:fldCharType="separate"/>
      </w:r>
      <w:r>
        <w:rPr>
          <w:rFonts w:ascii="宋体" w:hAnsi="宋体"/>
        </w:rPr>
        <w:t>156</w:t>
      </w:r>
      <w:r>
        <w:rPr>
          <w:rFonts w:hint="eastAsia" w:ascii="宋体" w:hAnsi="宋体"/>
        </w:rPr>
        <w:fldChar w:fldCharType="end"/>
      </w:r>
    </w:p>
    <w:p w14:paraId="149B7BCA">
      <w:pPr>
        <w:pStyle w:val="37"/>
        <w:tabs>
          <w:tab w:val="right" w:leader="dot" w:pos="8296"/>
        </w:tabs>
        <w:ind w:left="480"/>
        <w:rPr>
          <w:rFonts w:ascii="宋体" w:hAnsi="宋体"/>
          <w:sz w:val="21"/>
          <w:szCs w:val="22"/>
        </w:rPr>
      </w:pPr>
      <w:r>
        <w:rPr>
          <w:rFonts w:hint="eastAsia" w:ascii="宋体" w:hAnsi="宋体"/>
        </w:rPr>
        <w:t>附件2 发包人供应材料设备一览表</w:t>
      </w:r>
      <w:r>
        <w:rPr>
          <w:rFonts w:hint="eastAsia" w:ascii="宋体" w:hAnsi="宋体"/>
        </w:rPr>
        <w:tab/>
      </w:r>
      <w:r>
        <w:rPr>
          <w:rFonts w:hint="eastAsia" w:ascii="宋体" w:hAnsi="宋体"/>
        </w:rPr>
        <w:fldChar w:fldCharType="begin"/>
      </w:r>
      <w:r>
        <w:rPr>
          <w:rFonts w:hint="eastAsia" w:ascii="宋体" w:hAnsi="宋体"/>
        </w:rPr>
        <w:instrText xml:space="preserve"> PAGEREF _Toc54862353 \h </w:instrText>
      </w:r>
      <w:r>
        <w:rPr>
          <w:rFonts w:hint="eastAsia" w:ascii="宋体" w:hAnsi="宋体"/>
        </w:rPr>
        <w:fldChar w:fldCharType="separate"/>
      </w:r>
      <w:r>
        <w:rPr>
          <w:rFonts w:ascii="宋体" w:hAnsi="宋体"/>
        </w:rPr>
        <w:t>160</w:t>
      </w:r>
      <w:r>
        <w:rPr>
          <w:rFonts w:hint="eastAsia" w:ascii="宋体" w:hAnsi="宋体"/>
        </w:rPr>
        <w:fldChar w:fldCharType="end"/>
      </w:r>
    </w:p>
    <w:p w14:paraId="13B5A0C9">
      <w:pPr>
        <w:pStyle w:val="37"/>
        <w:tabs>
          <w:tab w:val="right" w:leader="dot" w:pos="8296"/>
        </w:tabs>
        <w:ind w:left="480"/>
        <w:rPr>
          <w:rFonts w:ascii="宋体" w:hAnsi="宋体"/>
          <w:sz w:val="21"/>
          <w:szCs w:val="22"/>
        </w:rPr>
      </w:pPr>
      <w:r>
        <w:rPr>
          <w:rFonts w:hint="eastAsia" w:ascii="宋体" w:hAnsi="宋体"/>
        </w:rPr>
        <w:t>附件3 工程质量保修书</w:t>
      </w:r>
      <w:r>
        <w:rPr>
          <w:rFonts w:hint="eastAsia" w:ascii="宋体" w:hAnsi="宋体"/>
        </w:rPr>
        <w:tab/>
      </w:r>
      <w:r>
        <w:rPr>
          <w:rFonts w:hint="eastAsia" w:ascii="宋体" w:hAnsi="宋体"/>
        </w:rPr>
        <w:fldChar w:fldCharType="begin"/>
      </w:r>
      <w:r>
        <w:rPr>
          <w:rFonts w:hint="eastAsia" w:ascii="宋体" w:hAnsi="宋体"/>
        </w:rPr>
        <w:instrText xml:space="preserve"> PAGEREF _Toc54862354 \h </w:instrText>
      </w:r>
      <w:r>
        <w:rPr>
          <w:rFonts w:hint="eastAsia" w:ascii="宋体" w:hAnsi="宋体"/>
        </w:rPr>
        <w:fldChar w:fldCharType="separate"/>
      </w:r>
      <w:r>
        <w:rPr>
          <w:rFonts w:ascii="宋体" w:hAnsi="宋体"/>
        </w:rPr>
        <w:t>161</w:t>
      </w:r>
      <w:r>
        <w:rPr>
          <w:rFonts w:hint="eastAsia" w:ascii="宋体" w:hAnsi="宋体"/>
        </w:rPr>
        <w:fldChar w:fldCharType="end"/>
      </w:r>
    </w:p>
    <w:p w14:paraId="0924F67B">
      <w:pPr>
        <w:pStyle w:val="37"/>
        <w:tabs>
          <w:tab w:val="right" w:leader="dot" w:pos="8296"/>
        </w:tabs>
        <w:ind w:left="480"/>
        <w:rPr>
          <w:rFonts w:ascii="宋体" w:hAnsi="宋体"/>
          <w:sz w:val="21"/>
          <w:szCs w:val="22"/>
        </w:rPr>
      </w:pPr>
      <w:r>
        <w:rPr>
          <w:rFonts w:hint="eastAsia" w:ascii="宋体" w:hAnsi="宋体"/>
        </w:rPr>
        <w:t>附件4 主要建设工程文件目录</w:t>
      </w:r>
      <w:r>
        <w:rPr>
          <w:rFonts w:hint="eastAsia" w:ascii="宋体" w:hAnsi="宋体"/>
        </w:rPr>
        <w:tab/>
      </w:r>
      <w:r>
        <w:rPr>
          <w:rFonts w:hint="eastAsia" w:ascii="宋体" w:hAnsi="宋体"/>
        </w:rPr>
        <w:fldChar w:fldCharType="begin"/>
      </w:r>
      <w:r>
        <w:rPr>
          <w:rFonts w:hint="eastAsia" w:ascii="宋体" w:hAnsi="宋体"/>
        </w:rPr>
        <w:instrText xml:space="preserve"> PAGEREF _Toc54862355 \h </w:instrText>
      </w:r>
      <w:r>
        <w:rPr>
          <w:rFonts w:hint="eastAsia" w:ascii="宋体" w:hAnsi="宋体"/>
        </w:rPr>
        <w:fldChar w:fldCharType="separate"/>
      </w:r>
      <w:r>
        <w:rPr>
          <w:rFonts w:ascii="宋体" w:hAnsi="宋体"/>
        </w:rPr>
        <w:t>164</w:t>
      </w:r>
      <w:r>
        <w:rPr>
          <w:rFonts w:hint="eastAsia" w:ascii="宋体" w:hAnsi="宋体"/>
        </w:rPr>
        <w:fldChar w:fldCharType="end"/>
      </w:r>
    </w:p>
    <w:p w14:paraId="0609C30A">
      <w:pPr>
        <w:pStyle w:val="37"/>
        <w:tabs>
          <w:tab w:val="right" w:leader="dot" w:pos="8296"/>
        </w:tabs>
        <w:ind w:left="480"/>
        <w:rPr>
          <w:rFonts w:ascii="宋体" w:hAnsi="宋体"/>
          <w:sz w:val="21"/>
          <w:szCs w:val="22"/>
        </w:rPr>
      </w:pPr>
      <w:r>
        <w:rPr>
          <w:rFonts w:hint="eastAsia" w:ascii="宋体" w:hAnsi="宋体"/>
        </w:rPr>
        <w:t>附件5 承包人主要管理人员表</w:t>
      </w:r>
      <w:r>
        <w:rPr>
          <w:rFonts w:hint="eastAsia" w:ascii="宋体" w:hAnsi="宋体"/>
        </w:rPr>
        <w:tab/>
      </w:r>
      <w:r>
        <w:rPr>
          <w:rFonts w:hint="eastAsia" w:ascii="宋体" w:hAnsi="宋体"/>
        </w:rPr>
        <w:fldChar w:fldCharType="begin"/>
      </w:r>
      <w:r>
        <w:rPr>
          <w:rFonts w:hint="eastAsia" w:ascii="宋体" w:hAnsi="宋体"/>
        </w:rPr>
        <w:instrText xml:space="preserve"> PAGEREF _Toc54862356 \h </w:instrText>
      </w:r>
      <w:r>
        <w:rPr>
          <w:rFonts w:hint="eastAsia" w:ascii="宋体" w:hAnsi="宋体"/>
        </w:rPr>
        <w:fldChar w:fldCharType="separate"/>
      </w:r>
      <w:r>
        <w:rPr>
          <w:rFonts w:ascii="宋体" w:hAnsi="宋体"/>
        </w:rPr>
        <w:t>165</w:t>
      </w:r>
      <w:r>
        <w:rPr>
          <w:rFonts w:hint="eastAsia" w:ascii="宋体" w:hAnsi="宋体"/>
        </w:rPr>
        <w:fldChar w:fldCharType="end"/>
      </w:r>
    </w:p>
    <w:p w14:paraId="384B6B76">
      <w:pPr>
        <w:pStyle w:val="37"/>
        <w:tabs>
          <w:tab w:val="right" w:leader="dot" w:pos="8296"/>
        </w:tabs>
        <w:ind w:left="480"/>
        <w:rPr>
          <w:rFonts w:ascii="宋体" w:hAnsi="宋体"/>
          <w:sz w:val="21"/>
          <w:szCs w:val="22"/>
        </w:rPr>
      </w:pPr>
      <w:r>
        <w:rPr>
          <w:rFonts w:hint="eastAsia" w:ascii="宋体" w:hAnsi="宋体"/>
        </w:rPr>
        <w:t>附件6 价格指数权重表</w:t>
      </w:r>
      <w:r>
        <w:rPr>
          <w:rFonts w:hint="eastAsia" w:ascii="宋体" w:hAnsi="宋体"/>
        </w:rPr>
        <w:tab/>
      </w:r>
      <w:r>
        <w:rPr>
          <w:rFonts w:hint="eastAsia" w:ascii="宋体" w:hAnsi="宋体"/>
        </w:rPr>
        <w:fldChar w:fldCharType="begin"/>
      </w:r>
      <w:r>
        <w:rPr>
          <w:rFonts w:hint="eastAsia" w:ascii="宋体" w:hAnsi="宋体"/>
        </w:rPr>
        <w:instrText xml:space="preserve"> PAGEREF _Toc54862357 \h </w:instrText>
      </w:r>
      <w:r>
        <w:rPr>
          <w:rFonts w:hint="eastAsia" w:ascii="宋体" w:hAnsi="宋体"/>
        </w:rPr>
        <w:fldChar w:fldCharType="separate"/>
      </w:r>
      <w:r>
        <w:rPr>
          <w:rFonts w:ascii="宋体" w:hAnsi="宋体"/>
        </w:rPr>
        <w:t>166</w:t>
      </w:r>
      <w:r>
        <w:rPr>
          <w:rFonts w:hint="eastAsia" w:ascii="宋体" w:hAnsi="宋体"/>
        </w:rPr>
        <w:fldChar w:fldCharType="end"/>
      </w:r>
    </w:p>
    <w:p w14:paraId="38037392">
      <w:pPr>
        <w:ind w:firstLine="560"/>
        <w:rPr>
          <w:rFonts w:ascii="宋体" w:hAnsi="宋体"/>
        </w:rPr>
        <w:sectPr>
          <w:footerReference r:id="rId11" w:type="default"/>
          <w:type w:val="continuous"/>
          <w:pgSz w:w="11906" w:h="16838"/>
          <w:pgMar w:top="1440" w:right="1800" w:bottom="1440" w:left="1800" w:header="720" w:footer="998" w:gutter="0"/>
          <w:pgNumType w:start="1"/>
          <w:cols w:space="720" w:num="1"/>
          <w:titlePg/>
          <w:docGrid w:linePitch="326" w:charSpace="0"/>
        </w:sectPr>
      </w:pPr>
      <w:r>
        <w:rPr>
          <w:rFonts w:hint="eastAsia" w:ascii="宋体" w:hAnsi="宋体"/>
          <w:sz w:val="28"/>
          <w:szCs w:val="28"/>
        </w:rPr>
        <w:fldChar w:fldCharType="end"/>
      </w:r>
    </w:p>
    <w:p w14:paraId="0B19D604">
      <w:pPr>
        <w:rPr>
          <w:rFonts w:ascii="宋体" w:hAnsi="宋体"/>
        </w:rPr>
        <w:sectPr>
          <w:pgSz w:w="11906" w:h="16838"/>
          <w:pgMar w:top="1440" w:right="1800" w:bottom="1440" w:left="1800" w:header="720" w:footer="998" w:gutter="0"/>
          <w:pgNumType w:start="1"/>
          <w:cols w:space="720" w:num="2"/>
        </w:sectPr>
      </w:pPr>
    </w:p>
    <w:p w14:paraId="74BF51B1">
      <w:pPr>
        <w:pStyle w:val="968"/>
        <w:keepNext w:val="0"/>
        <w:keepLines w:val="0"/>
        <w:widowControl/>
        <w:adjustRightInd w:val="0"/>
        <w:snapToGrid w:val="0"/>
        <w:spacing w:before="0" w:after="50" w:line="360" w:lineRule="auto"/>
        <w:rPr>
          <w:sz w:val="44"/>
          <w:szCs w:val="52"/>
        </w:rPr>
      </w:pPr>
      <w:bookmarkStart w:id="8" w:name="_Toc54862164"/>
      <w:r>
        <w:rPr>
          <w:rFonts w:hint="eastAsia"/>
          <w:sz w:val="44"/>
          <w:szCs w:val="52"/>
        </w:rPr>
        <w:t>第一部分</w:t>
      </w:r>
      <w:r>
        <w:rPr>
          <w:sz w:val="44"/>
          <w:szCs w:val="52"/>
        </w:rPr>
        <w:t xml:space="preserve"> </w:t>
      </w:r>
      <w:r>
        <w:rPr>
          <w:rFonts w:hint="eastAsia"/>
          <w:sz w:val="44"/>
          <w:szCs w:val="52"/>
        </w:rPr>
        <w:t>合同协议书</w:t>
      </w:r>
      <w:bookmarkEnd w:id="8"/>
    </w:p>
    <w:p w14:paraId="27EC9AB5">
      <w:pPr>
        <w:ind w:firstLine="600"/>
        <w:rPr>
          <w:rFonts w:ascii="宋体" w:hAnsi="宋体"/>
          <w:sz w:val="30"/>
          <w:szCs w:val="30"/>
          <w:u w:val="single"/>
        </w:rPr>
      </w:pPr>
      <w:r>
        <w:rPr>
          <w:rFonts w:hint="eastAsia" w:ascii="宋体" w:hAnsi="宋体"/>
          <w:sz w:val="30"/>
          <w:szCs w:val="30"/>
        </w:rPr>
        <w:t>发包人（全称）：</w:t>
      </w:r>
      <w:r>
        <w:rPr>
          <w:rFonts w:ascii="宋体" w:hAnsi="宋体"/>
          <w:sz w:val="30"/>
          <w:szCs w:val="30"/>
          <w:u w:val="single"/>
        </w:rPr>
        <w:t xml:space="preserve">                                    </w:t>
      </w:r>
    </w:p>
    <w:p w14:paraId="3B5B182B">
      <w:pPr>
        <w:ind w:firstLine="600"/>
        <w:rPr>
          <w:rFonts w:ascii="宋体" w:hAnsi="宋体"/>
          <w:sz w:val="30"/>
          <w:szCs w:val="30"/>
        </w:rPr>
      </w:pPr>
      <w:r>
        <w:rPr>
          <w:rFonts w:hint="eastAsia" w:ascii="宋体" w:hAnsi="宋体"/>
          <w:sz w:val="30"/>
          <w:szCs w:val="30"/>
        </w:rPr>
        <w:t>承包人（全称）：</w:t>
      </w:r>
      <w:r>
        <w:rPr>
          <w:rFonts w:ascii="宋体" w:hAnsi="宋体"/>
          <w:sz w:val="30"/>
          <w:szCs w:val="30"/>
          <w:u w:val="single"/>
        </w:rPr>
        <w:t xml:space="preserve">                                    </w:t>
      </w:r>
    </w:p>
    <w:p w14:paraId="2116961E">
      <w:pPr>
        <w:ind w:firstLine="600"/>
        <w:rPr>
          <w:rFonts w:ascii="宋体" w:hAnsi="宋体"/>
          <w:sz w:val="30"/>
          <w:szCs w:val="30"/>
        </w:rPr>
      </w:pPr>
      <w:r>
        <w:rPr>
          <w:rFonts w:hint="eastAsia" w:ascii="宋体" w:hAnsi="宋体"/>
          <w:sz w:val="30"/>
          <w:szCs w:val="30"/>
        </w:rPr>
        <w:t>根据《中华人民共和国民法典》、《中华人民共和国建筑法》及有关法律规定，遵循平等、自愿、公平和诚实信用的原则，双方就</w:t>
      </w:r>
      <w:r>
        <w:rPr>
          <w:rFonts w:ascii="宋体" w:hAnsi="宋体"/>
          <w:sz w:val="30"/>
          <w:szCs w:val="30"/>
          <w:u w:val="single"/>
        </w:rPr>
        <w:t xml:space="preserve">             </w:t>
      </w:r>
      <w:r>
        <w:rPr>
          <w:rFonts w:hint="eastAsia" w:ascii="宋体" w:hAnsi="宋体"/>
          <w:sz w:val="30"/>
          <w:szCs w:val="30"/>
        </w:rPr>
        <w:t>项目的工程总承包及有关事项协商一致，共同达成如下协议：</w:t>
      </w:r>
    </w:p>
    <w:p w14:paraId="05DBECB5">
      <w:pPr>
        <w:pStyle w:val="966"/>
        <w:numPr>
          <w:ilvl w:val="0"/>
          <w:numId w:val="0"/>
        </w:numPr>
        <w:wordWrap/>
        <w:topLinePunct w:val="0"/>
        <w:rPr>
          <w:b w:val="0"/>
          <w:bCs/>
          <w:sz w:val="30"/>
          <w:szCs w:val="30"/>
        </w:rPr>
      </w:pPr>
      <w:bookmarkStart w:id="9" w:name="_Toc54862165"/>
      <w:r>
        <w:rPr>
          <w:rFonts w:hint="eastAsia"/>
          <w:b w:val="0"/>
          <w:bCs/>
          <w:sz w:val="30"/>
          <w:szCs w:val="30"/>
        </w:rPr>
        <w:t>一、工程概况</w:t>
      </w:r>
      <w:bookmarkEnd w:id="9"/>
    </w:p>
    <w:p w14:paraId="3727061F">
      <w:pPr>
        <w:ind w:firstLine="600"/>
        <w:rPr>
          <w:rFonts w:ascii="宋体" w:hAnsi="宋体"/>
          <w:sz w:val="30"/>
          <w:szCs w:val="30"/>
        </w:rPr>
      </w:pPr>
      <w:r>
        <w:rPr>
          <w:rFonts w:hint="eastAsia" w:ascii="宋体" w:hAnsi="宋体"/>
          <w:sz w:val="30"/>
          <w:szCs w:val="30"/>
        </w:rPr>
        <w:t>1. 工程名称：</w:t>
      </w:r>
      <w:r>
        <w:rPr>
          <w:rFonts w:ascii="宋体" w:hAnsi="宋体"/>
          <w:sz w:val="30"/>
          <w:szCs w:val="30"/>
          <w:u w:val="single"/>
        </w:rPr>
        <w:t xml:space="preserve">                                    </w:t>
      </w:r>
      <w:r>
        <w:rPr>
          <w:rFonts w:hint="eastAsia" w:ascii="宋体" w:hAnsi="宋体"/>
          <w:sz w:val="30"/>
          <w:szCs w:val="30"/>
        </w:rPr>
        <w:t>。</w:t>
      </w:r>
    </w:p>
    <w:p w14:paraId="1F9DB038">
      <w:pPr>
        <w:ind w:firstLine="600"/>
        <w:rPr>
          <w:rFonts w:ascii="宋体" w:hAnsi="宋体"/>
          <w:sz w:val="30"/>
          <w:szCs w:val="30"/>
        </w:rPr>
      </w:pPr>
      <w:r>
        <w:rPr>
          <w:rFonts w:hint="eastAsia" w:ascii="宋体" w:hAnsi="宋体"/>
          <w:sz w:val="30"/>
          <w:szCs w:val="30"/>
        </w:rPr>
        <w:t>2. 工程地点：</w:t>
      </w:r>
      <w:r>
        <w:rPr>
          <w:rFonts w:ascii="宋体" w:hAnsi="宋体"/>
          <w:sz w:val="30"/>
          <w:szCs w:val="30"/>
          <w:u w:val="single"/>
        </w:rPr>
        <w:t xml:space="preserve">                                    </w:t>
      </w:r>
      <w:r>
        <w:rPr>
          <w:rFonts w:hint="eastAsia" w:ascii="宋体" w:hAnsi="宋体"/>
          <w:sz w:val="30"/>
          <w:szCs w:val="30"/>
        </w:rPr>
        <w:t>。</w:t>
      </w:r>
    </w:p>
    <w:p w14:paraId="3D86EF5E">
      <w:pPr>
        <w:ind w:firstLine="600"/>
        <w:rPr>
          <w:rFonts w:ascii="宋体" w:hAnsi="宋体"/>
          <w:sz w:val="30"/>
          <w:szCs w:val="30"/>
        </w:rPr>
      </w:pPr>
      <w:r>
        <w:rPr>
          <w:rFonts w:hint="eastAsia" w:ascii="宋体" w:hAnsi="宋体"/>
          <w:sz w:val="30"/>
          <w:szCs w:val="30"/>
        </w:rPr>
        <w:t>3. 工程审批、核准或备案文号：</w:t>
      </w:r>
      <w:r>
        <w:rPr>
          <w:rFonts w:ascii="宋体" w:hAnsi="宋体"/>
          <w:sz w:val="30"/>
          <w:szCs w:val="30"/>
          <w:u w:val="single"/>
        </w:rPr>
        <w:t xml:space="preserve">                    </w:t>
      </w:r>
      <w:r>
        <w:rPr>
          <w:rFonts w:hint="eastAsia" w:ascii="宋体" w:hAnsi="宋体"/>
          <w:sz w:val="30"/>
          <w:szCs w:val="30"/>
        </w:rPr>
        <w:t>。</w:t>
      </w:r>
    </w:p>
    <w:p w14:paraId="288E9C94">
      <w:pPr>
        <w:ind w:firstLine="600"/>
        <w:rPr>
          <w:rFonts w:ascii="宋体" w:hAnsi="宋体"/>
          <w:sz w:val="30"/>
          <w:szCs w:val="30"/>
        </w:rPr>
      </w:pPr>
      <w:r>
        <w:rPr>
          <w:rFonts w:hint="eastAsia" w:ascii="宋体" w:hAnsi="宋体"/>
          <w:sz w:val="30"/>
          <w:szCs w:val="30"/>
        </w:rPr>
        <w:t>4. 资金来源：</w:t>
      </w:r>
      <w:r>
        <w:rPr>
          <w:rFonts w:ascii="宋体" w:hAnsi="宋体"/>
          <w:sz w:val="30"/>
          <w:szCs w:val="30"/>
          <w:u w:val="single"/>
        </w:rPr>
        <w:t xml:space="preserve">                                    </w:t>
      </w:r>
      <w:r>
        <w:rPr>
          <w:rFonts w:hint="eastAsia" w:ascii="宋体" w:hAnsi="宋体"/>
          <w:sz w:val="30"/>
          <w:szCs w:val="30"/>
        </w:rPr>
        <w:t>。</w:t>
      </w:r>
    </w:p>
    <w:p w14:paraId="3B0DDE17">
      <w:pPr>
        <w:ind w:firstLine="600"/>
        <w:rPr>
          <w:rFonts w:ascii="宋体" w:hAnsi="宋体"/>
          <w:sz w:val="30"/>
          <w:szCs w:val="30"/>
        </w:rPr>
      </w:pPr>
      <w:r>
        <w:rPr>
          <w:rFonts w:hint="eastAsia" w:ascii="宋体" w:hAnsi="宋体"/>
          <w:sz w:val="30"/>
          <w:szCs w:val="30"/>
        </w:rPr>
        <w:t>5. 工程内容及规模：</w:t>
      </w:r>
      <w:r>
        <w:rPr>
          <w:rFonts w:ascii="宋体" w:hAnsi="宋体"/>
          <w:sz w:val="30"/>
          <w:szCs w:val="30"/>
          <w:u w:val="single"/>
        </w:rPr>
        <w:t xml:space="preserve">                              </w:t>
      </w:r>
      <w:r>
        <w:rPr>
          <w:rFonts w:hint="eastAsia" w:ascii="宋体" w:hAnsi="宋体"/>
          <w:sz w:val="30"/>
          <w:szCs w:val="30"/>
        </w:rPr>
        <w:t>。</w:t>
      </w:r>
    </w:p>
    <w:p w14:paraId="6D709B89">
      <w:pPr>
        <w:ind w:firstLine="600"/>
        <w:rPr>
          <w:rFonts w:ascii="宋体" w:hAnsi="宋体"/>
          <w:sz w:val="30"/>
          <w:szCs w:val="30"/>
        </w:rPr>
      </w:pPr>
      <w:r>
        <w:rPr>
          <w:rFonts w:hint="eastAsia" w:ascii="宋体" w:hAnsi="宋体"/>
          <w:sz w:val="30"/>
          <w:szCs w:val="30"/>
        </w:rPr>
        <w:t>6. 工程承包范围：</w:t>
      </w:r>
      <w:r>
        <w:rPr>
          <w:rFonts w:ascii="宋体" w:hAnsi="宋体"/>
          <w:sz w:val="30"/>
          <w:szCs w:val="30"/>
          <w:u w:val="single"/>
        </w:rPr>
        <w:t xml:space="preserve">                                </w:t>
      </w:r>
      <w:r>
        <w:rPr>
          <w:rFonts w:hint="eastAsia" w:ascii="宋体" w:hAnsi="宋体"/>
          <w:sz w:val="30"/>
          <w:szCs w:val="30"/>
        </w:rPr>
        <w:t>。</w:t>
      </w:r>
    </w:p>
    <w:p w14:paraId="5F4522EC">
      <w:pPr>
        <w:pStyle w:val="966"/>
        <w:numPr>
          <w:ilvl w:val="0"/>
          <w:numId w:val="0"/>
        </w:numPr>
        <w:wordWrap/>
        <w:topLinePunct w:val="0"/>
        <w:rPr>
          <w:b w:val="0"/>
          <w:bCs/>
          <w:sz w:val="30"/>
          <w:szCs w:val="30"/>
        </w:rPr>
      </w:pPr>
      <w:bookmarkStart w:id="10" w:name="_Toc54862166"/>
      <w:r>
        <w:rPr>
          <w:rFonts w:hint="eastAsia"/>
          <w:b w:val="0"/>
          <w:bCs/>
          <w:sz w:val="30"/>
          <w:szCs w:val="30"/>
        </w:rPr>
        <w:t>二、合同工期</w:t>
      </w:r>
      <w:bookmarkEnd w:id="10"/>
    </w:p>
    <w:p w14:paraId="2D65254B">
      <w:pPr>
        <w:ind w:firstLine="600"/>
        <w:rPr>
          <w:rFonts w:ascii="宋体" w:hAnsi="宋体"/>
          <w:sz w:val="30"/>
          <w:szCs w:val="30"/>
        </w:rPr>
      </w:pPr>
      <w:r>
        <w:rPr>
          <w:rFonts w:hint="eastAsia" w:ascii="宋体" w:hAnsi="宋体"/>
          <w:sz w:val="30"/>
          <w:szCs w:val="30"/>
        </w:rPr>
        <w:t>计划开始工作日期：</w:t>
      </w:r>
      <w:r>
        <w:rPr>
          <w:rFonts w:ascii="宋体" w:hAnsi="宋体"/>
          <w:sz w:val="30"/>
          <w:szCs w:val="30"/>
          <w:u w:val="single"/>
        </w:rPr>
        <w:t xml:space="preserve">         </w:t>
      </w:r>
      <w:r>
        <w:rPr>
          <w:rFonts w:hint="eastAsia" w:ascii="宋体" w:hAnsi="宋体"/>
          <w:sz w:val="30"/>
          <w:szCs w:val="30"/>
        </w:rPr>
        <w:t>年</w:t>
      </w:r>
      <w:r>
        <w:rPr>
          <w:rFonts w:ascii="宋体" w:hAnsi="宋体"/>
          <w:sz w:val="30"/>
          <w:szCs w:val="30"/>
          <w:u w:val="single"/>
        </w:rPr>
        <w:t xml:space="preserve">     </w:t>
      </w:r>
      <w:r>
        <w:rPr>
          <w:rFonts w:hint="eastAsia" w:ascii="宋体" w:hAnsi="宋体"/>
          <w:sz w:val="30"/>
          <w:szCs w:val="30"/>
        </w:rPr>
        <w:t>月</w:t>
      </w:r>
      <w:r>
        <w:rPr>
          <w:rFonts w:ascii="宋体" w:hAnsi="宋体"/>
          <w:sz w:val="30"/>
          <w:szCs w:val="30"/>
          <w:u w:val="single"/>
        </w:rPr>
        <w:t xml:space="preserve">     </w:t>
      </w:r>
      <w:r>
        <w:rPr>
          <w:rFonts w:hint="eastAsia" w:ascii="宋体" w:hAnsi="宋体"/>
          <w:sz w:val="30"/>
          <w:szCs w:val="30"/>
        </w:rPr>
        <w:t>日。</w:t>
      </w:r>
    </w:p>
    <w:p w14:paraId="41C1BCB5">
      <w:pPr>
        <w:ind w:firstLine="600"/>
        <w:rPr>
          <w:rFonts w:ascii="宋体" w:hAnsi="宋体"/>
          <w:sz w:val="30"/>
          <w:szCs w:val="30"/>
        </w:rPr>
      </w:pPr>
      <w:r>
        <w:rPr>
          <w:rFonts w:hint="eastAsia" w:ascii="宋体" w:hAnsi="宋体"/>
          <w:sz w:val="30"/>
          <w:szCs w:val="30"/>
        </w:rPr>
        <w:t>计划开始现场施工日期：</w:t>
      </w:r>
      <w:r>
        <w:rPr>
          <w:rFonts w:ascii="宋体" w:hAnsi="宋体"/>
          <w:sz w:val="30"/>
          <w:szCs w:val="30"/>
          <w:u w:val="single"/>
        </w:rPr>
        <w:t xml:space="preserve">         </w:t>
      </w:r>
      <w:r>
        <w:rPr>
          <w:rFonts w:hint="eastAsia" w:ascii="宋体" w:hAnsi="宋体"/>
          <w:sz w:val="30"/>
          <w:szCs w:val="30"/>
        </w:rPr>
        <w:t>年</w:t>
      </w:r>
      <w:r>
        <w:rPr>
          <w:rFonts w:ascii="宋体" w:hAnsi="宋体"/>
          <w:sz w:val="30"/>
          <w:szCs w:val="30"/>
          <w:u w:val="single"/>
        </w:rPr>
        <w:t xml:space="preserve">     </w:t>
      </w:r>
      <w:r>
        <w:rPr>
          <w:rFonts w:hint="eastAsia" w:ascii="宋体" w:hAnsi="宋体"/>
          <w:sz w:val="30"/>
          <w:szCs w:val="30"/>
        </w:rPr>
        <w:t>月</w:t>
      </w:r>
      <w:r>
        <w:rPr>
          <w:rFonts w:ascii="宋体" w:hAnsi="宋体"/>
          <w:sz w:val="30"/>
          <w:szCs w:val="30"/>
          <w:u w:val="single"/>
        </w:rPr>
        <w:t xml:space="preserve">     </w:t>
      </w:r>
      <w:r>
        <w:rPr>
          <w:rFonts w:hint="eastAsia" w:ascii="宋体" w:hAnsi="宋体"/>
          <w:sz w:val="30"/>
          <w:szCs w:val="30"/>
        </w:rPr>
        <w:t>日。</w:t>
      </w:r>
    </w:p>
    <w:p w14:paraId="02D71784">
      <w:pPr>
        <w:ind w:firstLine="600"/>
        <w:rPr>
          <w:rFonts w:ascii="宋体" w:hAnsi="宋体"/>
          <w:sz w:val="30"/>
          <w:szCs w:val="30"/>
        </w:rPr>
      </w:pPr>
      <w:r>
        <w:rPr>
          <w:rFonts w:hint="eastAsia" w:ascii="宋体" w:hAnsi="宋体"/>
          <w:sz w:val="30"/>
          <w:szCs w:val="30"/>
        </w:rPr>
        <w:t>计划竣工日期：</w:t>
      </w:r>
      <w:r>
        <w:rPr>
          <w:rFonts w:ascii="宋体" w:hAnsi="宋体"/>
          <w:sz w:val="30"/>
          <w:szCs w:val="30"/>
          <w:u w:val="single"/>
        </w:rPr>
        <w:t xml:space="preserve">         </w:t>
      </w:r>
      <w:r>
        <w:rPr>
          <w:rFonts w:hint="eastAsia" w:ascii="宋体" w:hAnsi="宋体"/>
          <w:sz w:val="30"/>
          <w:szCs w:val="30"/>
        </w:rPr>
        <w:t>年</w:t>
      </w:r>
      <w:r>
        <w:rPr>
          <w:rFonts w:ascii="宋体" w:hAnsi="宋体"/>
          <w:sz w:val="30"/>
          <w:szCs w:val="30"/>
          <w:u w:val="single"/>
        </w:rPr>
        <w:t xml:space="preserve">     </w:t>
      </w:r>
      <w:r>
        <w:rPr>
          <w:rFonts w:hint="eastAsia" w:ascii="宋体" w:hAnsi="宋体"/>
          <w:sz w:val="30"/>
          <w:szCs w:val="30"/>
        </w:rPr>
        <w:t>月</w:t>
      </w:r>
      <w:r>
        <w:rPr>
          <w:rFonts w:ascii="宋体" w:hAnsi="宋体"/>
          <w:sz w:val="30"/>
          <w:szCs w:val="30"/>
          <w:u w:val="single"/>
        </w:rPr>
        <w:t xml:space="preserve">     </w:t>
      </w:r>
      <w:r>
        <w:rPr>
          <w:rFonts w:hint="eastAsia" w:ascii="宋体" w:hAnsi="宋体"/>
          <w:sz w:val="30"/>
          <w:szCs w:val="30"/>
        </w:rPr>
        <w:t>日。</w:t>
      </w:r>
    </w:p>
    <w:p w14:paraId="4732D542">
      <w:pPr>
        <w:ind w:firstLine="600"/>
        <w:rPr>
          <w:rFonts w:ascii="宋体" w:hAnsi="宋体"/>
          <w:sz w:val="30"/>
          <w:szCs w:val="30"/>
        </w:rPr>
      </w:pPr>
      <w:r>
        <w:rPr>
          <w:rFonts w:hint="eastAsia" w:ascii="宋体" w:hAnsi="宋体"/>
          <w:sz w:val="30"/>
          <w:szCs w:val="30"/>
        </w:rPr>
        <w:t>工期总日历天数：</w:t>
      </w:r>
      <w:r>
        <w:rPr>
          <w:rFonts w:ascii="宋体" w:hAnsi="宋体"/>
          <w:sz w:val="30"/>
          <w:szCs w:val="30"/>
          <w:u w:val="single"/>
        </w:rPr>
        <w:t xml:space="preserve">        </w:t>
      </w:r>
      <w:r>
        <w:rPr>
          <w:rFonts w:hint="eastAsia" w:ascii="宋体" w:hAnsi="宋体"/>
          <w:sz w:val="30"/>
          <w:szCs w:val="30"/>
        </w:rPr>
        <w:t>天，工期总日历天数与根据前述计划日期计算的工期天数不一致的，以工期总日历天数为准。</w:t>
      </w:r>
    </w:p>
    <w:p w14:paraId="6825B744">
      <w:pPr>
        <w:pStyle w:val="966"/>
        <w:numPr>
          <w:ilvl w:val="0"/>
          <w:numId w:val="0"/>
        </w:numPr>
        <w:wordWrap/>
        <w:topLinePunct w:val="0"/>
        <w:rPr>
          <w:b w:val="0"/>
          <w:bCs/>
          <w:sz w:val="30"/>
          <w:szCs w:val="30"/>
        </w:rPr>
      </w:pPr>
      <w:bookmarkStart w:id="11" w:name="_Toc54862167"/>
      <w:r>
        <w:rPr>
          <w:rFonts w:hint="eastAsia"/>
          <w:b w:val="0"/>
          <w:bCs/>
          <w:sz w:val="30"/>
          <w:szCs w:val="30"/>
        </w:rPr>
        <w:t>三、质量标准</w:t>
      </w:r>
      <w:bookmarkEnd w:id="11"/>
    </w:p>
    <w:p w14:paraId="57BBC6AE">
      <w:pPr>
        <w:ind w:firstLine="600"/>
        <w:rPr>
          <w:rFonts w:ascii="宋体" w:hAnsi="宋体"/>
          <w:sz w:val="30"/>
          <w:szCs w:val="30"/>
        </w:rPr>
      </w:pPr>
      <w:r>
        <w:rPr>
          <w:rFonts w:hint="eastAsia" w:ascii="宋体" w:hAnsi="宋体"/>
          <w:sz w:val="30"/>
          <w:szCs w:val="30"/>
        </w:rPr>
        <w:t>工程质量标准：</w:t>
      </w:r>
      <w:r>
        <w:rPr>
          <w:rFonts w:hint="eastAsia" w:ascii="宋体" w:hAnsi="宋体"/>
          <w:sz w:val="30"/>
          <w:szCs w:val="30"/>
          <w:u w:val="single"/>
        </w:rPr>
        <w:t xml:space="preserve"> </w:t>
      </w:r>
      <w:r>
        <w:rPr>
          <w:rFonts w:ascii="宋体" w:hAnsi="宋体"/>
          <w:sz w:val="30"/>
          <w:szCs w:val="30"/>
          <w:u w:val="single"/>
        </w:rPr>
        <w:t xml:space="preserve">                               </w:t>
      </w:r>
      <w:r>
        <w:rPr>
          <w:rFonts w:hint="eastAsia" w:ascii="宋体" w:hAnsi="宋体"/>
          <w:sz w:val="30"/>
          <w:szCs w:val="30"/>
        </w:rPr>
        <w:t>。</w:t>
      </w:r>
    </w:p>
    <w:p w14:paraId="3E37DB03">
      <w:pPr>
        <w:pStyle w:val="966"/>
        <w:numPr>
          <w:ilvl w:val="0"/>
          <w:numId w:val="0"/>
        </w:numPr>
        <w:wordWrap/>
        <w:topLinePunct w:val="0"/>
        <w:rPr>
          <w:b w:val="0"/>
          <w:bCs/>
          <w:sz w:val="30"/>
          <w:szCs w:val="30"/>
        </w:rPr>
      </w:pPr>
      <w:bookmarkStart w:id="12" w:name="_Toc54862168"/>
      <w:r>
        <w:rPr>
          <w:rFonts w:hint="eastAsia"/>
          <w:b w:val="0"/>
          <w:bCs/>
          <w:sz w:val="30"/>
          <w:szCs w:val="30"/>
        </w:rPr>
        <w:t>四、签约合同价与合同价格形式</w:t>
      </w:r>
      <w:bookmarkEnd w:id="12"/>
    </w:p>
    <w:p w14:paraId="16AA3587">
      <w:pPr>
        <w:ind w:firstLine="600"/>
        <w:rPr>
          <w:rFonts w:ascii="宋体" w:hAnsi="宋体"/>
          <w:sz w:val="30"/>
          <w:szCs w:val="30"/>
        </w:rPr>
      </w:pPr>
      <w:r>
        <w:rPr>
          <w:rFonts w:hint="eastAsia" w:ascii="宋体" w:hAnsi="宋体"/>
          <w:sz w:val="30"/>
          <w:szCs w:val="30"/>
        </w:rPr>
        <w:t>1. 签约合同价（含税）为：</w:t>
      </w:r>
    </w:p>
    <w:p w14:paraId="0B858F86">
      <w:pPr>
        <w:ind w:firstLine="600"/>
        <w:rPr>
          <w:rFonts w:ascii="宋体" w:hAnsi="宋体"/>
          <w:sz w:val="30"/>
          <w:szCs w:val="30"/>
        </w:rPr>
      </w:pPr>
      <w:r>
        <w:rPr>
          <w:rFonts w:hint="eastAsia" w:ascii="宋体" w:hAnsi="宋体"/>
          <w:sz w:val="30"/>
          <w:szCs w:val="30"/>
        </w:rPr>
        <w:t xml:space="preserve">人民币（大写) </w:t>
      </w:r>
      <w:r>
        <w:rPr>
          <w:rFonts w:ascii="宋体" w:hAnsi="宋体"/>
          <w:sz w:val="30"/>
          <w:szCs w:val="30"/>
          <w:u w:val="single"/>
        </w:rPr>
        <w:t xml:space="preserve">                </w:t>
      </w:r>
      <w:r>
        <w:rPr>
          <w:rFonts w:hint="eastAsia" w:ascii="宋体" w:hAnsi="宋体"/>
          <w:sz w:val="30"/>
          <w:szCs w:val="30"/>
        </w:rPr>
        <w:t>（¥</w:t>
      </w:r>
      <w:r>
        <w:rPr>
          <w:rFonts w:ascii="宋体" w:hAnsi="宋体"/>
          <w:sz w:val="30"/>
          <w:szCs w:val="30"/>
          <w:u w:val="single"/>
        </w:rPr>
        <w:t xml:space="preserve">              </w:t>
      </w:r>
      <w:r>
        <w:rPr>
          <w:rFonts w:hint="eastAsia" w:ascii="宋体" w:hAnsi="宋体"/>
          <w:sz w:val="30"/>
          <w:szCs w:val="30"/>
        </w:rPr>
        <w:t>元）。</w:t>
      </w:r>
    </w:p>
    <w:p w14:paraId="09A656FB">
      <w:pPr>
        <w:ind w:firstLine="600"/>
        <w:rPr>
          <w:rFonts w:ascii="宋体" w:hAnsi="宋体"/>
          <w:sz w:val="30"/>
          <w:szCs w:val="30"/>
        </w:rPr>
      </w:pPr>
      <w:r>
        <w:rPr>
          <w:rFonts w:hint="eastAsia" w:ascii="宋体" w:hAnsi="宋体"/>
          <w:sz w:val="30"/>
          <w:szCs w:val="30"/>
        </w:rPr>
        <w:t xml:space="preserve">具体构成详见价格清单。其中： </w:t>
      </w:r>
    </w:p>
    <w:p w14:paraId="2AB9383C">
      <w:pPr>
        <w:ind w:firstLine="600"/>
        <w:rPr>
          <w:rFonts w:ascii="宋体" w:hAnsi="宋体"/>
          <w:sz w:val="30"/>
          <w:szCs w:val="30"/>
        </w:rPr>
      </w:pPr>
      <w:r>
        <w:rPr>
          <w:rFonts w:hint="eastAsia" w:ascii="宋体" w:hAnsi="宋体"/>
          <w:sz w:val="30"/>
          <w:szCs w:val="30"/>
        </w:rPr>
        <w:t>（1） 设计费（含税）：</w:t>
      </w:r>
    </w:p>
    <w:p w14:paraId="3899E7C9">
      <w:pPr>
        <w:ind w:firstLine="600"/>
        <w:rPr>
          <w:rFonts w:ascii="宋体" w:hAnsi="宋体"/>
          <w:sz w:val="30"/>
          <w:szCs w:val="30"/>
        </w:rPr>
      </w:pPr>
      <w:r>
        <w:rPr>
          <w:rFonts w:hint="eastAsia" w:ascii="宋体" w:hAnsi="宋体"/>
          <w:sz w:val="30"/>
          <w:szCs w:val="30"/>
        </w:rPr>
        <w:t xml:space="preserve">人民币（大写) </w:t>
      </w:r>
      <w:r>
        <w:rPr>
          <w:rFonts w:ascii="宋体" w:hAnsi="宋体"/>
          <w:sz w:val="30"/>
          <w:szCs w:val="30"/>
          <w:u w:val="single"/>
        </w:rPr>
        <w:t xml:space="preserve">            </w:t>
      </w:r>
      <w:r>
        <w:rPr>
          <w:rFonts w:hint="eastAsia" w:ascii="宋体" w:hAnsi="宋体"/>
          <w:sz w:val="30"/>
          <w:szCs w:val="30"/>
        </w:rPr>
        <w:t>（¥</w:t>
      </w:r>
      <w:r>
        <w:rPr>
          <w:rFonts w:ascii="宋体" w:hAnsi="宋体"/>
          <w:sz w:val="30"/>
          <w:szCs w:val="30"/>
          <w:u w:val="single"/>
        </w:rPr>
        <w:t xml:space="preserve">         </w:t>
      </w:r>
      <w:r>
        <w:rPr>
          <w:rFonts w:hint="eastAsia" w:ascii="宋体" w:hAnsi="宋体"/>
          <w:sz w:val="30"/>
          <w:szCs w:val="30"/>
        </w:rPr>
        <w:t>元）；适用税率：</w:t>
      </w:r>
      <w:r>
        <w:rPr>
          <w:rFonts w:ascii="宋体" w:hAnsi="宋体"/>
          <w:sz w:val="30"/>
          <w:szCs w:val="30"/>
          <w:u w:val="single"/>
        </w:rPr>
        <w:t xml:space="preserve">    </w:t>
      </w:r>
      <w:r>
        <w:rPr>
          <w:rFonts w:hint="eastAsia" w:ascii="宋体" w:hAnsi="宋体"/>
          <w:sz w:val="30"/>
          <w:szCs w:val="30"/>
        </w:rPr>
        <w:t>%，税金为人民币（大写)</w:t>
      </w:r>
      <w:r>
        <w:rPr>
          <w:rFonts w:hint="eastAsia" w:ascii="宋体" w:hAnsi="宋体"/>
          <w:sz w:val="30"/>
          <w:szCs w:val="30"/>
          <w:u w:val="single"/>
        </w:rPr>
        <w:t xml:space="preserve"> </w:t>
      </w:r>
      <w:r>
        <w:rPr>
          <w:rFonts w:ascii="宋体" w:hAnsi="宋体"/>
          <w:sz w:val="30"/>
          <w:szCs w:val="30"/>
          <w:u w:val="single"/>
        </w:rPr>
        <w:t xml:space="preserve">          </w:t>
      </w:r>
      <w:r>
        <w:rPr>
          <w:rFonts w:hint="eastAsia" w:ascii="宋体" w:hAnsi="宋体"/>
          <w:sz w:val="30"/>
          <w:szCs w:val="30"/>
        </w:rPr>
        <w:t>（¥</w:t>
      </w:r>
      <w:r>
        <w:rPr>
          <w:rFonts w:ascii="宋体" w:hAnsi="宋体"/>
          <w:sz w:val="30"/>
          <w:szCs w:val="30"/>
          <w:u w:val="single"/>
        </w:rPr>
        <w:t xml:space="preserve">          </w:t>
      </w:r>
      <w:r>
        <w:rPr>
          <w:rFonts w:hint="eastAsia" w:ascii="宋体" w:hAnsi="宋体"/>
          <w:sz w:val="30"/>
          <w:szCs w:val="30"/>
        </w:rPr>
        <w:t xml:space="preserve">元）； </w:t>
      </w:r>
    </w:p>
    <w:p w14:paraId="50F3D19A">
      <w:pPr>
        <w:ind w:firstLine="600"/>
        <w:rPr>
          <w:rFonts w:ascii="宋体" w:hAnsi="宋体"/>
          <w:sz w:val="30"/>
          <w:szCs w:val="30"/>
        </w:rPr>
      </w:pPr>
      <w:r>
        <w:rPr>
          <w:rFonts w:hint="eastAsia" w:ascii="宋体" w:hAnsi="宋体"/>
          <w:sz w:val="30"/>
          <w:szCs w:val="30"/>
        </w:rPr>
        <w:t>（2） 设备购置费（含税）：</w:t>
      </w:r>
    </w:p>
    <w:p w14:paraId="730B96F6">
      <w:pPr>
        <w:ind w:firstLine="600"/>
        <w:rPr>
          <w:rFonts w:ascii="宋体" w:hAnsi="宋体"/>
          <w:sz w:val="30"/>
          <w:szCs w:val="30"/>
        </w:rPr>
      </w:pPr>
      <w:r>
        <w:rPr>
          <w:rFonts w:hint="eastAsia" w:ascii="宋体" w:hAnsi="宋体"/>
          <w:sz w:val="30"/>
          <w:szCs w:val="30"/>
        </w:rPr>
        <w:t xml:space="preserve">人民币（大写) </w:t>
      </w:r>
      <w:r>
        <w:rPr>
          <w:rFonts w:ascii="宋体" w:hAnsi="宋体"/>
          <w:sz w:val="30"/>
          <w:szCs w:val="30"/>
          <w:u w:val="single"/>
        </w:rPr>
        <w:t xml:space="preserve">            </w:t>
      </w:r>
      <w:r>
        <w:rPr>
          <w:rFonts w:hint="eastAsia" w:ascii="宋体" w:hAnsi="宋体"/>
          <w:sz w:val="30"/>
          <w:szCs w:val="30"/>
        </w:rPr>
        <w:t>（¥</w:t>
      </w:r>
      <w:r>
        <w:rPr>
          <w:rFonts w:ascii="宋体" w:hAnsi="宋体"/>
          <w:sz w:val="30"/>
          <w:szCs w:val="30"/>
          <w:u w:val="single"/>
        </w:rPr>
        <w:t xml:space="preserve">        </w:t>
      </w:r>
      <w:r>
        <w:rPr>
          <w:rFonts w:hint="eastAsia" w:ascii="宋体" w:hAnsi="宋体"/>
          <w:sz w:val="30"/>
          <w:szCs w:val="30"/>
        </w:rPr>
        <w:t>元）；适用税率：</w:t>
      </w:r>
      <w:r>
        <w:rPr>
          <w:rFonts w:ascii="宋体" w:hAnsi="宋体"/>
          <w:sz w:val="30"/>
          <w:szCs w:val="30"/>
          <w:u w:val="single"/>
        </w:rPr>
        <w:t xml:space="preserve">   </w:t>
      </w:r>
      <w:r>
        <w:rPr>
          <w:rFonts w:hint="eastAsia" w:ascii="宋体" w:hAnsi="宋体"/>
          <w:sz w:val="30"/>
          <w:szCs w:val="30"/>
        </w:rPr>
        <w:t>%，税金为人民币（大写)</w:t>
      </w:r>
      <w:r>
        <w:rPr>
          <w:rFonts w:ascii="宋体" w:hAnsi="宋体"/>
          <w:sz w:val="30"/>
          <w:szCs w:val="30"/>
          <w:u w:val="single"/>
        </w:rPr>
        <w:t xml:space="preserve">          </w:t>
      </w:r>
      <w:r>
        <w:rPr>
          <w:rFonts w:hint="eastAsia" w:ascii="宋体" w:hAnsi="宋体"/>
          <w:sz w:val="30"/>
          <w:szCs w:val="30"/>
        </w:rPr>
        <w:t>（¥</w:t>
      </w:r>
      <w:r>
        <w:rPr>
          <w:rFonts w:ascii="宋体" w:hAnsi="宋体"/>
          <w:sz w:val="30"/>
          <w:szCs w:val="30"/>
          <w:u w:val="single"/>
        </w:rPr>
        <w:t xml:space="preserve">        </w:t>
      </w:r>
      <w:r>
        <w:rPr>
          <w:rFonts w:hint="eastAsia" w:ascii="宋体" w:hAnsi="宋体"/>
          <w:sz w:val="30"/>
          <w:szCs w:val="30"/>
        </w:rPr>
        <w:t xml:space="preserve">元）； </w:t>
      </w:r>
    </w:p>
    <w:p w14:paraId="2F4DE363">
      <w:pPr>
        <w:ind w:firstLine="600"/>
        <w:rPr>
          <w:rFonts w:ascii="宋体" w:hAnsi="宋体"/>
          <w:sz w:val="30"/>
          <w:szCs w:val="30"/>
        </w:rPr>
      </w:pPr>
      <w:r>
        <w:rPr>
          <w:rFonts w:hint="eastAsia" w:ascii="宋体" w:hAnsi="宋体"/>
          <w:sz w:val="30"/>
          <w:szCs w:val="30"/>
        </w:rPr>
        <w:t>（3） 建筑安装工程费（含税）：</w:t>
      </w:r>
    </w:p>
    <w:p w14:paraId="1181D8C0">
      <w:pPr>
        <w:ind w:firstLine="600"/>
        <w:rPr>
          <w:rFonts w:ascii="宋体" w:hAnsi="宋体"/>
          <w:sz w:val="30"/>
          <w:szCs w:val="30"/>
        </w:rPr>
      </w:pPr>
      <w:r>
        <w:rPr>
          <w:rFonts w:hint="eastAsia" w:ascii="宋体" w:hAnsi="宋体"/>
          <w:sz w:val="30"/>
          <w:szCs w:val="30"/>
        </w:rPr>
        <w:t>人民币（大写)</w:t>
      </w:r>
      <w:r>
        <w:rPr>
          <w:rFonts w:ascii="宋体" w:hAnsi="宋体"/>
          <w:sz w:val="30"/>
          <w:szCs w:val="30"/>
          <w:u w:val="single"/>
        </w:rPr>
        <w:t xml:space="preserve">             </w:t>
      </w:r>
      <w:r>
        <w:rPr>
          <w:rFonts w:hint="eastAsia" w:ascii="宋体" w:hAnsi="宋体"/>
          <w:sz w:val="30"/>
          <w:szCs w:val="30"/>
        </w:rPr>
        <w:t>（¥</w:t>
      </w:r>
      <w:r>
        <w:rPr>
          <w:rFonts w:ascii="宋体" w:hAnsi="宋体"/>
          <w:sz w:val="30"/>
          <w:szCs w:val="30"/>
          <w:u w:val="single"/>
        </w:rPr>
        <w:t xml:space="preserve">        </w:t>
      </w:r>
      <w:r>
        <w:rPr>
          <w:rFonts w:hint="eastAsia" w:ascii="宋体" w:hAnsi="宋体"/>
          <w:sz w:val="30"/>
          <w:szCs w:val="30"/>
        </w:rPr>
        <w:t>元）；适用税率：</w:t>
      </w:r>
      <w:r>
        <w:rPr>
          <w:rFonts w:ascii="宋体" w:hAnsi="宋体"/>
          <w:sz w:val="30"/>
          <w:szCs w:val="30"/>
          <w:u w:val="single"/>
        </w:rPr>
        <w:t xml:space="preserve">   </w:t>
      </w:r>
      <w:r>
        <w:rPr>
          <w:rFonts w:hint="eastAsia" w:ascii="宋体" w:hAnsi="宋体"/>
          <w:sz w:val="30"/>
          <w:szCs w:val="30"/>
        </w:rPr>
        <w:t>%，税金为人民币（大写)</w:t>
      </w:r>
      <w:r>
        <w:rPr>
          <w:rFonts w:hint="eastAsia" w:ascii="宋体" w:hAnsi="宋体"/>
          <w:sz w:val="30"/>
          <w:szCs w:val="30"/>
          <w:u w:val="single"/>
        </w:rPr>
        <w:t xml:space="preserve"> </w:t>
      </w:r>
      <w:r>
        <w:rPr>
          <w:rFonts w:ascii="宋体" w:hAnsi="宋体"/>
          <w:sz w:val="30"/>
          <w:szCs w:val="30"/>
          <w:u w:val="single"/>
        </w:rPr>
        <w:t xml:space="preserve">         </w:t>
      </w:r>
      <w:r>
        <w:rPr>
          <w:rFonts w:hint="eastAsia" w:ascii="宋体" w:hAnsi="宋体"/>
          <w:sz w:val="30"/>
          <w:szCs w:val="30"/>
        </w:rPr>
        <w:t>（¥</w:t>
      </w:r>
      <w:r>
        <w:rPr>
          <w:rFonts w:ascii="宋体" w:hAnsi="宋体"/>
          <w:sz w:val="30"/>
          <w:szCs w:val="30"/>
          <w:u w:val="single"/>
        </w:rPr>
        <w:t xml:space="preserve">        </w:t>
      </w:r>
      <w:r>
        <w:rPr>
          <w:rFonts w:hint="eastAsia" w:ascii="宋体" w:hAnsi="宋体"/>
          <w:sz w:val="30"/>
          <w:szCs w:val="30"/>
        </w:rPr>
        <w:t xml:space="preserve">元）； </w:t>
      </w:r>
    </w:p>
    <w:p w14:paraId="1CCD3F17">
      <w:pPr>
        <w:ind w:firstLine="600"/>
        <w:rPr>
          <w:rFonts w:ascii="宋体" w:hAnsi="宋体"/>
          <w:sz w:val="30"/>
          <w:szCs w:val="30"/>
        </w:rPr>
      </w:pPr>
      <w:r>
        <w:rPr>
          <w:rFonts w:hint="eastAsia" w:ascii="宋体" w:hAnsi="宋体"/>
          <w:sz w:val="30"/>
          <w:szCs w:val="30"/>
        </w:rPr>
        <w:t>（</w:t>
      </w:r>
      <w:r>
        <w:rPr>
          <w:rFonts w:ascii="宋体" w:hAnsi="宋体"/>
          <w:sz w:val="30"/>
          <w:szCs w:val="30"/>
        </w:rPr>
        <w:t>4</w:t>
      </w:r>
      <w:r>
        <w:rPr>
          <w:rFonts w:hint="eastAsia" w:ascii="宋体" w:hAnsi="宋体"/>
          <w:sz w:val="30"/>
          <w:szCs w:val="30"/>
        </w:rPr>
        <w:t>） 暂估价（含税）：</w:t>
      </w:r>
    </w:p>
    <w:p w14:paraId="55C95357">
      <w:pPr>
        <w:ind w:firstLine="600"/>
        <w:rPr>
          <w:rFonts w:ascii="宋体" w:hAnsi="宋体"/>
          <w:sz w:val="30"/>
          <w:szCs w:val="30"/>
        </w:rPr>
      </w:pPr>
      <w:r>
        <w:rPr>
          <w:rFonts w:hint="eastAsia" w:ascii="宋体" w:hAnsi="宋体"/>
          <w:sz w:val="30"/>
          <w:szCs w:val="30"/>
        </w:rPr>
        <w:t>人民币（大写)</w:t>
      </w:r>
      <w:r>
        <w:rPr>
          <w:rFonts w:ascii="宋体" w:hAnsi="宋体"/>
          <w:sz w:val="30"/>
          <w:szCs w:val="30"/>
          <w:u w:val="single"/>
        </w:rPr>
        <w:t xml:space="preserve">                 </w:t>
      </w:r>
      <w:r>
        <w:rPr>
          <w:rFonts w:hint="eastAsia" w:ascii="宋体" w:hAnsi="宋体"/>
          <w:sz w:val="30"/>
          <w:szCs w:val="30"/>
        </w:rPr>
        <w:t>（¥</w:t>
      </w:r>
      <w:r>
        <w:rPr>
          <w:rFonts w:ascii="宋体" w:hAnsi="宋体"/>
          <w:sz w:val="30"/>
          <w:szCs w:val="30"/>
          <w:u w:val="single"/>
        </w:rPr>
        <w:t xml:space="preserve">            </w:t>
      </w:r>
      <w:r>
        <w:rPr>
          <w:rFonts w:hint="eastAsia" w:ascii="宋体" w:hAnsi="宋体"/>
          <w:sz w:val="30"/>
          <w:szCs w:val="30"/>
        </w:rPr>
        <w:t>元）。</w:t>
      </w:r>
    </w:p>
    <w:p w14:paraId="79140A4A">
      <w:pPr>
        <w:ind w:firstLine="600"/>
        <w:rPr>
          <w:rFonts w:ascii="宋体" w:hAnsi="宋体"/>
          <w:sz w:val="30"/>
          <w:szCs w:val="30"/>
        </w:rPr>
      </w:pPr>
      <w:r>
        <w:rPr>
          <w:rFonts w:hint="eastAsia" w:ascii="宋体" w:hAnsi="宋体"/>
          <w:sz w:val="30"/>
          <w:szCs w:val="30"/>
        </w:rPr>
        <w:t>（</w:t>
      </w:r>
      <w:r>
        <w:rPr>
          <w:rFonts w:ascii="宋体" w:hAnsi="宋体"/>
          <w:sz w:val="30"/>
          <w:szCs w:val="30"/>
        </w:rPr>
        <w:t>5</w:t>
      </w:r>
      <w:r>
        <w:rPr>
          <w:rFonts w:hint="eastAsia" w:ascii="宋体" w:hAnsi="宋体"/>
          <w:sz w:val="30"/>
          <w:szCs w:val="30"/>
        </w:rPr>
        <w:t>） 暂列金额（含税）：</w:t>
      </w:r>
    </w:p>
    <w:p w14:paraId="662EB2A5">
      <w:pPr>
        <w:ind w:firstLine="600"/>
        <w:rPr>
          <w:rFonts w:ascii="宋体" w:hAnsi="宋体"/>
          <w:sz w:val="30"/>
          <w:szCs w:val="30"/>
        </w:rPr>
      </w:pPr>
      <w:r>
        <w:rPr>
          <w:rFonts w:hint="eastAsia" w:ascii="宋体" w:hAnsi="宋体"/>
          <w:sz w:val="30"/>
          <w:szCs w:val="30"/>
        </w:rPr>
        <w:t>人民币（大写)</w:t>
      </w:r>
      <w:r>
        <w:rPr>
          <w:rFonts w:ascii="宋体" w:hAnsi="宋体"/>
          <w:sz w:val="30"/>
          <w:szCs w:val="30"/>
          <w:u w:val="single"/>
        </w:rPr>
        <w:t xml:space="preserve">                 </w:t>
      </w:r>
      <w:r>
        <w:rPr>
          <w:rFonts w:hint="eastAsia" w:ascii="宋体" w:hAnsi="宋体"/>
          <w:sz w:val="30"/>
          <w:szCs w:val="30"/>
        </w:rPr>
        <w:t>（¥</w:t>
      </w:r>
      <w:r>
        <w:rPr>
          <w:rFonts w:ascii="宋体" w:hAnsi="宋体"/>
          <w:sz w:val="30"/>
          <w:szCs w:val="30"/>
          <w:u w:val="single"/>
        </w:rPr>
        <w:t xml:space="preserve">            </w:t>
      </w:r>
      <w:r>
        <w:rPr>
          <w:rFonts w:hint="eastAsia" w:ascii="宋体" w:hAnsi="宋体"/>
          <w:sz w:val="30"/>
          <w:szCs w:val="30"/>
        </w:rPr>
        <w:t>元）。</w:t>
      </w:r>
    </w:p>
    <w:p w14:paraId="4D7F6FBD">
      <w:pPr>
        <w:ind w:firstLine="600"/>
        <w:rPr>
          <w:rFonts w:ascii="宋体" w:hAnsi="宋体"/>
          <w:sz w:val="30"/>
          <w:szCs w:val="30"/>
        </w:rPr>
      </w:pPr>
      <w:r>
        <w:rPr>
          <w:rFonts w:hint="eastAsia" w:ascii="宋体" w:hAnsi="宋体"/>
          <w:sz w:val="30"/>
          <w:szCs w:val="30"/>
        </w:rPr>
        <w:t>（</w:t>
      </w:r>
      <w:r>
        <w:rPr>
          <w:rFonts w:ascii="宋体" w:hAnsi="宋体"/>
          <w:sz w:val="30"/>
          <w:szCs w:val="30"/>
        </w:rPr>
        <w:t>6）</w:t>
      </w:r>
      <w:r>
        <w:rPr>
          <w:rFonts w:hint="eastAsia" w:ascii="宋体" w:hAnsi="宋体"/>
          <w:sz w:val="30"/>
          <w:szCs w:val="30"/>
        </w:rPr>
        <w:t xml:space="preserve"> </w:t>
      </w:r>
      <w:r>
        <w:rPr>
          <w:rFonts w:ascii="宋体" w:hAnsi="宋体"/>
          <w:sz w:val="30"/>
          <w:szCs w:val="30"/>
        </w:rPr>
        <w:t>双方约定的其他费用</w:t>
      </w:r>
      <w:r>
        <w:rPr>
          <w:rFonts w:hint="eastAsia" w:ascii="宋体" w:hAnsi="宋体"/>
          <w:sz w:val="30"/>
          <w:szCs w:val="30"/>
        </w:rPr>
        <w:t>（含税）</w:t>
      </w:r>
      <w:r>
        <w:rPr>
          <w:rFonts w:ascii="宋体" w:hAnsi="宋体"/>
          <w:sz w:val="30"/>
          <w:szCs w:val="30"/>
        </w:rPr>
        <w:t>：</w:t>
      </w:r>
    </w:p>
    <w:p w14:paraId="251CF2C4">
      <w:pPr>
        <w:ind w:firstLine="600"/>
        <w:jc w:val="left"/>
        <w:rPr>
          <w:rFonts w:ascii="宋体" w:hAnsi="宋体"/>
          <w:sz w:val="30"/>
          <w:szCs w:val="30"/>
        </w:rPr>
      </w:pPr>
      <w:r>
        <w:rPr>
          <w:rFonts w:hint="eastAsia" w:ascii="宋体" w:hAnsi="宋体"/>
          <w:sz w:val="30"/>
          <w:szCs w:val="30"/>
        </w:rPr>
        <w:t>人民币（大写</w:t>
      </w:r>
      <w:r>
        <w:rPr>
          <w:rFonts w:ascii="宋体" w:hAnsi="宋体"/>
          <w:sz w:val="30"/>
          <w:szCs w:val="30"/>
        </w:rPr>
        <w:t>)</w:t>
      </w:r>
      <w:r>
        <w:rPr>
          <w:rFonts w:hint="eastAsia" w:ascii="宋体" w:hAnsi="宋体"/>
          <w:sz w:val="30"/>
          <w:szCs w:val="30"/>
          <w:u w:val="single"/>
        </w:rPr>
        <w:t xml:space="preserve">                </w:t>
      </w:r>
      <w:r>
        <w:rPr>
          <w:rFonts w:ascii="宋体" w:hAnsi="宋体"/>
          <w:sz w:val="30"/>
          <w:szCs w:val="30"/>
        </w:rPr>
        <w:t>（¥</w:t>
      </w:r>
      <w:r>
        <w:rPr>
          <w:rFonts w:hint="eastAsia" w:ascii="宋体" w:hAnsi="宋体"/>
          <w:sz w:val="30"/>
          <w:szCs w:val="30"/>
          <w:u w:val="single"/>
        </w:rPr>
        <w:t xml:space="preserve">          </w:t>
      </w:r>
      <w:r>
        <w:rPr>
          <w:rFonts w:ascii="宋体" w:hAnsi="宋体"/>
          <w:sz w:val="30"/>
          <w:szCs w:val="30"/>
        </w:rPr>
        <w:t>元）；适用税率：</w:t>
      </w:r>
      <w:r>
        <w:rPr>
          <w:rFonts w:hint="eastAsia" w:ascii="宋体" w:hAnsi="宋体"/>
          <w:sz w:val="30"/>
          <w:szCs w:val="30"/>
          <w:u w:val="single"/>
        </w:rPr>
        <w:t xml:space="preserve">         </w:t>
      </w:r>
      <w:r>
        <w:rPr>
          <w:rFonts w:ascii="宋体" w:hAnsi="宋体"/>
          <w:sz w:val="30"/>
          <w:szCs w:val="30"/>
        </w:rPr>
        <w:t>%，税金为人民币（大写)</w:t>
      </w:r>
      <w:r>
        <w:rPr>
          <w:rFonts w:hint="eastAsia" w:ascii="宋体" w:hAnsi="宋体"/>
          <w:sz w:val="30"/>
          <w:szCs w:val="30"/>
          <w:u w:val="single"/>
        </w:rPr>
        <w:t xml:space="preserve">                 </w:t>
      </w:r>
      <w:r>
        <w:rPr>
          <w:rFonts w:ascii="宋体" w:hAnsi="宋体"/>
          <w:sz w:val="30"/>
          <w:szCs w:val="30"/>
        </w:rPr>
        <w:t>（¥</w:t>
      </w:r>
      <w:r>
        <w:rPr>
          <w:rFonts w:hint="eastAsia" w:ascii="宋体" w:hAnsi="宋体"/>
          <w:sz w:val="30"/>
          <w:szCs w:val="30"/>
          <w:u w:val="single"/>
        </w:rPr>
        <w:t xml:space="preserve">            </w:t>
      </w:r>
      <w:r>
        <w:rPr>
          <w:rFonts w:ascii="宋体" w:hAnsi="宋体"/>
          <w:sz w:val="30"/>
          <w:szCs w:val="30"/>
        </w:rPr>
        <w:t>元）。</w:t>
      </w:r>
    </w:p>
    <w:p w14:paraId="78FFAAD1">
      <w:pPr>
        <w:ind w:firstLine="600"/>
        <w:rPr>
          <w:rFonts w:ascii="宋体" w:hAnsi="宋体"/>
          <w:sz w:val="30"/>
          <w:szCs w:val="30"/>
        </w:rPr>
      </w:pPr>
      <w:r>
        <w:rPr>
          <w:rFonts w:hint="eastAsia" w:ascii="宋体" w:hAnsi="宋体"/>
          <w:sz w:val="30"/>
          <w:szCs w:val="30"/>
        </w:rPr>
        <w:t>2. 合同价格形式：</w:t>
      </w:r>
    </w:p>
    <w:p w14:paraId="0584FD71">
      <w:pPr>
        <w:ind w:firstLine="600"/>
        <w:rPr>
          <w:rFonts w:ascii="宋体" w:hAnsi="宋体"/>
          <w:sz w:val="30"/>
          <w:szCs w:val="30"/>
        </w:rPr>
      </w:pPr>
      <w:r>
        <w:rPr>
          <w:rFonts w:hint="eastAsia" w:ascii="宋体" w:hAnsi="宋体"/>
          <w:sz w:val="30"/>
          <w:szCs w:val="30"/>
        </w:rPr>
        <w:t>合同价格形式为总价合同，除根据合同约定的在工程实施过程中需进行增减的款项外，合同价格不予调整，但合同当事人另有约定的除外。</w:t>
      </w:r>
    </w:p>
    <w:p w14:paraId="11777DB3">
      <w:pPr>
        <w:kinsoku w:val="0"/>
        <w:ind w:left="263" w:leftChars="125" w:firstLine="300" w:firstLineChars="100"/>
        <w:jc w:val="left"/>
        <w:rPr>
          <w:rFonts w:ascii="宋体" w:hAnsi="宋体"/>
          <w:sz w:val="30"/>
          <w:szCs w:val="30"/>
        </w:rPr>
      </w:pPr>
      <w:r>
        <w:rPr>
          <w:rFonts w:hint="eastAsia" w:ascii="宋体" w:hAnsi="宋体"/>
          <w:sz w:val="30"/>
          <w:szCs w:val="30"/>
        </w:rPr>
        <w:t>合同当事人对合同价格形式的其他约定：</w:t>
      </w:r>
      <w:r>
        <w:rPr>
          <w:rFonts w:ascii="宋体" w:hAnsi="宋体"/>
          <w:sz w:val="30"/>
          <w:szCs w:val="30"/>
          <w:u w:val="single"/>
        </w:rPr>
        <w:t xml:space="preserve">              </w:t>
      </w:r>
      <w:r>
        <w:rPr>
          <w:rFonts w:hint="eastAsia" w:ascii="宋体" w:hAnsi="宋体"/>
          <w:sz w:val="30"/>
          <w:szCs w:val="30"/>
          <w:u w:val="single"/>
        </w:rPr>
        <w:t xml:space="preserve"> </w:t>
      </w:r>
      <w:r>
        <w:rPr>
          <w:rFonts w:hint="eastAsia" w:ascii="宋体" w:hAnsi="宋体"/>
          <w:sz w:val="30"/>
          <w:szCs w:val="30"/>
        </w:rPr>
        <w:t>。</w:t>
      </w:r>
    </w:p>
    <w:p w14:paraId="77E743C2">
      <w:pPr>
        <w:pStyle w:val="966"/>
        <w:numPr>
          <w:ilvl w:val="0"/>
          <w:numId w:val="0"/>
        </w:numPr>
        <w:wordWrap/>
        <w:topLinePunct w:val="0"/>
        <w:rPr>
          <w:b w:val="0"/>
          <w:bCs/>
          <w:sz w:val="30"/>
          <w:szCs w:val="30"/>
        </w:rPr>
      </w:pPr>
      <w:bookmarkStart w:id="13" w:name="_Toc54862169"/>
      <w:r>
        <w:rPr>
          <w:rFonts w:hint="eastAsia"/>
          <w:b w:val="0"/>
          <w:bCs/>
          <w:sz w:val="30"/>
          <w:szCs w:val="30"/>
        </w:rPr>
        <w:t>五、工程总承包项目经理</w:t>
      </w:r>
      <w:bookmarkEnd w:id="13"/>
    </w:p>
    <w:p w14:paraId="041C38DD">
      <w:pPr>
        <w:ind w:firstLine="600"/>
        <w:rPr>
          <w:rFonts w:ascii="宋体" w:hAnsi="宋体"/>
          <w:sz w:val="30"/>
          <w:szCs w:val="30"/>
        </w:rPr>
      </w:pPr>
      <w:r>
        <w:rPr>
          <w:rFonts w:hint="eastAsia" w:ascii="宋体" w:hAnsi="宋体"/>
          <w:sz w:val="30"/>
          <w:szCs w:val="30"/>
        </w:rPr>
        <w:t>工程总承包项目经理：</w:t>
      </w:r>
      <w:r>
        <w:rPr>
          <w:rFonts w:ascii="宋体" w:hAnsi="宋体"/>
          <w:sz w:val="30"/>
          <w:szCs w:val="30"/>
          <w:u w:val="single"/>
        </w:rPr>
        <w:t xml:space="preserve">                              </w:t>
      </w:r>
      <w:r>
        <w:rPr>
          <w:rFonts w:hint="eastAsia" w:ascii="宋体" w:hAnsi="宋体"/>
          <w:sz w:val="30"/>
          <w:szCs w:val="30"/>
        </w:rPr>
        <w:t>。</w:t>
      </w:r>
    </w:p>
    <w:p w14:paraId="46EF8BBC">
      <w:pPr>
        <w:pStyle w:val="966"/>
        <w:numPr>
          <w:ilvl w:val="0"/>
          <w:numId w:val="0"/>
        </w:numPr>
        <w:wordWrap/>
        <w:topLinePunct w:val="0"/>
        <w:rPr>
          <w:b w:val="0"/>
          <w:bCs/>
          <w:sz w:val="30"/>
          <w:szCs w:val="30"/>
        </w:rPr>
      </w:pPr>
      <w:bookmarkStart w:id="14" w:name="_Toc54862170"/>
      <w:r>
        <w:rPr>
          <w:rFonts w:hint="eastAsia"/>
          <w:b w:val="0"/>
          <w:bCs/>
          <w:sz w:val="30"/>
          <w:szCs w:val="30"/>
        </w:rPr>
        <w:t>六、合同文件构成</w:t>
      </w:r>
      <w:bookmarkEnd w:id="14"/>
    </w:p>
    <w:p w14:paraId="38D49D80">
      <w:pPr>
        <w:ind w:firstLine="600"/>
        <w:rPr>
          <w:rFonts w:ascii="宋体" w:hAnsi="宋体"/>
          <w:sz w:val="30"/>
          <w:szCs w:val="30"/>
        </w:rPr>
      </w:pPr>
      <w:r>
        <w:rPr>
          <w:rFonts w:hint="eastAsia" w:ascii="宋体" w:hAnsi="宋体"/>
          <w:sz w:val="30"/>
          <w:szCs w:val="30"/>
        </w:rPr>
        <w:t xml:space="preserve">本协议书与下列文件一起构成合同文件： </w:t>
      </w:r>
    </w:p>
    <w:p w14:paraId="68A0E430">
      <w:pPr>
        <w:ind w:firstLine="600"/>
        <w:rPr>
          <w:rFonts w:ascii="宋体" w:hAnsi="宋体"/>
          <w:sz w:val="30"/>
          <w:szCs w:val="30"/>
        </w:rPr>
      </w:pPr>
      <w:r>
        <w:rPr>
          <w:rFonts w:hint="eastAsia" w:ascii="宋体" w:hAnsi="宋体"/>
          <w:sz w:val="30"/>
          <w:szCs w:val="30"/>
        </w:rPr>
        <w:t>（1） 中标通知书（如果有）；</w:t>
      </w:r>
    </w:p>
    <w:p w14:paraId="2966DA86">
      <w:pPr>
        <w:ind w:firstLine="600"/>
        <w:rPr>
          <w:rFonts w:ascii="宋体" w:hAnsi="宋体"/>
          <w:sz w:val="30"/>
          <w:szCs w:val="30"/>
        </w:rPr>
      </w:pPr>
      <w:r>
        <w:rPr>
          <w:rFonts w:hint="eastAsia" w:ascii="宋体" w:hAnsi="宋体"/>
          <w:sz w:val="30"/>
          <w:szCs w:val="30"/>
        </w:rPr>
        <w:t>（2） 投标函及投标函附录（如果有）；</w:t>
      </w:r>
    </w:p>
    <w:p w14:paraId="6176C0AB">
      <w:pPr>
        <w:ind w:firstLine="600"/>
        <w:rPr>
          <w:rFonts w:ascii="宋体" w:hAnsi="宋体"/>
          <w:sz w:val="30"/>
          <w:szCs w:val="30"/>
        </w:rPr>
      </w:pPr>
      <w:r>
        <w:rPr>
          <w:rFonts w:hint="eastAsia" w:ascii="宋体" w:hAnsi="宋体"/>
          <w:sz w:val="30"/>
          <w:szCs w:val="30"/>
        </w:rPr>
        <w:t>（3） 专用合同条件及《发包人要求》等附件；</w:t>
      </w:r>
    </w:p>
    <w:p w14:paraId="5EBDFAC9">
      <w:pPr>
        <w:ind w:firstLine="600"/>
        <w:rPr>
          <w:rFonts w:ascii="宋体" w:hAnsi="宋体"/>
          <w:sz w:val="30"/>
          <w:szCs w:val="30"/>
        </w:rPr>
      </w:pPr>
      <w:r>
        <w:rPr>
          <w:rFonts w:hint="eastAsia" w:ascii="宋体" w:hAnsi="宋体"/>
          <w:sz w:val="30"/>
          <w:szCs w:val="30"/>
        </w:rPr>
        <w:t>（4） 通用合同条件；</w:t>
      </w:r>
    </w:p>
    <w:p w14:paraId="025A99E3">
      <w:pPr>
        <w:ind w:firstLine="600"/>
        <w:rPr>
          <w:rFonts w:ascii="宋体" w:hAnsi="宋体"/>
          <w:sz w:val="30"/>
          <w:szCs w:val="30"/>
        </w:rPr>
      </w:pPr>
      <w:r>
        <w:rPr>
          <w:rFonts w:hint="eastAsia" w:ascii="宋体" w:hAnsi="宋体"/>
          <w:sz w:val="30"/>
          <w:szCs w:val="30"/>
        </w:rPr>
        <w:t>（</w:t>
      </w:r>
      <w:r>
        <w:rPr>
          <w:rFonts w:ascii="宋体" w:hAnsi="宋体"/>
          <w:sz w:val="30"/>
          <w:szCs w:val="30"/>
        </w:rPr>
        <w:t>5</w:t>
      </w:r>
      <w:r>
        <w:rPr>
          <w:rFonts w:hint="eastAsia" w:ascii="宋体" w:hAnsi="宋体"/>
          <w:sz w:val="30"/>
          <w:szCs w:val="30"/>
        </w:rPr>
        <w:t xml:space="preserve">） 承包人建议书； </w:t>
      </w:r>
    </w:p>
    <w:p w14:paraId="37B5113F">
      <w:pPr>
        <w:ind w:firstLine="600"/>
        <w:rPr>
          <w:rFonts w:ascii="宋体" w:hAnsi="宋体"/>
          <w:sz w:val="30"/>
          <w:szCs w:val="30"/>
        </w:rPr>
      </w:pPr>
      <w:r>
        <w:rPr>
          <w:rFonts w:hint="eastAsia" w:ascii="宋体" w:hAnsi="宋体"/>
          <w:sz w:val="30"/>
          <w:szCs w:val="30"/>
        </w:rPr>
        <w:t>（</w:t>
      </w:r>
      <w:r>
        <w:rPr>
          <w:rFonts w:ascii="宋体" w:hAnsi="宋体"/>
          <w:sz w:val="30"/>
          <w:szCs w:val="30"/>
        </w:rPr>
        <w:t>6</w:t>
      </w:r>
      <w:r>
        <w:rPr>
          <w:rFonts w:hint="eastAsia" w:ascii="宋体" w:hAnsi="宋体"/>
          <w:sz w:val="30"/>
          <w:szCs w:val="30"/>
        </w:rPr>
        <w:t>） 价格清单；</w:t>
      </w:r>
    </w:p>
    <w:p w14:paraId="35820D74">
      <w:pPr>
        <w:ind w:firstLine="600"/>
        <w:rPr>
          <w:rFonts w:ascii="宋体" w:hAnsi="宋体"/>
          <w:sz w:val="30"/>
          <w:szCs w:val="30"/>
        </w:rPr>
      </w:pPr>
      <w:r>
        <w:rPr>
          <w:rFonts w:hint="eastAsia" w:ascii="宋体" w:hAnsi="宋体"/>
          <w:sz w:val="30"/>
          <w:szCs w:val="30"/>
        </w:rPr>
        <w:t>（</w:t>
      </w:r>
      <w:r>
        <w:rPr>
          <w:rFonts w:ascii="宋体" w:hAnsi="宋体"/>
          <w:sz w:val="30"/>
          <w:szCs w:val="30"/>
        </w:rPr>
        <w:t>7</w:t>
      </w:r>
      <w:r>
        <w:rPr>
          <w:rFonts w:hint="eastAsia" w:ascii="宋体" w:hAnsi="宋体"/>
          <w:sz w:val="30"/>
          <w:szCs w:val="30"/>
        </w:rPr>
        <w:t>） 双方约定的其他合同文件。</w:t>
      </w:r>
    </w:p>
    <w:p w14:paraId="77E3C407">
      <w:pPr>
        <w:ind w:firstLine="600"/>
        <w:rPr>
          <w:rFonts w:ascii="宋体" w:hAnsi="宋体"/>
          <w:sz w:val="30"/>
          <w:szCs w:val="30"/>
        </w:rPr>
      </w:pPr>
      <w:r>
        <w:rPr>
          <w:rFonts w:hint="eastAsia" w:ascii="宋体" w:hAnsi="宋体"/>
          <w:sz w:val="30"/>
          <w:szCs w:val="30"/>
        </w:rPr>
        <w:t>上述各项合同文件包括双方就该项合同文件所作出的补充和修改，属于同一类内容的合同文件应以最新签署的为准。专用合同条件及其附件须经合同当事人签字或盖章。</w:t>
      </w:r>
    </w:p>
    <w:p w14:paraId="30AE9B26">
      <w:pPr>
        <w:pStyle w:val="966"/>
        <w:numPr>
          <w:ilvl w:val="0"/>
          <w:numId w:val="0"/>
        </w:numPr>
        <w:wordWrap/>
        <w:topLinePunct w:val="0"/>
        <w:rPr>
          <w:b w:val="0"/>
          <w:bCs/>
          <w:sz w:val="30"/>
          <w:szCs w:val="30"/>
        </w:rPr>
      </w:pPr>
      <w:bookmarkStart w:id="15" w:name="_Toc54862171"/>
      <w:r>
        <w:rPr>
          <w:rFonts w:hint="eastAsia"/>
          <w:b w:val="0"/>
          <w:bCs/>
          <w:sz w:val="30"/>
          <w:szCs w:val="30"/>
        </w:rPr>
        <w:t>七、承诺</w:t>
      </w:r>
      <w:bookmarkEnd w:id="15"/>
    </w:p>
    <w:p w14:paraId="51DBE98E">
      <w:pPr>
        <w:ind w:firstLine="600"/>
        <w:rPr>
          <w:rFonts w:ascii="宋体" w:hAnsi="宋体"/>
          <w:sz w:val="30"/>
          <w:szCs w:val="30"/>
        </w:rPr>
      </w:pPr>
      <w:r>
        <w:rPr>
          <w:rFonts w:hint="eastAsia" w:ascii="宋体" w:hAnsi="宋体"/>
          <w:sz w:val="30"/>
          <w:szCs w:val="30"/>
        </w:rPr>
        <w:t>1. 发包人承诺按照法律规定履行项目审批手续、筹集工程建设资金并按照合同约定的期限和方式支付合同价款。</w:t>
      </w:r>
    </w:p>
    <w:p w14:paraId="4232FB30">
      <w:pPr>
        <w:ind w:firstLine="600"/>
        <w:rPr>
          <w:rFonts w:ascii="宋体" w:hAnsi="宋体"/>
          <w:sz w:val="30"/>
          <w:szCs w:val="30"/>
        </w:rPr>
      </w:pPr>
      <w:r>
        <w:rPr>
          <w:rFonts w:hint="eastAsia" w:ascii="宋体" w:hAnsi="宋体"/>
          <w:sz w:val="30"/>
          <w:szCs w:val="30"/>
        </w:rPr>
        <w:t>2. 承包人承诺按照法律规定及合同约定组织完成工程的设计、采购和施工等工作，确保工程质量和安全，不进行转包及违法分包，并在缺陷责任期及保修期内承担相应的工程维修责任。</w:t>
      </w:r>
    </w:p>
    <w:p w14:paraId="35FF1232">
      <w:pPr>
        <w:pStyle w:val="966"/>
        <w:numPr>
          <w:ilvl w:val="0"/>
          <w:numId w:val="0"/>
        </w:numPr>
        <w:wordWrap/>
        <w:topLinePunct w:val="0"/>
        <w:rPr>
          <w:b w:val="0"/>
          <w:bCs/>
          <w:sz w:val="30"/>
          <w:szCs w:val="30"/>
        </w:rPr>
      </w:pPr>
      <w:bookmarkStart w:id="16" w:name="_Toc54862172"/>
      <w:r>
        <w:rPr>
          <w:rFonts w:hint="eastAsia"/>
          <w:b w:val="0"/>
          <w:bCs/>
          <w:sz w:val="30"/>
          <w:szCs w:val="30"/>
        </w:rPr>
        <w:t>八、订立时间</w:t>
      </w:r>
      <w:bookmarkEnd w:id="16"/>
    </w:p>
    <w:p w14:paraId="34165B39">
      <w:pPr>
        <w:ind w:firstLine="600"/>
        <w:rPr>
          <w:rFonts w:ascii="宋体" w:hAnsi="宋体"/>
          <w:sz w:val="30"/>
          <w:szCs w:val="30"/>
        </w:rPr>
      </w:pPr>
      <w:r>
        <w:rPr>
          <w:rFonts w:hint="eastAsia" w:ascii="宋体" w:hAnsi="宋体"/>
          <w:sz w:val="30"/>
          <w:szCs w:val="30"/>
        </w:rPr>
        <w:t>本合同于</w:t>
      </w:r>
      <w:r>
        <w:rPr>
          <w:rFonts w:ascii="宋体" w:hAnsi="宋体"/>
          <w:sz w:val="30"/>
          <w:szCs w:val="30"/>
          <w:u w:val="single"/>
        </w:rPr>
        <w:t xml:space="preserve">        </w:t>
      </w:r>
      <w:r>
        <w:rPr>
          <w:rFonts w:hint="eastAsia" w:ascii="宋体" w:hAnsi="宋体"/>
          <w:sz w:val="30"/>
          <w:szCs w:val="30"/>
        </w:rPr>
        <w:t>年</w:t>
      </w:r>
      <w:r>
        <w:rPr>
          <w:rFonts w:ascii="宋体" w:hAnsi="宋体"/>
          <w:sz w:val="30"/>
          <w:szCs w:val="30"/>
          <w:u w:val="single"/>
        </w:rPr>
        <w:t xml:space="preserve">     </w:t>
      </w:r>
      <w:r>
        <w:rPr>
          <w:rFonts w:hint="eastAsia" w:ascii="宋体" w:hAnsi="宋体"/>
          <w:sz w:val="30"/>
          <w:szCs w:val="30"/>
        </w:rPr>
        <w:t>月</w:t>
      </w:r>
      <w:r>
        <w:rPr>
          <w:rFonts w:ascii="宋体" w:hAnsi="宋体"/>
          <w:sz w:val="30"/>
          <w:szCs w:val="30"/>
          <w:u w:val="single"/>
        </w:rPr>
        <w:t xml:space="preserve">     </w:t>
      </w:r>
      <w:r>
        <w:rPr>
          <w:rFonts w:hint="eastAsia" w:ascii="宋体" w:hAnsi="宋体"/>
          <w:sz w:val="30"/>
          <w:szCs w:val="30"/>
        </w:rPr>
        <w:t>日订立。</w:t>
      </w:r>
    </w:p>
    <w:p w14:paraId="6F47260D">
      <w:pPr>
        <w:pStyle w:val="966"/>
        <w:numPr>
          <w:ilvl w:val="0"/>
          <w:numId w:val="0"/>
        </w:numPr>
        <w:wordWrap/>
        <w:topLinePunct w:val="0"/>
        <w:rPr>
          <w:b w:val="0"/>
          <w:bCs/>
          <w:sz w:val="30"/>
          <w:szCs w:val="30"/>
        </w:rPr>
      </w:pPr>
      <w:bookmarkStart w:id="17" w:name="_Toc54862173"/>
      <w:r>
        <w:rPr>
          <w:rFonts w:hint="eastAsia"/>
          <w:b w:val="0"/>
          <w:bCs/>
          <w:sz w:val="30"/>
          <w:szCs w:val="30"/>
        </w:rPr>
        <w:t>九、订立地点</w:t>
      </w:r>
      <w:bookmarkEnd w:id="17"/>
    </w:p>
    <w:p w14:paraId="255B3A05">
      <w:pPr>
        <w:ind w:firstLine="600"/>
        <w:rPr>
          <w:rFonts w:ascii="宋体" w:hAnsi="宋体"/>
          <w:sz w:val="30"/>
          <w:szCs w:val="30"/>
        </w:rPr>
      </w:pPr>
      <w:r>
        <w:rPr>
          <w:rFonts w:hint="eastAsia" w:ascii="宋体" w:hAnsi="宋体"/>
          <w:sz w:val="30"/>
          <w:szCs w:val="30"/>
        </w:rPr>
        <w:t>本合同在</w:t>
      </w:r>
      <w:r>
        <w:rPr>
          <w:rFonts w:ascii="宋体" w:hAnsi="宋体"/>
          <w:sz w:val="30"/>
          <w:szCs w:val="30"/>
          <w:u w:val="single"/>
        </w:rPr>
        <w:t xml:space="preserve">                        </w:t>
      </w:r>
      <w:r>
        <w:rPr>
          <w:rFonts w:hint="eastAsia" w:ascii="宋体" w:hAnsi="宋体"/>
          <w:sz w:val="30"/>
          <w:szCs w:val="30"/>
        </w:rPr>
        <w:t>订立。</w:t>
      </w:r>
    </w:p>
    <w:p w14:paraId="0492CD48">
      <w:pPr>
        <w:pStyle w:val="966"/>
        <w:numPr>
          <w:ilvl w:val="0"/>
          <w:numId w:val="0"/>
        </w:numPr>
        <w:wordWrap/>
        <w:topLinePunct w:val="0"/>
        <w:rPr>
          <w:b w:val="0"/>
          <w:bCs/>
          <w:sz w:val="30"/>
          <w:szCs w:val="30"/>
        </w:rPr>
      </w:pPr>
      <w:bookmarkStart w:id="18" w:name="_Toc54862174"/>
      <w:r>
        <w:rPr>
          <w:rFonts w:hint="eastAsia"/>
          <w:b w:val="0"/>
          <w:bCs/>
          <w:sz w:val="30"/>
          <w:szCs w:val="30"/>
        </w:rPr>
        <w:t>十、合同生效</w:t>
      </w:r>
      <w:bookmarkEnd w:id="18"/>
    </w:p>
    <w:p w14:paraId="3223B53F">
      <w:pPr>
        <w:ind w:firstLine="600"/>
        <w:rPr>
          <w:rFonts w:ascii="宋体" w:hAnsi="宋体"/>
          <w:sz w:val="30"/>
          <w:szCs w:val="30"/>
        </w:rPr>
      </w:pPr>
      <w:r>
        <w:rPr>
          <w:rFonts w:hint="eastAsia" w:ascii="宋体" w:hAnsi="宋体"/>
          <w:sz w:val="30"/>
          <w:szCs w:val="30"/>
        </w:rPr>
        <w:t>本合同经双方签字或盖章后成立，并自</w:t>
      </w:r>
      <w:r>
        <w:rPr>
          <w:rFonts w:ascii="宋体" w:hAnsi="宋体"/>
          <w:sz w:val="30"/>
          <w:szCs w:val="30"/>
          <w:u w:val="single"/>
        </w:rPr>
        <w:t xml:space="preserve">            </w:t>
      </w:r>
      <w:r>
        <w:rPr>
          <w:rFonts w:hint="eastAsia" w:ascii="宋体" w:hAnsi="宋体"/>
          <w:sz w:val="30"/>
          <w:szCs w:val="30"/>
        </w:rPr>
        <w:t>生效。</w:t>
      </w:r>
    </w:p>
    <w:p w14:paraId="5364333D">
      <w:pPr>
        <w:pStyle w:val="966"/>
        <w:numPr>
          <w:ilvl w:val="0"/>
          <w:numId w:val="0"/>
        </w:numPr>
        <w:wordWrap/>
        <w:topLinePunct w:val="0"/>
        <w:rPr>
          <w:b w:val="0"/>
          <w:bCs/>
          <w:sz w:val="30"/>
          <w:szCs w:val="30"/>
        </w:rPr>
      </w:pPr>
      <w:bookmarkStart w:id="19" w:name="_Toc54862175"/>
      <w:r>
        <w:rPr>
          <w:rFonts w:hint="eastAsia"/>
          <w:b w:val="0"/>
          <w:bCs/>
          <w:sz w:val="30"/>
          <w:szCs w:val="30"/>
        </w:rPr>
        <w:t>十一、合同份数</w:t>
      </w:r>
      <w:bookmarkEnd w:id="19"/>
    </w:p>
    <w:p w14:paraId="4AC23F68">
      <w:pPr>
        <w:ind w:firstLine="600"/>
        <w:rPr>
          <w:rFonts w:ascii="宋体" w:hAnsi="宋体"/>
          <w:sz w:val="30"/>
          <w:szCs w:val="30"/>
        </w:rPr>
      </w:pPr>
      <w:r>
        <w:rPr>
          <w:rFonts w:hint="eastAsia" w:ascii="宋体" w:hAnsi="宋体"/>
          <w:sz w:val="30"/>
          <w:szCs w:val="30"/>
        </w:rPr>
        <w:t>本合同一式</w:t>
      </w:r>
      <w:r>
        <w:rPr>
          <w:rFonts w:ascii="宋体" w:hAnsi="宋体"/>
          <w:sz w:val="30"/>
          <w:szCs w:val="30"/>
          <w:u w:val="single"/>
        </w:rPr>
        <w:t xml:space="preserve">    </w:t>
      </w:r>
      <w:r>
        <w:rPr>
          <w:rFonts w:hint="eastAsia" w:ascii="宋体" w:hAnsi="宋体"/>
          <w:sz w:val="30"/>
          <w:szCs w:val="30"/>
        </w:rPr>
        <w:t>份，均具有同等法律效力，发包人执</w:t>
      </w:r>
      <w:r>
        <w:rPr>
          <w:rFonts w:ascii="宋体" w:hAnsi="宋体"/>
          <w:sz w:val="30"/>
          <w:szCs w:val="30"/>
          <w:u w:val="single"/>
        </w:rPr>
        <w:t xml:space="preserve">    </w:t>
      </w:r>
      <w:r>
        <w:rPr>
          <w:rFonts w:hint="eastAsia" w:ascii="宋体" w:hAnsi="宋体"/>
          <w:sz w:val="30"/>
          <w:szCs w:val="30"/>
        </w:rPr>
        <w:t>份，承包人执</w:t>
      </w:r>
      <w:r>
        <w:rPr>
          <w:rFonts w:ascii="宋体" w:hAnsi="宋体"/>
          <w:sz w:val="30"/>
          <w:szCs w:val="30"/>
          <w:u w:val="single"/>
        </w:rPr>
        <w:t xml:space="preserve">    </w:t>
      </w:r>
      <w:r>
        <w:rPr>
          <w:rFonts w:hint="eastAsia" w:ascii="宋体" w:hAnsi="宋体"/>
          <w:sz w:val="30"/>
          <w:szCs w:val="30"/>
        </w:rPr>
        <w:t>份。</w:t>
      </w:r>
    </w:p>
    <w:p w14:paraId="48BC6E48">
      <w:pPr>
        <w:ind w:firstLine="600"/>
        <w:rPr>
          <w:rFonts w:ascii="宋体" w:hAnsi="宋体"/>
          <w:sz w:val="30"/>
          <w:szCs w:val="30"/>
        </w:rPr>
      </w:pPr>
    </w:p>
    <w:p w14:paraId="38753989">
      <w:pPr>
        <w:ind w:firstLine="600"/>
        <w:rPr>
          <w:rFonts w:ascii="宋体" w:hAnsi="宋体"/>
          <w:sz w:val="30"/>
          <w:szCs w:val="30"/>
        </w:rPr>
      </w:pPr>
    </w:p>
    <w:tbl>
      <w:tblPr>
        <w:tblStyle w:val="45"/>
        <w:tblpPr w:leftFromText="180" w:rightFromText="180" w:vertAnchor="text" w:horzAnchor="page" w:tblpX="1702" w:tblpY="119"/>
        <w:tblW w:w="0" w:type="auto"/>
        <w:tblInd w:w="0" w:type="dxa"/>
        <w:tblLayout w:type="fixed"/>
        <w:tblCellMar>
          <w:top w:w="0" w:type="dxa"/>
          <w:left w:w="108" w:type="dxa"/>
          <w:bottom w:w="0" w:type="dxa"/>
          <w:right w:w="108" w:type="dxa"/>
        </w:tblCellMar>
      </w:tblPr>
      <w:tblGrid>
        <w:gridCol w:w="4507"/>
        <w:gridCol w:w="4565"/>
      </w:tblGrid>
      <w:tr w14:paraId="7874235F">
        <w:tblPrEx>
          <w:tblCellMar>
            <w:top w:w="0" w:type="dxa"/>
            <w:left w:w="108" w:type="dxa"/>
            <w:bottom w:w="0" w:type="dxa"/>
            <w:right w:w="108" w:type="dxa"/>
          </w:tblCellMar>
        </w:tblPrEx>
        <w:tc>
          <w:tcPr>
            <w:tcW w:w="4507" w:type="dxa"/>
          </w:tcPr>
          <w:p w14:paraId="3B64FDD7">
            <w:pPr>
              <w:pStyle w:val="990"/>
              <w:framePr w:hSpace="0" w:wrap="auto" w:vAnchor="margin" w:hAnchor="text" w:yAlign="inline"/>
              <w:spacing w:after="50" w:line="360" w:lineRule="auto"/>
              <w:rPr>
                <w:rFonts w:hAnsi="宋体"/>
                <w:sz w:val="30"/>
                <w:szCs w:val="30"/>
              </w:rPr>
            </w:pPr>
            <w:r>
              <w:rPr>
                <w:rFonts w:hint="eastAsia" w:hAnsi="宋体"/>
                <w:sz w:val="30"/>
                <w:szCs w:val="30"/>
              </w:rPr>
              <w:t>发包人：（公章）</w:t>
            </w:r>
          </w:p>
          <w:p w14:paraId="3275EF29">
            <w:pPr>
              <w:pStyle w:val="990"/>
              <w:framePr w:hSpace="0" w:wrap="auto" w:vAnchor="margin" w:hAnchor="text" w:yAlign="inline"/>
              <w:spacing w:after="50" w:line="360" w:lineRule="auto"/>
              <w:rPr>
                <w:rFonts w:hAnsi="宋体"/>
                <w:sz w:val="30"/>
                <w:szCs w:val="30"/>
              </w:rPr>
            </w:pPr>
          </w:p>
          <w:p w14:paraId="23F31721">
            <w:pPr>
              <w:pStyle w:val="990"/>
              <w:framePr w:hSpace="0" w:wrap="auto" w:vAnchor="margin" w:hAnchor="text" w:yAlign="inline"/>
              <w:spacing w:after="50" w:line="360" w:lineRule="auto"/>
              <w:rPr>
                <w:rFonts w:hAnsi="宋体"/>
                <w:sz w:val="30"/>
                <w:szCs w:val="30"/>
              </w:rPr>
            </w:pPr>
          </w:p>
        </w:tc>
        <w:tc>
          <w:tcPr>
            <w:tcW w:w="4565" w:type="dxa"/>
          </w:tcPr>
          <w:p w14:paraId="08ABF42B">
            <w:pPr>
              <w:pStyle w:val="990"/>
              <w:framePr w:hSpace="0" w:wrap="auto" w:vAnchor="margin" w:hAnchor="text" w:yAlign="inline"/>
              <w:spacing w:after="50" w:line="360" w:lineRule="auto"/>
              <w:rPr>
                <w:rFonts w:hAnsi="宋体"/>
                <w:sz w:val="30"/>
                <w:szCs w:val="30"/>
              </w:rPr>
            </w:pPr>
            <w:r>
              <w:rPr>
                <w:rFonts w:hint="eastAsia" w:hAnsi="宋体"/>
                <w:sz w:val="30"/>
                <w:szCs w:val="30"/>
              </w:rPr>
              <w:t>承包人：（公章）</w:t>
            </w:r>
          </w:p>
          <w:p w14:paraId="06801E9D">
            <w:pPr>
              <w:pStyle w:val="990"/>
              <w:framePr w:hSpace="0" w:wrap="auto" w:vAnchor="margin" w:hAnchor="text" w:yAlign="inline"/>
              <w:spacing w:after="50" w:line="360" w:lineRule="auto"/>
              <w:rPr>
                <w:rFonts w:hAnsi="宋体"/>
                <w:sz w:val="30"/>
                <w:szCs w:val="30"/>
              </w:rPr>
            </w:pPr>
          </w:p>
          <w:p w14:paraId="315F3715">
            <w:pPr>
              <w:pStyle w:val="990"/>
              <w:framePr w:hSpace="0" w:wrap="auto" w:vAnchor="margin" w:hAnchor="text" w:yAlign="inline"/>
              <w:spacing w:after="50" w:line="360" w:lineRule="auto"/>
              <w:rPr>
                <w:rFonts w:hAnsi="宋体"/>
                <w:sz w:val="30"/>
                <w:szCs w:val="30"/>
              </w:rPr>
            </w:pPr>
          </w:p>
        </w:tc>
      </w:tr>
      <w:tr w14:paraId="38DE1440">
        <w:tblPrEx>
          <w:tblCellMar>
            <w:top w:w="0" w:type="dxa"/>
            <w:left w:w="108" w:type="dxa"/>
            <w:bottom w:w="0" w:type="dxa"/>
            <w:right w:w="108" w:type="dxa"/>
          </w:tblCellMar>
        </w:tblPrEx>
        <w:tc>
          <w:tcPr>
            <w:tcW w:w="4507" w:type="dxa"/>
          </w:tcPr>
          <w:p w14:paraId="0899E13A">
            <w:pPr>
              <w:pStyle w:val="990"/>
              <w:framePr w:hSpace="0" w:wrap="auto" w:vAnchor="margin" w:hAnchor="text" w:yAlign="inline"/>
              <w:spacing w:after="50" w:line="360" w:lineRule="auto"/>
              <w:rPr>
                <w:rFonts w:hAnsi="宋体"/>
                <w:sz w:val="30"/>
                <w:szCs w:val="30"/>
              </w:rPr>
            </w:pPr>
            <w:r>
              <w:rPr>
                <w:rFonts w:hint="eastAsia" w:hAnsi="宋体"/>
                <w:sz w:val="30"/>
                <w:szCs w:val="30"/>
              </w:rPr>
              <w:t>法定代表人或其委托代理人：</w:t>
            </w:r>
          </w:p>
          <w:p w14:paraId="523DF106">
            <w:pPr>
              <w:pStyle w:val="990"/>
              <w:framePr w:hSpace="0" w:wrap="auto" w:vAnchor="margin" w:hAnchor="text" w:yAlign="inline"/>
              <w:spacing w:after="50" w:line="360" w:lineRule="auto"/>
              <w:rPr>
                <w:rFonts w:hAnsi="宋体"/>
                <w:sz w:val="30"/>
                <w:szCs w:val="30"/>
              </w:rPr>
            </w:pPr>
            <w:r>
              <w:rPr>
                <w:rFonts w:hint="eastAsia" w:hAnsi="宋体"/>
                <w:sz w:val="30"/>
                <w:szCs w:val="30"/>
              </w:rPr>
              <w:t>（签字）</w:t>
            </w:r>
          </w:p>
          <w:p w14:paraId="05058FC3">
            <w:pPr>
              <w:pStyle w:val="990"/>
              <w:framePr w:hSpace="0" w:wrap="auto" w:vAnchor="margin" w:hAnchor="text" w:yAlign="inline"/>
              <w:spacing w:after="50" w:line="360" w:lineRule="auto"/>
              <w:rPr>
                <w:rFonts w:hAnsi="宋体"/>
                <w:sz w:val="30"/>
                <w:szCs w:val="30"/>
              </w:rPr>
            </w:pPr>
          </w:p>
        </w:tc>
        <w:tc>
          <w:tcPr>
            <w:tcW w:w="4565" w:type="dxa"/>
          </w:tcPr>
          <w:p w14:paraId="7328B58C">
            <w:pPr>
              <w:pStyle w:val="990"/>
              <w:framePr w:hSpace="0" w:wrap="auto" w:vAnchor="margin" w:hAnchor="text" w:yAlign="inline"/>
              <w:spacing w:after="50" w:line="360" w:lineRule="auto"/>
              <w:rPr>
                <w:rFonts w:hAnsi="宋体"/>
                <w:sz w:val="30"/>
                <w:szCs w:val="30"/>
              </w:rPr>
            </w:pPr>
            <w:r>
              <w:rPr>
                <w:rFonts w:hint="eastAsia" w:hAnsi="宋体"/>
                <w:sz w:val="30"/>
                <w:szCs w:val="30"/>
              </w:rPr>
              <w:t>法定代表人或其委托代理人：</w:t>
            </w:r>
          </w:p>
          <w:p w14:paraId="6EC45E46">
            <w:pPr>
              <w:pStyle w:val="990"/>
              <w:framePr w:hSpace="0" w:wrap="auto" w:vAnchor="margin" w:hAnchor="text" w:yAlign="inline"/>
              <w:spacing w:after="50" w:line="360" w:lineRule="auto"/>
              <w:rPr>
                <w:rFonts w:hAnsi="宋体"/>
                <w:sz w:val="30"/>
                <w:szCs w:val="30"/>
              </w:rPr>
            </w:pPr>
            <w:r>
              <w:rPr>
                <w:rFonts w:hint="eastAsia" w:hAnsi="宋体"/>
                <w:sz w:val="30"/>
                <w:szCs w:val="30"/>
              </w:rPr>
              <w:t>（签字）</w:t>
            </w:r>
          </w:p>
          <w:p w14:paraId="670BF292">
            <w:pPr>
              <w:pStyle w:val="990"/>
              <w:framePr w:hSpace="0" w:wrap="auto" w:vAnchor="margin" w:hAnchor="text" w:yAlign="inline"/>
              <w:spacing w:after="50" w:line="360" w:lineRule="auto"/>
              <w:rPr>
                <w:rFonts w:hAnsi="宋体"/>
                <w:sz w:val="30"/>
                <w:szCs w:val="30"/>
              </w:rPr>
            </w:pPr>
          </w:p>
        </w:tc>
      </w:tr>
      <w:tr w14:paraId="3FDD85D2">
        <w:tblPrEx>
          <w:tblCellMar>
            <w:top w:w="0" w:type="dxa"/>
            <w:left w:w="108" w:type="dxa"/>
            <w:bottom w:w="0" w:type="dxa"/>
            <w:right w:w="108" w:type="dxa"/>
          </w:tblCellMar>
        </w:tblPrEx>
        <w:tc>
          <w:tcPr>
            <w:tcW w:w="4507" w:type="dxa"/>
          </w:tcPr>
          <w:p w14:paraId="436C534F">
            <w:pPr>
              <w:pStyle w:val="990"/>
              <w:framePr w:hSpace="0" w:wrap="auto" w:vAnchor="margin" w:hAnchor="text" w:yAlign="inline"/>
              <w:spacing w:after="50" w:line="360" w:lineRule="auto"/>
              <w:rPr>
                <w:rFonts w:hAnsi="宋体"/>
                <w:sz w:val="30"/>
                <w:szCs w:val="30"/>
              </w:rPr>
            </w:pPr>
            <w:r>
              <w:rPr>
                <w:rFonts w:hint="eastAsia" w:hAnsi="宋体"/>
                <w:sz w:val="30"/>
                <w:szCs w:val="30"/>
              </w:rPr>
              <w:t>统一社会信用代码：</w:t>
            </w:r>
            <w:r>
              <w:rPr>
                <w:rFonts w:hAnsi="宋体"/>
                <w:kern w:val="0"/>
                <w:sz w:val="30"/>
                <w:szCs w:val="30"/>
                <w:u w:val="single"/>
              </w:rPr>
              <w:t xml:space="preserve">            </w:t>
            </w:r>
          </w:p>
          <w:p w14:paraId="662D2DAC">
            <w:pPr>
              <w:pStyle w:val="990"/>
              <w:framePr w:hSpace="0" w:wrap="auto" w:vAnchor="margin" w:hAnchor="text" w:yAlign="inline"/>
              <w:spacing w:after="50" w:line="360" w:lineRule="auto"/>
              <w:rPr>
                <w:rFonts w:hAnsi="宋体"/>
                <w:sz w:val="30"/>
                <w:szCs w:val="30"/>
              </w:rPr>
            </w:pPr>
            <w:r>
              <w:rPr>
                <w:rFonts w:hint="eastAsia" w:hAnsi="宋体"/>
                <w:sz w:val="30"/>
                <w:szCs w:val="30"/>
              </w:rPr>
              <w:t>地址：</w:t>
            </w:r>
            <w:r>
              <w:rPr>
                <w:rFonts w:hAnsi="宋体"/>
                <w:kern w:val="0"/>
                <w:sz w:val="30"/>
                <w:szCs w:val="30"/>
                <w:u w:val="single"/>
              </w:rPr>
              <w:t xml:space="preserve">                       </w:t>
            </w:r>
          </w:p>
          <w:p w14:paraId="6C05BC02">
            <w:pPr>
              <w:pStyle w:val="990"/>
              <w:framePr w:hSpace="0" w:wrap="auto" w:vAnchor="margin" w:hAnchor="text" w:yAlign="inline"/>
              <w:spacing w:after="50" w:line="360" w:lineRule="auto"/>
              <w:rPr>
                <w:rFonts w:hAnsi="宋体"/>
                <w:sz w:val="30"/>
                <w:szCs w:val="30"/>
              </w:rPr>
            </w:pPr>
            <w:r>
              <w:rPr>
                <w:rFonts w:hint="eastAsia" w:hAnsi="宋体"/>
                <w:sz w:val="30"/>
                <w:szCs w:val="30"/>
              </w:rPr>
              <w:t>邮政编码：</w:t>
            </w:r>
            <w:r>
              <w:rPr>
                <w:rFonts w:hAnsi="宋体"/>
                <w:kern w:val="0"/>
                <w:sz w:val="30"/>
                <w:szCs w:val="30"/>
                <w:u w:val="single"/>
              </w:rPr>
              <w:t xml:space="preserve">                      </w:t>
            </w:r>
          </w:p>
          <w:p w14:paraId="69C24916">
            <w:pPr>
              <w:pStyle w:val="990"/>
              <w:framePr w:hSpace="0" w:wrap="auto" w:vAnchor="margin" w:hAnchor="text" w:yAlign="inline"/>
              <w:spacing w:after="50" w:line="360" w:lineRule="auto"/>
              <w:rPr>
                <w:rFonts w:hAnsi="宋体"/>
                <w:sz w:val="30"/>
                <w:szCs w:val="30"/>
              </w:rPr>
            </w:pPr>
            <w:r>
              <w:rPr>
                <w:rFonts w:hint="eastAsia" w:hAnsi="宋体"/>
                <w:sz w:val="30"/>
                <w:szCs w:val="30"/>
              </w:rPr>
              <w:t>法定代表人：</w:t>
            </w:r>
            <w:r>
              <w:rPr>
                <w:rFonts w:hAnsi="宋体"/>
                <w:kern w:val="0"/>
                <w:sz w:val="30"/>
                <w:szCs w:val="30"/>
                <w:u w:val="single"/>
              </w:rPr>
              <w:t xml:space="preserve">                 </w:t>
            </w:r>
          </w:p>
          <w:p w14:paraId="17459EB8">
            <w:pPr>
              <w:pStyle w:val="990"/>
              <w:framePr w:hSpace="0" w:wrap="auto" w:vAnchor="margin" w:hAnchor="text" w:yAlign="inline"/>
              <w:spacing w:after="50" w:line="360" w:lineRule="auto"/>
              <w:rPr>
                <w:rFonts w:hAnsi="宋体"/>
                <w:sz w:val="30"/>
                <w:szCs w:val="30"/>
              </w:rPr>
            </w:pPr>
            <w:r>
              <w:rPr>
                <w:rFonts w:hint="eastAsia" w:hAnsi="宋体"/>
                <w:sz w:val="30"/>
                <w:szCs w:val="30"/>
              </w:rPr>
              <w:t>委托代理人：</w:t>
            </w:r>
            <w:r>
              <w:rPr>
                <w:rFonts w:hAnsi="宋体"/>
                <w:kern w:val="0"/>
                <w:sz w:val="30"/>
                <w:szCs w:val="30"/>
                <w:u w:val="single"/>
              </w:rPr>
              <w:t xml:space="preserve">                 </w:t>
            </w:r>
          </w:p>
          <w:p w14:paraId="72278901">
            <w:pPr>
              <w:pStyle w:val="990"/>
              <w:framePr w:hSpace="0" w:wrap="auto" w:vAnchor="margin" w:hAnchor="text" w:yAlign="inline"/>
              <w:spacing w:after="50" w:line="360" w:lineRule="auto"/>
              <w:rPr>
                <w:rFonts w:hAnsi="宋体"/>
                <w:sz w:val="30"/>
                <w:szCs w:val="30"/>
              </w:rPr>
            </w:pPr>
            <w:r>
              <w:rPr>
                <w:rFonts w:hint="eastAsia" w:hAnsi="宋体"/>
                <w:sz w:val="30"/>
                <w:szCs w:val="30"/>
              </w:rPr>
              <w:t>电话：</w:t>
            </w:r>
            <w:r>
              <w:rPr>
                <w:rFonts w:hAnsi="宋体"/>
                <w:kern w:val="0"/>
                <w:sz w:val="30"/>
                <w:szCs w:val="30"/>
                <w:u w:val="single"/>
              </w:rPr>
              <w:t xml:space="preserve">                       </w:t>
            </w:r>
          </w:p>
          <w:p w14:paraId="0D24DF22">
            <w:pPr>
              <w:pStyle w:val="990"/>
              <w:framePr w:hSpace="0" w:wrap="auto" w:vAnchor="margin" w:hAnchor="text" w:yAlign="inline"/>
              <w:spacing w:after="50" w:line="360" w:lineRule="auto"/>
              <w:rPr>
                <w:rFonts w:hAnsi="宋体"/>
                <w:sz w:val="30"/>
                <w:szCs w:val="30"/>
              </w:rPr>
            </w:pPr>
            <w:r>
              <w:rPr>
                <w:rFonts w:hint="eastAsia" w:hAnsi="宋体"/>
                <w:sz w:val="30"/>
                <w:szCs w:val="30"/>
              </w:rPr>
              <w:t xml:space="preserve">传真： </w:t>
            </w:r>
            <w:r>
              <w:rPr>
                <w:rFonts w:hAnsi="宋体"/>
                <w:kern w:val="0"/>
                <w:sz w:val="30"/>
                <w:szCs w:val="30"/>
                <w:u w:val="single"/>
              </w:rPr>
              <w:t xml:space="preserve">                      </w:t>
            </w:r>
          </w:p>
          <w:p w14:paraId="684CC1BC">
            <w:pPr>
              <w:pStyle w:val="990"/>
              <w:framePr w:hSpace="0" w:wrap="auto" w:vAnchor="margin" w:hAnchor="text" w:yAlign="inline"/>
              <w:spacing w:after="50" w:line="360" w:lineRule="auto"/>
              <w:rPr>
                <w:rFonts w:hAnsi="宋体"/>
                <w:sz w:val="30"/>
                <w:szCs w:val="30"/>
              </w:rPr>
            </w:pPr>
            <w:r>
              <w:rPr>
                <w:rFonts w:hint="eastAsia" w:hAnsi="宋体"/>
                <w:sz w:val="30"/>
                <w:szCs w:val="30"/>
              </w:rPr>
              <w:t>电子信箱：</w:t>
            </w:r>
            <w:r>
              <w:rPr>
                <w:rFonts w:hAnsi="宋体"/>
                <w:kern w:val="0"/>
                <w:sz w:val="30"/>
                <w:szCs w:val="30"/>
                <w:u w:val="single"/>
              </w:rPr>
              <w:t xml:space="preserve">                    </w:t>
            </w:r>
          </w:p>
          <w:p w14:paraId="541EABDB">
            <w:pPr>
              <w:pStyle w:val="990"/>
              <w:framePr w:hSpace="0" w:wrap="auto" w:vAnchor="margin" w:hAnchor="text" w:yAlign="inline"/>
              <w:spacing w:after="50" w:line="360" w:lineRule="auto"/>
              <w:rPr>
                <w:rFonts w:hAnsi="宋体"/>
                <w:sz w:val="30"/>
                <w:szCs w:val="30"/>
              </w:rPr>
            </w:pPr>
            <w:r>
              <w:rPr>
                <w:rFonts w:hint="eastAsia" w:hAnsi="宋体"/>
                <w:sz w:val="30"/>
                <w:szCs w:val="30"/>
              </w:rPr>
              <w:t>开户银行：</w:t>
            </w:r>
            <w:r>
              <w:rPr>
                <w:rFonts w:hAnsi="宋体"/>
                <w:kern w:val="0"/>
                <w:sz w:val="30"/>
                <w:szCs w:val="30"/>
                <w:u w:val="single"/>
              </w:rPr>
              <w:t xml:space="preserve">                   </w:t>
            </w:r>
          </w:p>
          <w:p w14:paraId="60313C9A">
            <w:pPr>
              <w:pStyle w:val="990"/>
              <w:framePr w:hSpace="0" w:wrap="auto" w:vAnchor="margin" w:hAnchor="text" w:yAlign="inline"/>
              <w:spacing w:after="50" w:line="360" w:lineRule="auto"/>
              <w:rPr>
                <w:rFonts w:hAnsi="宋体"/>
                <w:sz w:val="30"/>
                <w:szCs w:val="30"/>
              </w:rPr>
            </w:pPr>
            <w:r>
              <w:rPr>
                <w:rFonts w:hint="eastAsia" w:hAnsi="宋体"/>
                <w:sz w:val="30"/>
                <w:szCs w:val="30"/>
              </w:rPr>
              <w:t>账号：</w:t>
            </w:r>
            <w:r>
              <w:rPr>
                <w:rFonts w:hAnsi="宋体"/>
                <w:kern w:val="0"/>
                <w:sz w:val="30"/>
                <w:szCs w:val="30"/>
                <w:u w:val="single"/>
              </w:rPr>
              <w:t xml:space="preserve">                       </w:t>
            </w:r>
          </w:p>
        </w:tc>
        <w:tc>
          <w:tcPr>
            <w:tcW w:w="4565" w:type="dxa"/>
          </w:tcPr>
          <w:p w14:paraId="102B4BF9">
            <w:pPr>
              <w:pStyle w:val="990"/>
              <w:framePr w:hSpace="0" w:wrap="auto" w:vAnchor="margin" w:hAnchor="text" w:yAlign="inline"/>
              <w:spacing w:after="50" w:line="360" w:lineRule="auto"/>
              <w:rPr>
                <w:rFonts w:hAnsi="宋体"/>
                <w:sz w:val="30"/>
                <w:szCs w:val="30"/>
              </w:rPr>
            </w:pPr>
            <w:r>
              <w:rPr>
                <w:rFonts w:hint="eastAsia" w:hAnsi="宋体"/>
                <w:sz w:val="30"/>
                <w:szCs w:val="30"/>
              </w:rPr>
              <w:t>统一社会信用代码：</w:t>
            </w:r>
            <w:r>
              <w:rPr>
                <w:rFonts w:hAnsi="宋体"/>
                <w:kern w:val="0"/>
                <w:sz w:val="30"/>
                <w:szCs w:val="30"/>
                <w:u w:val="single"/>
              </w:rPr>
              <w:t xml:space="preserve">            </w:t>
            </w:r>
          </w:p>
          <w:p w14:paraId="3AA844D3">
            <w:pPr>
              <w:pStyle w:val="990"/>
              <w:framePr w:hSpace="0" w:wrap="auto" w:vAnchor="margin" w:hAnchor="text" w:yAlign="inline"/>
              <w:spacing w:after="50" w:line="360" w:lineRule="auto"/>
              <w:rPr>
                <w:rFonts w:hAnsi="宋体"/>
                <w:sz w:val="30"/>
                <w:szCs w:val="30"/>
              </w:rPr>
            </w:pPr>
            <w:r>
              <w:rPr>
                <w:rFonts w:hint="eastAsia" w:hAnsi="宋体"/>
                <w:sz w:val="30"/>
                <w:szCs w:val="30"/>
              </w:rPr>
              <w:t>地址：</w:t>
            </w:r>
            <w:r>
              <w:rPr>
                <w:rFonts w:hAnsi="宋体"/>
                <w:kern w:val="0"/>
                <w:sz w:val="30"/>
                <w:szCs w:val="30"/>
                <w:u w:val="single"/>
              </w:rPr>
              <w:t xml:space="preserve">                        </w:t>
            </w:r>
          </w:p>
          <w:p w14:paraId="0FC9835C">
            <w:pPr>
              <w:pStyle w:val="990"/>
              <w:framePr w:hSpace="0" w:wrap="auto" w:vAnchor="margin" w:hAnchor="text" w:yAlign="inline"/>
              <w:spacing w:after="50" w:line="360" w:lineRule="auto"/>
              <w:rPr>
                <w:rFonts w:hAnsi="宋体"/>
                <w:sz w:val="30"/>
                <w:szCs w:val="30"/>
              </w:rPr>
            </w:pPr>
            <w:r>
              <w:rPr>
                <w:rFonts w:hint="eastAsia" w:hAnsi="宋体"/>
                <w:sz w:val="30"/>
                <w:szCs w:val="30"/>
              </w:rPr>
              <w:t>邮政编码：</w:t>
            </w:r>
            <w:r>
              <w:rPr>
                <w:rFonts w:hAnsi="宋体"/>
                <w:kern w:val="0"/>
                <w:sz w:val="30"/>
                <w:szCs w:val="30"/>
                <w:u w:val="single"/>
              </w:rPr>
              <w:t xml:space="preserve">                      </w:t>
            </w:r>
          </w:p>
          <w:p w14:paraId="51B2103A">
            <w:pPr>
              <w:pStyle w:val="990"/>
              <w:framePr w:hSpace="0" w:wrap="auto" w:vAnchor="margin" w:hAnchor="text" w:yAlign="inline"/>
              <w:spacing w:after="50" w:line="360" w:lineRule="auto"/>
              <w:rPr>
                <w:rFonts w:hAnsi="宋体"/>
                <w:sz w:val="30"/>
                <w:szCs w:val="30"/>
              </w:rPr>
            </w:pPr>
            <w:r>
              <w:rPr>
                <w:rFonts w:hint="eastAsia" w:hAnsi="宋体"/>
                <w:sz w:val="30"/>
                <w:szCs w:val="30"/>
              </w:rPr>
              <w:t>法定代表人：</w:t>
            </w:r>
            <w:r>
              <w:rPr>
                <w:rFonts w:hAnsi="宋体"/>
                <w:kern w:val="0"/>
                <w:sz w:val="30"/>
                <w:szCs w:val="30"/>
                <w:u w:val="single"/>
              </w:rPr>
              <w:t xml:space="preserve">                  </w:t>
            </w:r>
          </w:p>
          <w:p w14:paraId="1D054071">
            <w:pPr>
              <w:pStyle w:val="990"/>
              <w:framePr w:hSpace="0" w:wrap="auto" w:vAnchor="margin" w:hAnchor="text" w:yAlign="inline"/>
              <w:spacing w:after="50" w:line="360" w:lineRule="auto"/>
              <w:rPr>
                <w:rFonts w:hAnsi="宋体"/>
                <w:sz w:val="30"/>
                <w:szCs w:val="30"/>
              </w:rPr>
            </w:pPr>
            <w:r>
              <w:rPr>
                <w:rFonts w:hint="eastAsia" w:hAnsi="宋体"/>
                <w:sz w:val="30"/>
                <w:szCs w:val="30"/>
              </w:rPr>
              <w:t>委托代理人：</w:t>
            </w:r>
            <w:r>
              <w:rPr>
                <w:rFonts w:hAnsi="宋体"/>
                <w:kern w:val="0"/>
                <w:sz w:val="30"/>
                <w:szCs w:val="30"/>
                <w:u w:val="single"/>
              </w:rPr>
              <w:t xml:space="preserve">                 </w:t>
            </w:r>
          </w:p>
          <w:p w14:paraId="7F4DB045">
            <w:pPr>
              <w:pStyle w:val="990"/>
              <w:framePr w:hSpace="0" w:wrap="auto" w:vAnchor="margin" w:hAnchor="text" w:yAlign="inline"/>
              <w:spacing w:after="50" w:line="360" w:lineRule="auto"/>
              <w:rPr>
                <w:rFonts w:hAnsi="宋体"/>
                <w:sz w:val="30"/>
                <w:szCs w:val="30"/>
              </w:rPr>
            </w:pPr>
            <w:r>
              <w:rPr>
                <w:rFonts w:hint="eastAsia" w:hAnsi="宋体"/>
                <w:sz w:val="30"/>
                <w:szCs w:val="30"/>
              </w:rPr>
              <w:t>电话：</w:t>
            </w:r>
            <w:r>
              <w:rPr>
                <w:rFonts w:hAnsi="宋体"/>
                <w:kern w:val="0"/>
                <w:sz w:val="30"/>
                <w:szCs w:val="30"/>
                <w:u w:val="single"/>
              </w:rPr>
              <w:t xml:space="preserve">                       </w:t>
            </w:r>
          </w:p>
          <w:p w14:paraId="00354723">
            <w:pPr>
              <w:pStyle w:val="990"/>
              <w:framePr w:hSpace="0" w:wrap="auto" w:vAnchor="margin" w:hAnchor="text" w:yAlign="inline"/>
              <w:spacing w:after="50" w:line="360" w:lineRule="auto"/>
              <w:rPr>
                <w:rFonts w:hAnsi="宋体"/>
                <w:sz w:val="30"/>
                <w:szCs w:val="30"/>
              </w:rPr>
            </w:pPr>
            <w:r>
              <w:rPr>
                <w:rFonts w:hint="eastAsia" w:hAnsi="宋体"/>
                <w:sz w:val="30"/>
                <w:szCs w:val="30"/>
              </w:rPr>
              <w:t>传真：</w:t>
            </w:r>
            <w:r>
              <w:rPr>
                <w:rFonts w:hAnsi="宋体"/>
                <w:kern w:val="0"/>
                <w:sz w:val="30"/>
                <w:szCs w:val="30"/>
                <w:u w:val="single"/>
              </w:rPr>
              <w:t xml:space="preserve">                       </w:t>
            </w:r>
          </w:p>
          <w:p w14:paraId="3ABFFABC">
            <w:pPr>
              <w:pStyle w:val="990"/>
              <w:framePr w:hSpace="0" w:wrap="auto" w:vAnchor="margin" w:hAnchor="text" w:yAlign="inline"/>
              <w:spacing w:after="50" w:line="360" w:lineRule="auto"/>
              <w:rPr>
                <w:rFonts w:hAnsi="宋体"/>
                <w:sz w:val="30"/>
                <w:szCs w:val="30"/>
              </w:rPr>
            </w:pPr>
            <w:r>
              <w:rPr>
                <w:rFonts w:hint="eastAsia" w:hAnsi="宋体"/>
                <w:sz w:val="30"/>
                <w:szCs w:val="30"/>
              </w:rPr>
              <w:t>电子信箱：</w:t>
            </w:r>
            <w:r>
              <w:rPr>
                <w:rFonts w:hAnsi="宋体"/>
                <w:kern w:val="0"/>
                <w:sz w:val="30"/>
                <w:szCs w:val="30"/>
                <w:u w:val="single"/>
              </w:rPr>
              <w:t xml:space="preserve">                   </w:t>
            </w:r>
          </w:p>
          <w:p w14:paraId="29B0B3E7">
            <w:pPr>
              <w:pStyle w:val="990"/>
              <w:framePr w:hSpace="0" w:wrap="auto" w:vAnchor="margin" w:hAnchor="text" w:yAlign="inline"/>
              <w:spacing w:after="50" w:line="360" w:lineRule="auto"/>
              <w:rPr>
                <w:rFonts w:hAnsi="宋体"/>
                <w:sz w:val="30"/>
                <w:szCs w:val="30"/>
              </w:rPr>
            </w:pPr>
            <w:r>
              <w:rPr>
                <w:rFonts w:hint="eastAsia" w:hAnsi="宋体"/>
                <w:sz w:val="30"/>
                <w:szCs w:val="30"/>
              </w:rPr>
              <w:t>开户银行：</w:t>
            </w:r>
            <w:r>
              <w:rPr>
                <w:rFonts w:hAnsi="宋体"/>
                <w:kern w:val="0"/>
                <w:sz w:val="30"/>
                <w:szCs w:val="30"/>
                <w:u w:val="single"/>
              </w:rPr>
              <w:t xml:space="preserve">                   </w:t>
            </w:r>
          </w:p>
          <w:p w14:paraId="44B8DF9C">
            <w:pPr>
              <w:pStyle w:val="990"/>
              <w:framePr w:hSpace="0" w:wrap="auto" w:vAnchor="margin" w:hAnchor="text" w:yAlign="inline"/>
              <w:spacing w:after="50" w:line="360" w:lineRule="auto"/>
              <w:rPr>
                <w:rFonts w:hAnsi="宋体"/>
                <w:sz w:val="30"/>
                <w:szCs w:val="30"/>
              </w:rPr>
            </w:pPr>
            <w:r>
              <w:rPr>
                <w:rFonts w:hint="eastAsia" w:hAnsi="宋体"/>
                <w:sz w:val="30"/>
                <w:szCs w:val="30"/>
              </w:rPr>
              <w:t>账号：</w:t>
            </w:r>
            <w:r>
              <w:rPr>
                <w:rFonts w:hAnsi="宋体"/>
                <w:sz w:val="30"/>
                <w:szCs w:val="30"/>
                <w:u w:val="single"/>
              </w:rPr>
              <w:t xml:space="preserve">                       </w:t>
            </w:r>
          </w:p>
        </w:tc>
      </w:tr>
    </w:tbl>
    <w:p w14:paraId="4BEFD943">
      <w:pPr>
        <w:rPr>
          <w:rFonts w:ascii="宋体" w:hAnsi="宋体"/>
        </w:rPr>
        <w:sectPr>
          <w:footerReference r:id="rId12" w:type="default"/>
          <w:type w:val="continuous"/>
          <w:pgSz w:w="11906" w:h="16838"/>
          <w:pgMar w:top="1440" w:right="1800" w:bottom="1440" w:left="1800" w:header="720" w:footer="850" w:gutter="0"/>
          <w:pgNumType w:start="1"/>
          <w:cols w:space="720" w:num="1"/>
          <w:docGrid w:linePitch="326" w:charSpace="0"/>
        </w:sectPr>
      </w:pPr>
      <w:r>
        <w:rPr>
          <w:rFonts w:ascii="宋体" w:hAnsi="宋体"/>
        </w:rPr>
        <w:tab/>
      </w:r>
    </w:p>
    <w:p w14:paraId="7FAECC69">
      <w:pPr>
        <w:pStyle w:val="968"/>
        <w:keepNext w:val="0"/>
        <w:keepLines w:val="0"/>
        <w:widowControl/>
        <w:adjustRightInd w:val="0"/>
        <w:snapToGrid w:val="0"/>
        <w:spacing w:before="0" w:after="50" w:line="360" w:lineRule="auto"/>
        <w:rPr>
          <w:sz w:val="44"/>
          <w:szCs w:val="52"/>
        </w:rPr>
      </w:pPr>
      <w:bookmarkStart w:id="20" w:name="_Toc54862176"/>
      <w:r>
        <w:rPr>
          <w:rFonts w:hint="eastAsia"/>
          <w:sz w:val="44"/>
          <w:szCs w:val="52"/>
        </w:rPr>
        <w:t>第二部分</w:t>
      </w:r>
      <w:r>
        <w:rPr>
          <w:sz w:val="44"/>
          <w:szCs w:val="52"/>
        </w:rPr>
        <w:t xml:space="preserve"> </w:t>
      </w:r>
      <w:r>
        <w:rPr>
          <w:rFonts w:hint="eastAsia"/>
          <w:sz w:val="44"/>
          <w:szCs w:val="52"/>
        </w:rPr>
        <w:t>通用合同条件</w:t>
      </w:r>
      <w:bookmarkEnd w:id="20"/>
    </w:p>
    <w:p w14:paraId="64E785A7">
      <w:pPr>
        <w:pStyle w:val="991"/>
        <w:numPr>
          <w:ilvl w:val="0"/>
          <w:numId w:val="0"/>
        </w:numPr>
        <w:wordWrap/>
        <w:topLinePunct w:val="0"/>
        <w:rPr>
          <w:rFonts w:ascii="宋体" w:hAnsi="宋体" w:eastAsia="宋体"/>
          <w:b w:val="0"/>
          <w:bCs/>
          <w:sz w:val="32"/>
          <w:szCs w:val="32"/>
        </w:rPr>
      </w:pPr>
      <w:bookmarkStart w:id="21" w:name="_Toc54862177"/>
      <w:bookmarkStart w:id="22" w:name="_Ref508893699"/>
      <w:bookmarkStart w:id="23" w:name="_Ref509040826"/>
      <w:bookmarkStart w:id="24" w:name="_Ref509040831"/>
      <w:r>
        <w:rPr>
          <w:rFonts w:hint="eastAsia" w:ascii="宋体" w:hAnsi="宋体" w:eastAsia="宋体"/>
          <w:b w:val="0"/>
          <w:bCs/>
          <w:sz w:val="32"/>
          <w:szCs w:val="32"/>
        </w:rPr>
        <w:t xml:space="preserve">第1条 </w:t>
      </w:r>
      <w:r>
        <w:rPr>
          <w:rFonts w:ascii="宋体" w:hAnsi="宋体" w:eastAsia="宋体"/>
          <w:b w:val="0"/>
          <w:bCs/>
          <w:sz w:val="32"/>
          <w:szCs w:val="32"/>
        </w:rPr>
        <w:t>一般</w:t>
      </w:r>
      <w:r>
        <w:rPr>
          <w:rFonts w:hint="eastAsia" w:ascii="宋体" w:hAnsi="宋体" w:eastAsia="宋体"/>
          <w:b w:val="0"/>
          <w:bCs/>
          <w:sz w:val="32"/>
          <w:szCs w:val="32"/>
        </w:rPr>
        <w:t>约</w:t>
      </w:r>
      <w:r>
        <w:rPr>
          <w:rFonts w:ascii="宋体" w:hAnsi="宋体" w:eastAsia="宋体"/>
          <w:b w:val="0"/>
          <w:bCs/>
          <w:sz w:val="32"/>
          <w:szCs w:val="32"/>
        </w:rPr>
        <w:t>定</w:t>
      </w:r>
      <w:bookmarkEnd w:id="21"/>
      <w:bookmarkEnd w:id="22"/>
    </w:p>
    <w:p w14:paraId="33AFCD87">
      <w:pPr>
        <w:pStyle w:val="969"/>
        <w:widowControl/>
        <w:numPr>
          <w:ilvl w:val="0"/>
          <w:numId w:val="0"/>
        </w:numPr>
        <w:rPr>
          <w:rFonts w:ascii="宋体" w:hAnsi="宋体" w:eastAsia="宋体"/>
          <w:b w:val="0"/>
          <w:bCs/>
          <w:sz w:val="30"/>
          <w:szCs w:val="30"/>
        </w:rPr>
      </w:pPr>
      <w:bookmarkStart w:id="25" w:name="_Ref523741474"/>
      <w:bookmarkStart w:id="26" w:name="_Toc54862178"/>
      <w:bookmarkStart w:id="27" w:name="_Ref523741471"/>
      <w:r>
        <w:rPr>
          <w:rFonts w:hint="eastAsia" w:ascii="宋体" w:hAnsi="宋体" w:eastAsia="宋体"/>
          <w:b w:val="0"/>
          <w:bCs/>
          <w:sz w:val="30"/>
          <w:szCs w:val="30"/>
        </w:rPr>
        <w:t>1</w:t>
      </w:r>
      <w:r>
        <w:rPr>
          <w:rFonts w:ascii="宋体" w:hAnsi="宋体" w:eastAsia="宋体"/>
          <w:b w:val="0"/>
          <w:bCs/>
          <w:sz w:val="30"/>
          <w:szCs w:val="30"/>
        </w:rPr>
        <w:t xml:space="preserve">.1 </w:t>
      </w:r>
      <w:r>
        <w:rPr>
          <w:rFonts w:hint="eastAsia" w:ascii="宋体" w:hAnsi="宋体" w:eastAsia="宋体"/>
          <w:b w:val="0"/>
          <w:bCs/>
          <w:sz w:val="30"/>
          <w:szCs w:val="30"/>
        </w:rPr>
        <w:t>词语定义和解释</w:t>
      </w:r>
      <w:bookmarkEnd w:id="23"/>
      <w:bookmarkEnd w:id="24"/>
      <w:bookmarkEnd w:id="25"/>
      <w:bookmarkEnd w:id="26"/>
      <w:bookmarkEnd w:id="27"/>
    </w:p>
    <w:p w14:paraId="530D7265">
      <w:pPr>
        <w:ind w:firstLine="600"/>
        <w:rPr>
          <w:rFonts w:ascii="宋体" w:hAnsi="宋体"/>
          <w:sz w:val="30"/>
          <w:szCs w:val="30"/>
        </w:rPr>
      </w:pPr>
      <w:r>
        <w:rPr>
          <w:rFonts w:hint="eastAsia" w:ascii="宋体" w:hAnsi="宋体"/>
          <w:sz w:val="30"/>
          <w:szCs w:val="30"/>
        </w:rPr>
        <w:t>合同协议书、通用合同条件、专用合同条件中的下列词语应具有本款所赋予的含义：</w:t>
      </w:r>
    </w:p>
    <w:p w14:paraId="1DABE0F9">
      <w:pPr>
        <w:pStyle w:val="994"/>
        <w:numPr>
          <w:ilvl w:val="0"/>
          <w:numId w:val="0"/>
        </w:numPr>
        <w:rPr>
          <w:sz w:val="30"/>
          <w:szCs w:val="30"/>
        </w:rPr>
      </w:pPr>
      <w:bookmarkStart w:id="28" w:name="_Ref4757289"/>
      <w:bookmarkStart w:id="29" w:name="_Ref521288340"/>
      <w:r>
        <w:rPr>
          <w:rFonts w:hint="eastAsia"/>
          <w:sz w:val="30"/>
          <w:szCs w:val="30"/>
        </w:rPr>
        <w:t>1</w:t>
      </w:r>
      <w:r>
        <w:rPr>
          <w:sz w:val="30"/>
          <w:szCs w:val="30"/>
        </w:rPr>
        <w:t xml:space="preserve">.1.1 </w:t>
      </w:r>
      <w:r>
        <w:rPr>
          <w:rFonts w:hint="eastAsia"/>
          <w:sz w:val="30"/>
          <w:szCs w:val="30"/>
        </w:rPr>
        <w:t>合同</w:t>
      </w:r>
      <w:bookmarkEnd w:id="28"/>
    </w:p>
    <w:p w14:paraId="5E228B93">
      <w:pPr>
        <w:pStyle w:val="995"/>
        <w:numPr>
          <w:ilvl w:val="0"/>
          <w:numId w:val="0"/>
        </w:numPr>
        <w:rPr>
          <w:sz w:val="30"/>
          <w:szCs w:val="30"/>
        </w:rPr>
      </w:pPr>
      <w:r>
        <w:rPr>
          <w:rFonts w:hint="eastAsia"/>
          <w:sz w:val="30"/>
          <w:szCs w:val="30"/>
        </w:rPr>
        <w:t>1</w:t>
      </w:r>
      <w:r>
        <w:rPr>
          <w:sz w:val="30"/>
          <w:szCs w:val="30"/>
        </w:rPr>
        <w:t xml:space="preserve">.1.1.1 </w:t>
      </w:r>
      <w:r>
        <w:rPr>
          <w:rFonts w:hint="eastAsia"/>
          <w:sz w:val="30"/>
          <w:szCs w:val="30"/>
        </w:rPr>
        <w:t>合同：是指根据法律规定和合同当事人约定具有约束力的文件，构成合同的文件包括合同协议书、中标通知书（如果有）、投标函及其附录（如果有）、专用合同条件及其附件、通用合同条件、《发包人要求》、承包人建议书、价格清单以及双方约定的其他合同文件。</w:t>
      </w:r>
    </w:p>
    <w:p w14:paraId="552785C3">
      <w:pPr>
        <w:pStyle w:val="995"/>
        <w:numPr>
          <w:ilvl w:val="0"/>
          <w:numId w:val="0"/>
        </w:numPr>
        <w:rPr>
          <w:sz w:val="30"/>
          <w:szCs w:val="30"/>
        </w:rPr>
      </w:pPr>
      <w:r>
        <w:rPr>
          <w:rFonts w:hint="eastAsia"/>
          <w:sz w:val="30"/>
          <w:szCs w:val="30"/>
        </w:rPr>
        <w:t>1</w:t>
      </w:r>
      <w:r>
        <w:rPr>
          <w:sz w:val="30"/>
          <w:szCs w:val="30"/>
        </w:rPr>
        <w:t xml:space="preserve">.1.1.2 </w:t>
      </w:r>
      <w:r>
        <w:rPr>
          <w:rFonts w:hint="eastAsia"/>
          <w:sz w:val="30"/>
          <w:szCs w:val="30"/>
        </w:rPr>
        <w:t>合同协议书：是指构成合同的由发包人和承包人共同签署的称为“合同协议书”的书面文件。</w:t>
      </w:r>
    </w:p>
    <w:p w14:paraId="3AD3DDAB">
      <w:pPr>
        <w:pStyle w:val="995"/>
        <w:numPr>
          <w:ilvl w:val="0"/>
          <w:numId w:val="0"/>
        </w:numPr>
        <w:rPr>
          <w:sz w:val="30"/>
          <w:szCs w:val="30"/>
        </w:rPr>
      </w:pPr>
      <w:r>
        <w:rPr>
          <w:rFonts w:hint="eastAsia"/>
          <w:sz w:val="30"/>
          <w:szCs w:val="30"/>
        </w:rPr>
        <w:t>1</w:t>
      </w:r>
      <w:r>
        <w:rPr>
          <w:sz w:val="30"/>
          <w:szCs w:val="30"/>
        </w:rPr>
        <w:t xml:space="preserve">.1.1.3 </w:t>
      </w:r>
      <w:r>
        <w:rPr>
          <w:rFonts w:hint="eastAsia"/>
          <w:sz w:val="30"/>
          <w:szCs w:val="30"/>
        </w:rPr>
        <w:t>中标通知书：是指构成合同的由发包人通知承包人中标的书面文件。中标通知书随附的澄清、说明、补正事项纪要等，是中标通知书的组成部分。</w:t>
      </w:r>
    </w:p>
    <w:p w14:paraId="5161EE89">
      <w:pPr>
        <w:pStyle w:val="995"/>
        <w:numPr>
          <w:ilvl w:val="0"/>
          <w:numId w:val="0"/>
        </w:numPr>
        <w:rPr>
          <w:sz w:val="30"/>
          <w:szCs w:val="30"/>
        </w:rPr>
      </w:pPr>
      <w:r>
        <w:rPr>
          <w:rFonts w:hint="eastAsia"/>
          <w:sz w:val="30"/>
          <w:szCs w:val="30"/>
        </w:rPr>
        <w:t>1</w:t>
      </w:r>
      <w:r>
        <w:rPr>
          <w:sz w:val="30"/>
          <w:szCs w:val="30"/>
        </w:rPr>
        <w:t xml:space="preserve">.1.1.4 </w:t>
      </w:r>
      <w:r>
        <w:rPr>
          <w:rFonts w:hint="eastAsia"/>
          <w:sz w:val="30"/>
          <w:szCs w:val="30"/>
        </w:rPr>
        <w:t>投标函：是指构成合同的由承包人填写并签署的用于投标的称为“投标函”的文件。</w:t>
      </w:r>
    </w:p>
    <w:p w14:paraId="44C0A442">
      <w:pPr>
        <w:pStyle w:val="995"/>
        <w:numPr>
          <w:ilvl w:val="0"/>
          <w:numId w:val="0"/>
        </w:numPr>
        <w:rPr>
          <w:sz w:val="30"/>
          <w:szCs w:val="30"/>
        </w:rPr>
      </w:pPr>
      <w:r>
        <w:rPr>
          <w:rFonts w:hint="eastAsia"/>
          <w:sz w:val="30"/>
          <w:szCs w:val="30"/>
        </w:rPr>
        <w:t>1</w:t>
      </w:r>
      <w:r>
        <w:rPr>
          <w:sz w:val="30"/>
          <w:szCs w:val="30"/>
        </w:rPr>
        <w:t xml:space="preserve">.1.1.5 </w:t>
      </w:r>
      <w:r>
        <w:rPr>
          <w:rFonts w:hint="eastAsia"/>
          <w:sz w:val="30"/>
          <w:szCs w:val="30"/>
        </w:rPr>
        <w:t>投标函附录：是指构成合同的附在投标函后的称为“投标函附录”的文件。</w:t>
      </w:r>
    </w:p>
    <w:p w14:paraId="39A4CB18">
      <w:pPr>
        <w:pStyle w:val="995"/>
        <w:numPr>
          <w:ilvl w:val="0"/>
          <w:numId w:val="0"/>
        </w:numPr>
        <w:rPr>
          <w:sz w:val="30"/>
          <w:szCs w:val="30"/>
        </w:rPr>
      </w:pPr>
      <w:r>
        <w:rPr>
          <w:rFonts w:hint="eastAsia"/>
          <w:sz w:val="30"/>
          <w:szCs w:val="30"/>
        </w:rPr>
        <w:t>1</w:t>
      </w:r>
      <w:r>
        <w:rPr>
          <w:sz w:val="30"/>
          <w:szCs w:val="30"/>
        </w:rPr>
        <w:t xml:space="preserve">.1.1.6 </w:t>
      </w:r>
      <w:r>
        <w:rPr>
          <w:rFonts w:hint="eastAsia"/>
          <w:sz w:val="30"/>
          <w:szCs w:val="30"/>
        </w:rPr>
        <w:t>《发包人要求》：指构成合同文件组成部分的名为《发包人要求》的文件，其中列明工程的目的、范围、设计与其他技术标准和要求，以及合同双方当事人约定对其所作的修改或补充。</w:t>
      </w:r>
    </w:p>
    <w:p w14:paraId="101F1580">
      <w:pPr>
        <w:pStyle w:val="995"/>
        <w:numPr>
          <w:ilvl w:val="0"/>
          <w:numId w:val="0"/>
        </w:numPr>
        <w:rPr>
          <w:sz w:val="30"/>
          <w:szCs w:val="30"/>
        </w:rPr>
      </w:pPr>
      <w:r>
        <w:rPr>
          <w:rFonts w:hint="eastAsia"/>
          <w:sz w:val="30"/>
          <w:szCs w:val="30"/>
        </w:rPr>
        <w:t>1</w:t>
      </w:r>
      <w:r>
        <w:rPr>
          <w:sz w:val="30"/>
          <w:szCs w:val="30"/>
        </w:rPr>
        <w:t xml:space="preserve">.1.1.7 </w:t>
      </w:r>
      <w:r>
        <w:rPr>
          <w:rFonts w:hint="eastAsia"/>
          <w:sz w:val="30"/>
          <w:szCs w:val="30"/>
        </w:rPr>
        <w:t>项目清单：是指发包人提供的载明工程总承包项目勘察费（如果有）、设计费、建筑安装工程费、设备购置费、暂估价、暂列金额和双方约定的其他费用的名称和相应数量等内容的项目明细。</w:t>
      </w:r>
    </w:p>
    <w:p w14:paraId="44BC8CF6">
      <w:pPr>
        <w:pStyle w:val="995"/>
        <w:numPr>
          <w:ilvl w:val="0"/>
          <w:numId w:val="0"/>
        </w:numPr>
        <w:rPr>
          <w:sz w:val="30"/>
          <w:szCs w:val="30"/>
        </w:rPr>
      </w:pPr>
      <w:r>
        <w:rPr>
          <w:rFonts w:hint="eastAsia"/>
          <w:sz w:val="30"/>
          <w:szCs w:val="30"/>
        </w:rPr>
        <w:t>1</w:t>
      </w:r>
      <w:r>
        <w:rPr>
          <w:sz w:val="30"/>
          <w:szCs w:val="30"/>
        </w:rPr>
        <w:t xml:space="preserve">.1.1.8 </w:t>
      </w:r>
      <w:r>
        <w:rPr>
          <w:rFonts w:hint="eastAsia"/>
          <w:sz w:val="30"/>
          <w:szCs w:val="30"/>
        </w:rPr>
        <w:t>价格清单：指构成合同文件组成部分的由承包人按发包人提供的项目清单规定的格式和要求填写并标明价格的清单。</w:t>
      </w:r>
    </w:p>
    <w:p w14:paraId="5A2118DE">
      <w:pPr>
        <w:pStyle w:val="995"/>
        <w:numPr>
          <w:ilvl w:val="0"/>
          <w:numId w:val="0"/>
        </w:numPr>
        <w:rPr>
          <w:sz w:val="30"/>
          <w:szCs w:val="30"/>
        </w:rPr>
      </w:pPr>
      <w:r>
        <w:rPr>
          <w:rFonts w:hint="eastAsia"/>
          <w:sz w:val="30"/>
          <w:szCs w:val="30"/>
        </w:rPr>
        <w:t>1</w:t>
      </w:r>
      <w:r>
        <w:rPr>
          <w:sz w:val="30"/>
          <w:szCs w:val="30"/>
        </w:rPr>
        <w:t xml:space="preserve">.1.1.9 </w:t>
      </w:r>
      <w:r>
        <w:rPr>
          <w:rFonts w:hint="eastAsia"/>
          <w:sz w:val="30"/>
          <w:szCs w:val="30"/>
        </w:rPr>
        <w:t>承包人建议书：指构成合同文件组成部分的名为承包人建议书的文件。承包人建议书由承包人随投标函一起提交。</w:t>
      </w:r>
    </w:p>
    <w:p w14:paraId="35002917">
      <w:pPr>
        <w:pStyle w:val="995"/>
        <w:numPr>
          <w:ilvl w:val="0"/>
          <w:numId w:val="0"/>
        </w:numPr>
        <w:rPr>
          <w:sz w:val="30"/>
          <w:szCs w:val="30"/>
        </w:rPr>
      </w:pPr>
      <w:bookmarkStart w:id="30" w:name="_Ref4415300"/>
      <w:r>
        <w:rPr>
          <w:rFonts w:hint="eastAsia"/>
          <w:sz w:val="30"/>
          <w:szCs w:val="30"/>
        </w:rPr>
        <w:t>1</w:t>
      </w:r>
      <w:r>
        <w:rPr>
          <w:sz w:val="30"/>
          <w:szCs w:val="30"/>
        </w:rPr>
        <w:t>.1.1.1</w:t>
      </w:r>
      <w:r>
        <w:rPr>
          <w:rFonts w:hint="eastAsia"/>
          <w:sz w:val="30"/>
          <w:szCs w:val="30"/>
        </w:rPr>
        <w:t>0</w:t>
      </w:r>
      <w:r>
        <w:rPr>
          <w:sz w:val="30"/>
          <w:szCs w:val="30"/>
        </w:rPr>
        <w:t xml:space="preserve"> </w:t>
      </w:r>
      <w:r>
        <w:rPr>
          <w:rFonts w:hint="eastAsia"/>
          <w:sz w:val="30"/>
          <w:szCs w:val="30"/>
        </w:rPr>
        <w:t>其他合同文件：是指经合同当事人约定的与工程实施有关的具有合同约束力的文件或书面协议。合同当事人可以在专用合同条件中进行约定。</w:t>
      </w:r>
      <w:bookmarkEnd w:id="30"/>
    </w:p>
    <w:p w14:paraId="2E354BB3">
      <w:pPr>
        <w:pStyle w:val="994"/>
        <w:numPr>
          <w:ilvl w:val="0"/>
          <w:numId w:val="0"/>
        </w:numPr>
        <w:rPr>
          <w:sz w:val="30"/>
          <w:szCs w:val="30"/>
        </w:rPr>
      </w:pPr>
      <w:bookmarkStart w:id="31" w:name="_Ref4757418"/>
      <w:r>
        <w:rPr>
          <w:rFonts w:hint="eastAsia"/>
          <w:sz w:val="30"/>
          <w:szCs w:val="30"/>
        </w:rPr>
        <w:t>1</w:t>
      </w:r>
      <w:r>
        <w:rPr>
          <w:sz w:val="30"/>
          <w:szCs w:val="30"/>
        </w:rPr>
        <w:t xml:space="preserve">.1.2 </w:t>
      </w:r>
      <w:r>
        <w:rPr>
          <w:rFonts w:hint="eastAsia"/>
          <w:sz w:val="30"/>
          <w:szCs w:val="30"/>
        </w:rPr>
        <w:t>合同当事人及其他相关方</w:t>
      </w:r>
      <w:bookmarkEnd w:id="31"/>
    </w:p>
    <w:p w14:paraId="346AE002">
      <w:pPr>
        <w:pStyle w:val="995"/>
        <w:numPr>
          <w:ilvl w:val="0"/>
          <w:numId w:val="0"/>
        </w:numPr>
        <w:rPr>
          <w:sz w:val="30"/>
          <w:szCs w:val="30"/>
        </w:rPr>
      </w:pPr>
      <w:r>
        <w:rPr>
          <w:rFonts w:hint="eastAsia"/>
          <w:sz w:val="30"/>
          <w:szCs w:val="30"/>
        </w:rPr>
        <w:t>1</w:t>
      </w:r>
      <w:r>
        <w:rPr>
          <w:sz w:val="30"/>
          <w:szCs w:val="30"/>
        </w:rPr>
        <w:t xml:space="preserve">.1.2.1 </w:t>
      </w:r>
      <w:r>
        <w:rPr>
          <w:rFonts w:hint="eastAsia"/>
          <w:sz w:val="30"/>
          <w:szCs w:val="30"/>
        </w:rPr>
        <w:t>合同当事人：是指发包人和（或）承包人。</w:t>
      </w:r>
    </w:p>
    <w:p w14:paraId="14CCA44A">
      <w:pPr>
        <w:pStyle w:val="995"/>
        <w:numPr>
          <w:ilvl w:val="0"/>
          <w:numId w:val="0"/>
        </w:numPr>
        <w:rPr>
          <w:sz w:val="30"/>
          <w:szCs w:val="30"/>
        </w:rPr>
      </w:pPr>
      <w:r>
        <w:rPr>
          <w:rFonts w:hint="eastAsia"/>
          <w:sz w:val="30"/>
          <w:szCs w:val="30"/>
        </w:rPr>
        <w:t>1</w:t>
      </w:r>
      <w:r>
        <w:rPr>
          <w:sz w:val="30"/>
          <w:szCs w:val="30"/>
        </w:rPr>
        <w:t xml:space="preserve">.1.2.2 </w:t>
      </w:r>
      <w:r>
        <w:rPr>
          <w:rFonts w:hint="eastAsia"/>
          <w:sz w:val="30"/>
          <w:szCs w:val="30"/>
        </w:rPr>
        <w:t>发包人：是指与承包人订立合同协议书的当事人及取得该当事人资格的合法继受人。本合同中“因发包人原因”里的“发包人”包括发包人及所有发包人人员。</w:t>
      </w:r>
    </w:p>
    <w:p w14:paraId="0829CDE9">
      <w:pPr>
        <w:pStyle w:val="995"/>
        <w:numPr>
          <w:ilvl w:val="0"/>
          <w:numId w:val="0"/>
        </w:numPr>
        <w:rPr>
          <w:sz w:val="30"/>
          <w:szCs w:val="30"/>
        </w:rPr>
      </w:pPr>
      <w:r>
        <w:rPr>
          <w:rFonts w:hint="eastAsia"/>
          <w:sz w:val="30"/>
          <w:szCs w:val="30"/>
        </w:rPr>
        <w:t>1</w:t>
      </w:r>
      <w:r>
        <w:rPr>
          <w:sz w:val="30"/>
          <w:szCs w:val="30"/>
        </w:rPr>
        <w:t xml:space="preserve">.1.2.3 </w:t>
      </w:r>
      <w:r>
        <w:rPr>
          <w:rFonts w:hint="eastAsia"/>
          <w:sz w:val="30"/>
          <w:szCs w:val="30"/>
        </w:rPr>
        <w:t>承包人：是指与发包人订立合同协议书的当事人及取得该当事人资格的合法继受人。</w:t>
      </w:r>
    </w:p>
    <w:p w14:paraId="5DC75F03">
      <w:pPr>
        <w:pStyle w:val="995"/>
        <w:numPr>
          <w:ilvl w:val="0"/>
          <w:numId w:val="0"/>
        </w:numPr>
        <w:rPr>
          <w:sz w:val="30"/>
          <w:szCs w:val="30"/>
        </w:rPr>
      </w:pPr>
      <w:r>
        <w:rPr>
          <w:rFonts w:hint="eastAsia"/>
          <w:sz w:val="30"/>
          <w:szCs w:val="30"/>
        </w:rPr>
        <w:t>1</w:t>
      </w:r>
      <w:r>
        <w:rPr>
          <w:sz w:val="30"/>
          <w:szCs w:val="30"/>
        </w:rPr>
        <w:t xml:space="preserve">.1.2.4 </w:t>
      </w:r>
      <w:r>
        <w:rPr>
          <w:rFonts w:hint="eastAsia"/>
          <w:sz w:val="30"/>
          <w:szCs w:val="30"/>
        </w:rPr>
        <w:t>联合体：是指经发包人同意由两个或两个以上法人或者其他组织组成的，作为承包人的临时机构。</w:t>
      </w:r>
    </w:p>
    <w:p w14:paraId="70465DB4">
      <w:pPr>
        <w:pStyle w:val="995"/>
        <w:numPr>
          <w:ilvl w:val="0"/>
          <w:numId w:val="0"/>
        </w:numPr>
        <w:rPr>
          <w:sz w:val="30"/>
          <w:szCs w:val="30"/>
        </w:rPr>
      </w:pPr>
      <w:bookmarkStart w:id="32" w:name="_Ref4420046"/>
      <w:r>
        <w:rPr>
          <w:rFonts w:hint="eastAsia"/>
          <w:sz w:val="30"/>
          <w:szCs w:val="30"/>
        </w:rPr>
        <w:t>1</w:t>
      </w:r>
      <w:r>
        <w:rPr>
          <w:sz w:val="30"/>
          <w:szCs w:val="30"/>
        </w:rPr>
        <w:t xml:space="preserve">.1.2.5 </w:t>
      </w:r>
      <w:r>
        <w:rPr>
          <w:rFonts w:hint="eastAsia"/>
          <w:sz w:val="30"/>
          <w:szCs w:val="30"/>
        </w:rPr>
        <w:t>发包人代表：是指由发包人任命并派驻工作现场，在发包人授权范围内行使发包人权利和履行发包人义务的人。</w:t>
      </w:r>
    </w:p>
    <w:p w14:paraId="57D1F621">
      <w:pPr>
        <w:pStyle w:val="995"/>
        <w:numPr>
          <w:ilvl w:val="0"/>
          <w:numId w:val="0"/>
        </w:numPr>
        <w:rPr>
          <w:sz w:val="30"/>
          <w:szCs w:val="30"/>
        </w:rPr>
      </w:pPr>
      <w:bookmarkStart w:id="33" w:name="_Ref4756982"/>
      <w:r>
        <w:rPr>
          <w:rFonts w:hint="eastAsia"/>
          <w:sz w:val="30"/>
          <w:szCs w:val="30"/>
        </w:rPr>
        <w:t>1</w:t>
      </w:r>
      <w:r>
        <w:rPr>
          <w:sz w:val="30"/>
          <w:szCs w:val="30"/>
        </w:rPr>
        <w:t xml:space="preserve">.1.2.6 </w:t>
      </w:r>
      <w:r>
        <w:rPr>
          <w:rFonts w:hint="eastAsia"/>
          <w:sz w:val="30"/>
          <w:szCs w:val="30"/>
        </w:rPr>
        <w:t>工程师：是指在专用合同条件中指明的，受发包人委托按照法律规定和发包人的授权进行合同履行管理、工程监督管理等工作的法人或其他组织；该法人或其他组织应雇用一名具有相应执业资格和职业能力的自然人作为工程师代表，并授予其根据本合同代表工程师行事的权利。</w:t>
      </w:r>
      <w:bookmarkEnd w:id="32"/>
      <w:bookmarkEnd w:id="33"/>
    </w:p>
    <w:p w14:paraId="6AFEAB71">
      <w:pPr>
        <w:pStyle w:val="995"/>
        <w:numPr>
          <w:ilvl w:val="0"/>
          <w:numId w:val="0"/>
        </w:numPr>
        <w:rPr>
          <w:sz w:val="30"/>
          <w:szCs w:val="30"/>
        </w:rPr>
      </w:pPr>
      <w:r>
        <w:rPr>
          <w:rFonts w:hint="eastAsia"/>
          <w:sz w:val="30"/>
          <w:szCs w:val="30"/>
        </w:rPr>
        <w:t>1</w:t>
      </w:r>
      <w:r>
        <w:rPr>
          <w:sz w:val="30"/>
          <w:szCs w:val="30"/>
        </w:rPr>
        <w:t xml:space="preserve">.1.2.7 </w:t>
      </w:r>
      <w:r>
        <w:rPr>
          <w:rFonts w:hint="eastAsia"/>
          <w:sz w:val="30"/>
          <w:szCs w:val="30"/>
        </w:rPr>
        <w:t>工程总承包项目经理：是指由承包人任命的，在承包人授权范围内负责合同履行的管理，且按照法律规定具有相应资格的项目负责人。</w:t>
      </w:r>
    </w:p>
    <w:p w14:paraId="06EDD16A">
      <w:pPr>
        <w:pStyle w:val="995"/>
        <w:numPr>
          <w:ilvl w:val="0"/>
          <w:numId w:val="0"/>
        </w:numPr>
        <w:rPr>
          <w:sz w:val="30"/>
          <w:szCs w:val="30"/>
        </w:rPr>
      </w:pPr>
      <w:r>
        <w:rPr>
          <w:rFonts w:hint="eastAsia"/>
          <w:sz w:val="30"/>
          <w:szCs w:val="30"/>
        </w:rPr>
        <w:t>1</w:t>
      </w:r>
      <w:r>
        <w:rPr>
          <w:sz w:val="30"/>
          <w:szCs w:val="30"/>
        </w:rPr>
        <w:t xml:space="preserve">.1.2.8 </w:t>
      </w:r>
      <w:r>
        <w:rPr>
          <w:rFonts w:hint="eastAsia"/>
          <w:sz w:val="30"/>
          <w:szCs w:val="30"/>
        </w:rPr>
        <w:t>设计负责人：是指承包人指定负责组织、指导、协调设计工作并具有相应资格的人员。</w:t>
      </w:r>
    </w:p>
    <w:p w14:paraId="788D2C6F">
      <w:pPr>
        <w:pStyle w:val="995"/>
        <w:numPr>
          <w:ilvl w:val="0"/>
          <w:numId w:val="0"/>
        </w:numPr>
        <w:rPr>
          <w:sz w:val="30"/>
          <w:szCs w:val="30"/>
        </w:rPr>
      </w:pPr>
      <w:r>
        <w:rPr>
          <w:rFonts w:hint="eastAsia"/>
          <w:sz w:val="30"/>
          <w:szCs w:val="30"/>
        </w:rPr>
        <w:t>1</w:t>
      </w:r>
      <w:r>
        <w:rPr>
          <w:sz w:val="30"/>
          <w:szCs w:val="30"/>
        </w:rPr>
        <w:t xml:space="preserve">.1.2.9 </w:t>
      </w:r>
      <w:r>
        <w:rPr>
          <w:rFonts w:hint="eastAsia"/>
          <w:sz w:val="30"/>
          <w:szCs w:val="30"/>
        </w:rPr>
        <w:t>采购负责人：是指承包人指定负责组织、指导、协调采购工作的人员。</w:t>
      </w:r>
    </w:p>
    <w:p w14:paraId="4FFEAB2B">
      <w:pPr>
        <w:pStyle w:val="995"/>
        <w:numPr>
          <w:ilvl w:val="0"/>
          <w:numId w:val="0"/>
        </w:numPr>
        <w:rPr>
          <w:sz w:val="30"/>
          <w:szCs w:val="30"/>
        </w:rPr>
      </w:pPr>
      <w:r>
        <w:rPr>
          <w:rFonts w:hint="eastAsia"/>
          <w:sz w:val="30"/>
          <w:szCs w:val="30"/>
        </w:rPr>
        <w:t>1</w:t>
      </w:r>
      <w:r>
        <w:rPr>
          <w:sz w:val="30"/>
          <w:szCs w:val="30"/>
        </w:rPr>
        <w:t xml:space="preserve">.1.2.10 </w:t>
      </w:r>
      <w:r>
        <w:rPr>
          <w:rFonts w:hint="eastAsia"/>
          <w:sz w:val="30"/>
          <w:szCs w:val="30"/>
        </w:rPr>
        <w:t>施工负责人：是指承包人指定负责组织、指导、协调施工工作并具有相应资格的人员。</w:t>
      </w:r>
    </w:p>
    <w:p w14:paraId="5A8AC83B">
      <w:pPr>
        <w:pStyle w:val="995"/>
        <w:numPr>
          <w:ilvl w:val="0"/>
          <w:numId w:val="0"/>
        </w:numPr>
        <w:rPr>
          <w:sz w:val="30"/>
          <w:szCs w:val="30"/>
        </w:rPr>
      </w:pPr>
      <w:r>
        <w:rPr>
          <w:rFonts w:hint="eastAsia"/>
          <w:sz w:val="30"/>
          <w:szCs w:val="30"/>
        </w:rPr>
        <w:t>1</w:t>
      </w:r>
      <w:r>
        <w:rPr>
          <w:sz w:val="30"/>
          <w:szCs w:val="30"/>
        </w:rPr>
        <w:t xml:space="preserve">.1.2.11 </w:t>
      </w:r>
      <w:r>
        <w:rPr>
          <w:rFonts w:hint="eastAsia"/>
          <w:sz w:val="30"/>
          <w:szCs w:val="30"/>
        </w:rPr>
        <w:t>分包人：是指按照法律规定和合同约定，分包部分工程或工作，并与承包人订立分包合同的具有相应资质或资格的法人或其他组织。</w:t>
      </w:r>
    </w:p>
    <w:p w14:paraId="35C59435">
      <w:pPr>
        <w:pStyle w:val="994"/>
        <w:numPr>
          <w:ilvl w:val="0"/>
          <w:numId w:val="0"/>
        </w:numPr>
        <w:rPr>
          <w:sz w:val="30"/>
          <w:szCs w:val="30"/>
        </w:rPr>
      </w:pPr>
      <w:bookmarkStart w:id="34" w:name="_Ref4758319"/>
      <w:r>
        <w:rPr>
          <w:rFonts w:hint="eastAsia"/>
          <w:sz w:val="30"/>
          <w:szCs w:val="30"/>
        </w:rPr>
        <w:t>1</w:t>
      </w:r>
      <w:r>
        <w:rPr>
          <w:sz w:val="30"/>
          <w:szCs w:val="30"/>
        </w:rPr>
        <w:t xml:space="preserve">.1.3 </w:t>
      </w:r>
      <w:r>
        <w:rPr>
          <w:rFonts w:hint="eastAsia"/>
          <w:sz w:val="30"/>
          <w:szCs w:val="30"/>
        </w:rPr>
        <w:t>工程和设备</w:t>
      </w:r>
      <w:bookmarkEnd w:id="34"/>
    </w:p>
    <w:p w14:paraId="15EFAE82">
      <w:pPr>
        <w:pStyle w:val="995"/>
        <w:numPr>
          <w:ilvl w:val="0"/>
          <w:numId w:val="0"/>
        </w:numPr>
        <w:rPr>
          <w:sz w:val="30"/>
          <w:szCs w:val="30"/>
        </w:rPr>
      </w:pPr>
      <w:r>
        <w:rPr>
          <w:rFonts w:hint="eastAsia"/>
          <w:sz w:val="30"/>
          <w:szCs w:val="30"/>
        </w:rPr>
        <w:t>1</w:t>
      </w:r>
      <w:r>
        <w:rPr>
          <w:sz w:val="30"/>
          <w:szCs w:val="30"/>
        </w:rPr>
        <w:t xml:space="preserve">.1.3.1 </w:t>
      </w:r>
      <w:r>
        <w:rPr>
          <w:rFonts w:hint="eastAsia"/>
          <w:sz w:val="30"/>
          <w:szCs w:val="30"/>
        </w:rPr>
        <w:t>工程：是指与合同协议书中工程承包范围对应的永久工程和（或）临时工程。</w:t>
      </w:r>
    </w:p>
    <w:p w14:paraId="3A2139FB">
      <w:pPr>
        <w:pStyle w:val="995"/>
        <w:numPr>
          <w:ilvl w:val="0"/>
          <w:numId w:val="0"/>
        </w:numPr>
        <w:rPr>
          <w:sz w:val="30"/>
          <w:szCs w:val="30"/>
        </w:rPr>
      </w:pPr>
      <w:r>
        <w:rPr>
          <w:rFonts w:hint="eastAsia"/>
          <w:sz w:val="30"/>
          <w:szCs w:val="30"/>
        </w:rPr>
        <w:t>1</w:t>
      </w:r>
      <w:r>
        <w:rPr>
          <w:sz w:val="30"/>
          <w:szCs w:val="30"/>
        </w:rPr>
        <w:t xml:space="preserve">.1.3.2 </w:t>
      </w:r>
      <w:r>
        <w:rPr>
          <w:rFonts w:hint="eastAsia"/>
          <w:sz w:val="30"/>
          <w:szCs w:val="30"/>
        </w:rPr>
        <w:t>工程实施：是指进行工程的设计、采购、施工和竣工以及对工程任何缺陷的修复。</w:t>
      </w:r>
    </w:p>
    <w:p w14:paraId="1C582290">
      <w:pPr>
        <w:pStyle w:val="995"/>
        <w:numPr>
          <w:ilvl w:val="0"/>
          <w:numId w:val="0"/>
        </w:numPr>
        <w:rPr>
          <w:sz w:val="30"/>
          <w:szCs w:val="30"/>
        </w:rPr>
      </w:pPr>
      <w:r>
        <w:rPr>
          <w:rFonts w:hint="eastAsia"/>
          <w:sz w:val="30"/>
          <w:szCs w:val="30"/>
        </w:rPr>
        <w:t>1</w:t>
      </w:r>
      <w:r>
        <w:rPr>
          <w:sz w:val="30"/>
          <w:szCs w:val="30"/>
        </w:rPr>
        <w:t xml:space="preserve">.1.3.3 </w:t>
      </w:r>
      <w:r>
        <w:rPr>
          <w:rFonts w:hint="eastAsia"/>
          <w:sz w:val="30"/>
          <w:szCs w:val="30"/>
        </w:rPr>
        <w:t>永久工程：是指按合同约定建造并移交给发包人的工程，包括工程设备。</w:t>
      </w:r>
    </w:p>
    <w:p w14:paraId="6FE304BA">
      <w:pPr>
        <w:pStyle w:val="995"/>
        <w:numPr>
          <w:ilvl w:val="0"/>
          <w:numId w:val="0"/>
        </w:numPr>
        <w:rPr>
          <w:sz w:val="30"/>
          <w:szCs w:val="30"/>
        </w:rPr>
      </w:pPr>
      <w:r>
        <w:rPr>
          <w:rFonts w:hint="eastAsia"/>
          <w:sz w:val="30"/>
          <w:szCs w:val="30"/>
        </w:rPr>
        <w:t>1</w:t>
      </w:r>
      <w:r>
        <w:rPr>
          <w:sz w:val="30"/>
          <w:szCs w:val="30"/>
        </w:rPr>
        <w:t xml:space="preserve">.1.3.4 </w:t>
      </w:r>
      <w:r>
        <w:rPr>
          <w:rFonts w:hint="eastAsia"/>
          <w:sz w:val="30"/>
          <w:szCs w:val="30"/>
        </w:rPr>
        <w:t>临时工程：是指为完成合同约定的永久工程所修建的各类临时性工程，不包括施工设备。</w:t>
      </w:r>
    </w:p>
    <w:p w14:paraId="047B5BFB">
      <w:pPr>
        <w:pStyle w:val="995"/>
        <w:numPr>
          <w:ilvl w:val="0"/>
          <w:numId w:val="0"/>
        </w:numPr>
        <w:rPr>
          <w:sz w:val="30"/>
          <w:szCs w:val="30"/>
        </w:rPr>
      </w:pPr>
      <w:bookmarkStart w:id="35" w:name="_Ref4419825"/>
      <w:r>
        <w:rPr>
          <w:rFonts w:hint="eastAsia"/>
          <w:sz w:val="30"/>
          <w:szCs w:val="30"/>
        </w:rPr>
        <w:t>1</w:t>
      </w:r>
      <w:r>
        <w:rPr>
          <w:sz w:val="30"/>
          <w:szCs w:val="30"/>
        </w:rPr>
        <w:t xml:space="preserve">.1.3.5 </w:t>
      </w:r>
      <w:r>
        <w:rPr>
          <w:rFonts w:hint="eastAsia"/>
          <w:sz w:val="30"/>
          <w:szCs w:val="30"/>
        </w:rPr>
        <w:t>单位/区段工程：是指在专用合同条件中指明特定范围的，能单独接收并使用的永久工程。</w:t>
      </w:r>
      <w:bookmarkEnd w:id="35"/>
    </w:p>
    <w:p w14:paraId="5064B19D">
      <w:pPr>
        <w:pStyle w:val="995"/>
        <w:numPr>
          <w:ilvl w:val="0"/>
          <w:numId w:val="0"/>
        </w:numPr>
        <w:rPr>
          <w:sz w:val="30"/>
          <w:szCs w:val="30"/>
        </w:rPr>
      </w:pPr>
      <w:r>
        <w:rPr>
          <w:rFonts w:hint="eastAsia"/>
          <w:sz w:val="30"/>
          <w:szCs w:val="30"/>
        </w:rPr>
        <w:t>1</w:t>
      </w:r>
      <w:r>
        <w:rPr>
          <w:sz w:val="30"/>
          <w:szCs w:val="30"/>
        </w:rPr>
        <w:t xml:space="preserve">.1.3.6 </w:t>
      </w:r>
      <w:r>
        <w:rPr>
          <w:rFonts w:hint="eastAsia"/>
          <w:sz w:val="30"/>
          <w:szCs w:val="30"/>
        </w:rPr>
        <w:t>工程设备：指构成永久工程的机电设备、仪器装置、运载工具及其他类似的设备和装置，包括其配件及备品、备件、易损易耗件等。</w:t>
      </w:r>
    </w:p>
    <w:p w14:paraId="499B3875">
      <w:pPr>
        <w:pStyle w:val="995"/>
        <w:numPr>
          <w:ilvl w:val="0"/>
          <w:numId w:val="0"/>
        </w:numPr>
        <w:rPr>
          <w:sz w:val="30"/>
          <w:szCs w:val="30"/>
        </w:rPr>
      </w:pPr>
      <w:r>
        <w:rPr>
          <w:rFonts w:hint="eastAsia"/>
          <w:sz w:val="30"/>
          <w:szCs w:val="30"/>
        </w:rPr>
        <w:t>1</w:t>
      </w:r>
      <w:r>
        <w:rPr>
          <w:sz w:val="30"/>
          <w:szCs w:val="30"/>
        </w:rPr>
        <w:t xml:space="preserve">.1.3.7 </w:t>
      </w:r>
      <w:r>
        <w:rPr>
          <w:rFonts w:hint="eastAsia"/>
          <w:sz w:val="30"/>
          <w:szCs w:val="30"/>
        </w:rPr>
        <w:t>施工设备：指为完成合同约定的各项工作所需的设备、器具和其他物品，不包括工程设备、临时工程和材料。</w:t>
      </w:r>
    </w:p>
    <w:p w14:paraId="26064F70">
      <w:pPr>
        <w:pStyle w:val="995"/>
        <w:numPr>
          <w:ilvl w:val="0"/>
          <w:numId w:val="0"/>
        </w:numPr>
        <w:rPr>
          <w:sz w:val="30"/>
          <w:szCs w:val="30"/>
        </w:rPr>
      </w:pPr>
      <w:r>
        <w:rPr>
          <w:rFonts w:hint="eastAsia"/>
          <w:sz w:val="30"/>
          <w:szCs w:val="30"/>
        </w:rPr>
        <w:t>1</w:t>
      </w:r>
      <w:r>
        <w:rPr>
          <w:sz w:val="30"/>
          <w:szCs w:val="30"/>
        </w:rPr>
        <w:t xml:space="preserve">.1.3.8 </w:t>
      </w:r>
      <w:r>
        <w:rPr>
          <w:rFonts w:hint="eastAsia"/>
          <w:sz w:val="30"/>
          <w:szCs w:val="30"/>
        </w:rPr>
        <w:t>临时设施：指为完成合同约定的各项工作所服务的临时性生产和生活设施。</w:t>
      </w:r>
    </w:p>
    <w:p w14:paraId="49C44F5C">
      <w:pPr>
        <w:pStyle w:val="995"/>
        <w:numPr>
          <w:ilvl w:val="0"/>
          <w:numId w:val="0"/>
        </w:numPr>
        <w:rPr>
          <w:sz w:val="30"/>
          <w:szCs w:val="30"/>
        </w:rPr>
      </w:pPr>
      <w:bookmarkStart w:id="36" w:name="_Ref4420577"/>
      <w:r>
        <w:rPr>
          <w:rFonts w:hint="eastAsia"/>
          <w:sz w:val="30"/>
          <w:szCs w:val="30"/>
        </w:rPr>
        <w:t>1</w:t>
      </w:r>
      <w:r>
        <w:rPr>
          <w:sz w:val="30"/>
          <w:szCs w:val="30"/>
        </w:rPr>
        <w:t xml:space="preserve">.1.3.9 </w:t>
      </w:r>
      <w:r>
        <w:rPr>
          <w:rFonts w:hint="eastAsia"/>
          <w:sz w:val="30"/>
          <w:szCs w:val="30"/>
        </w:rPr>
        <w:t>施工现场：是指用于工程施工的场所，以及在专用合同条件中指明作为施工场所组成部分的其他场所，包括永久占地和临时占地。</w:t>
      </w:r>
      <w:bookmarkEnd w:id="36"/>
    </w:p>
    <w:p w14:paraId="2124FBF0">
      <w:pPr>
        <w:pStyle w:val="995"/>
        <w:numPr>
          <w:ilvl w:val="0"/>
          <w:numId w:val="0"/>
        </w:numPr>
        <w:rPr>
          <w:sz w:val="30"/>
          <w:szCs w:val="30"/>
        </w:rPr>
      </w:pPr>
      <w:bookmarkStart w:id="37" w:name="_Ref4420746"/>
      <w:r>
        <w:rPr>
          <w:rFonts w:hint="eastAsia"/>
          <w:sz w:val="30"/>
          <w:szCs w:val="30"/>
        </w:rPr>
        <w:t>1</w:t>
      </w:r>
      <w:r>
        <w:rPr>
          <w:sz w:val="30"/>
          <w:szCs w:val="30"/>
        </w:rPr>
        <w:t xml:space="preserve">.1.3.10 </w:t>
      </w:r>
      <w:r>
        <w:rPr>
          <w:rFonts w:hint="eastAsia"/>
          <w:sz w:val="30"/>
          <w:szCs w:val="30"/>
        </w:rPr>
        <w:t>永久占地：是指专用合同条件中指明为实施工程需永久占用的土地。</w:t>
      </w:r>
      <w:bookmarkEnd w:id="37"/>
    </w:p>
    <w:p w14:paraId="19D42901">
      <w:pPr>
        <w:pStyle w:val="995"/>
        <w:numPr>
          <w:ilvl w:val="0"/>
          <w:numId w:val="0"/>
        </w:numPr>
        <w:rPr>
          <w:sz w:val="30"/>
          <w:szCs w:val="30"/>
        </w:rPr>
      </w:pPr>
      <w:bookmarkStart w:id="38" w:name="_Ref4420821"/>
      <w:r>
        <w:rPr>
          <w:rFonts w:hint="eastAsia"/>
          <w:sz w:val="30"/>
          <w:szCs w:val="30"/>
        </w:rPr>
        <w:t>1</w:t>
      </w:r>
      <w:r>
        <w:rPr>
          <w:sz w:val="30"/>
          <w:szCs w:val="30"/>
        </w:rPr>
        <w:t xml:space="preserve">.1.3.11 </w:t>
      </w:r>
      <w:r>
        <w:rPr>
          <w:rFonts w:hint="eastAsia"/>
          <w:sz w:val="30"/>
          <w:szCs w:val="30"/>
        </w:rPr>
        <w:t>临时占地：是指专用合同条件中指明为实施工程需临时占用的土地。</w:t>
      </w:r>
      <w:bookmarkEnd w:id="38"/>
    </w:p>
    <w:p w14:paraId="1E72E034">
      <w:pPr>
        <w:pStyle w:val="994"/>
        <w:numPr>
          <w:ilvl w:val="0"/>
          <w:numId w:val="0"/>
        </w:numPr>
        <w:rPr>
          <w:sz w:val="30"/>
          <w:szCs w:val="30"/>
        </w:rPr>
      </w:pPr>
      <w:r>
        <w:rPr>
          <w:rFonts w:hint="eastAsia"/>
          <w:sz w:val="30"/>
          <w:szCs w:val="30"/>
        </w:rPr>
        <w:t>1</w:t>
      </w:r>
      <w:r>
        <w:rPr>
          <w:sz w:val="30"/>
          <w:szCs w:val="30"/>
        </w:rPr>
        <w:t xml:space="preserve">.1.4 </w:t>
      </w:r>
      <w:r>
        <w:rPr>
          <w:rFonts w:hint="eastAsia"/>
          <w:sz w:val="30"/>
          <w:szCs w:val="30"/>
        </w:rPr>
        <w:t>日期和期限</w:t>
      </w:r>
    </w:p>
    <w:p w14:paraId="0A8A2A51">
      <w:pPr>
        <w:pStyle w:val="995"/>
        <w:numPr>
          <w:ilvl w:val="0"/>
          <w:numId w:val="0"/>
        </w:numPr>
        <w:rPr>
          <w:sz w:val="30"/>
          <w:szCs w:val="30"/>
        </w:rPr>
      </w:pPr>
      <w:r>
        <w:rPr>
          <w:rFonts w:hint="eastAsia"/>
          <w:sz w:val="30"/>
          <w:szCs w:val="30"/>
        </w:rPr>
        <w:t>1</w:t>
      </w:r>
      <w:r>
        <w:rPr>
          <w:sz w:val="30"/>
          <w:szCs w:val="30"/>
        </w:rPr>
        <w:t xml:space="preserve">.1.4.1 </w:t>
      </w:r>
      <w:r>
        <w:rPr>
          <w:rFonts w:hint="eastAsia"/>
          <w:sz w:val="30"/>
          <w:szCs w:val="30"/>
        </w:rPr>
        <w:t>开始工作通知：指工程师按第</w:t>
      </w:r>
      <w:r>
        <w:rPr>
          <w:sz w:val="30"/>
          <w:szCs w:val="30"/>
        </w:rPr>
        <w:t>8.1.2</w:t>
      </w:r>
      <w:r>
        <w:rPr>
          <w:rFonts w:hint="eastAsia"/>
          <w:sz w:val="30"/>
          <w:szCs w:val="30"/>
        </w:rPr>
        <w:t>项[开始工作通知]的约定通知承包人开始工作的函件。</w:t>
      </w:r>
    </w:p>
    <w:p w14:paraId="75FBB7CE">
      <w:pPr>
        <w:pStyle w:val="995"/>
        <w:numPr>
          <w:ilvl w:val="0"/>
          <w:numId w:val="0"/>
        </w:numPr>
        <w:rPr>
          <w:sz w:val="30"/>
          <w:szCs w:val="30"/>
        </w:rPr>
      </w:pPr>
      <w:r>
        <w:rPr>
          <w:rFonts w:hint="eastAsia"/>
          <w:sz w:val="30"/>
          <w:szCs w:val="30"/>
        </w:rPr>
        <w:t>1</w:t>
      </w:r>
      <w:r>
        <w:rPr>
          <w:sz w:val="30"/>
          <w:szCs w:val="30"/>
        </w:rPr>
        <w:t xml:space="preserve">.1.4.2 </w:t>
      </w:r>
      <w:r>
        <w:rPr>
          <w:rFonts w:hint="eastAsia"/>
          <w:sz w:val="30"/>
          <w:szCs w:val="30"/>
        </w:rPr>
        <w:t>开始工作日期：包括计划开始工作日期和实际开始工作日期。计划开始工作日期是指合同协议书约定的开始工作日期；实际开始工作日期是指工程师按照第</w:t>
      </w:r>
      <w:r>
        <w:rPr>
          <w:sz w:val="30"/>
          <w:szCs w:val="30"/>
        </w:rPr>
        <w:t>8.1</w:t>
      </w:r>
      <w:r>
        <w:rPr>
          <w:rFonts w:hint="eastAsia"/>
          <w:sz w:val="30"/>
          <w:szCs w:val="30"/>
        </w:rPr>
        <w:t>款[开始工作]约定发出的符合法律规定的开始工作通知中载明的开始工作日期。</w:t>
      </w:r>
    </w:p>
    <w:p w14:paraId="4914FBEB">
      <w:pPr>
        <w:pStyle w:val="995"/>
        <w:numPr>
          <w:ilvl w:val="0"/>
          <w:numId w:val="0"/>
        </w:numPr>
        <w:rPr>
          <w:sz w:val="30"/>
          <w:szCs w:val="30"/>
        </w:rPr>
      </w:pPr>
      <w:r>
        <w:rPr>
          <w:rFonts w:hint="eastAsia"/>
          <w:sz w:val="30"/>
          <w:szCs w:val="30"/>
        </w:rPr>
        <w:t>1</w:t>
      </w:r>
      <w:r>
        <w:rPr>
          <w:sz w:val="30"/>
          <w:szCs w:val="30"/>
        </w:rPr>
        <w:t xml:space="preserve">.1.4.3 </w:t>
      </w:r>
      <w:r>
        <w:rPr>
          <w:rFonts w:hint="eastAsia"/>
          <w:sz w:val="30"/>
          <w:szCs w:val="30"/>
        </w:rPr>
        <w:t>开始现场施工日期：包括计划开始现场施工日期和实际开始现场施工日期。计划开始现场施工日期是指合同协议书约定的开始现场施工日期；实际开始现场施工日期是指工程师发出的符合法律规定的开工通知中载明的开始现场施工日期。</w:t>
      </w:r>
    </w:p>
    <w:p w14:paraId="335E5151">
      <w:pPr>
        <w:pStyle w:val="995"/>
        <w:numPr>
          <w:ilvl w:val="0"/>
          <w:numId w:val="0"/>
        </w:numPr>
        <w:rPr>
          <w:sz w:val="30"/>
          <w:szCs w:val="30"/>
        </w:rPr>
      </w:pPr>
      <w:r>
        <w:rPr>
          <w:rFonts w:hint="eastAsia"/>
          <w:sz w:val="30"/>
          <w:szCs w:val="30"/>
        </w:rPr>
        <w:t>1</w:t>
      </w:r>
      <w:r>
        <w:rPr>
          <w:sz w:val="30"/>
          <w:szCs w:val="30"/>
        </w:rPr>
        <w:t xml:space="preserve">.1.4.4 </w:t>
      </w:r>
      <w:r>
        <w:rPr>
          <w:rFonts w:hint="eastAsia"/>
          <w:sz w:val="30"/>
          <w:szCs w:val="30"/>
        </w:rPr>
        <w:t>竣工日期：包括计划竣工日期和实际竣工日期。计划竣工日期是指合同协议书约定的竣工日期；实际竣工日期按照第</w:t>
      </w:r>
      <w:r>
        <w:rPr>
          <w:sz w:val="30"/>
          <w:szCs w:val="30"/>
        </w:rPr>
        <w:t>8.2</w:t>
      </w:r>
      <w:r>
        <w:rPr>
          <w:rFonts w:hint="eastAsia"/>
          <w:sz w:val="30"/>
          <w:szCs w:val="30"/>
        </w:rPr>
        <w:t>款[竣工日期]的约定确定。</w:t>
      </w:r>
    </w:p>
    <w:p w14:paraId="5E18DB58">
      <w:pPr>
        <w:pStyle w:val="995"/>
        <w:numPr>
          <w:ilvl w:val="0"/>
          <w:numId w:val="0"/>
        </w:numPr>
        <w:rPr>
          <w:sz w:val="30"/>
          <w:szCs w:val="30"/>
        </w:rPr>
      </w:pPr>
      <w:r>
        <w:rPr>
          <w:rFonts w:hint="eastAsia"/>
          <w:sz w:val="30"/>
          <w:szCs w:val="30"/>
        </w:rPr>
        <w:t>1</w:t>
      </w:r>
      <w:r>
        <w:rPr>
          <w:sz w:val="30"/>
          <w:szCs w:val="30"/>
        </w:rPr>
        <w:t xml:space="preserve">.1.4.5 </w:t>
      </w:r>
      <w:r>
        <w:rPr>
          <w:rFonts w:hint="eastAsia"/>
          <w:sz w:val="30"/>
          <w:szCs w:val="30"/>
        </w:rPr>
        <w:t>工期：是指在合同协议书约定的承包人完成合同工作所需的期限，包括按照合同约定所作的期限变更及按合同约定承包人有权取得的工期延长。</w:t>
      </w:r>
    </w:p>
    <w:p w14:paraId="4EB07B8D">
      <w:pPr>
        <w:pStyle w:val="995"/>
        <w:numPr>
          <w:ilvl w:val="0"/>
          <w:numId w:val="0"/>
        </w:numPr>
        <w:rPr>
          <w:sz w:val="30"/>
          <w:szCs w:val="30"/>
        </w:rPr>
      </w:pPr>
      <w:r>
        <w:rPr>
          <w:rFonts w:hint="eastAsia"/>
          <w:sz w:val="30"/>
          <w:szCs w:val="30"/>
        </w:rPr>
        <w:t>1</w:t>
      </w:r>
      <w:r>
        <w:rPr>
          <w:sz w:val="30"/>
          <w:szCs w:val="30"/>
        </w:rPr>
        <w:t xml:space="preserve">.1.4.6 </w:t>
      </w:r>
      <w:r>
        <w:rPr>
          <w:rFonts w:hint="eastAsia"/>
          <w:sz w:val="30"/>
          <w:szCs w:val="30"/>
        </w:rPr>
        <w:t>缺陷责任期：是指发包人预留工程质量保证金以保证承包人履行第</w:t>
      </w:r>
      <w:r>
        <w:rPr>
          <w:sz w:val="30"/>
          <w:szCs w:val="30"/>
        </w:rPr>
        <w:t>11.3</w:t>
      </w:r>
      <w:r>
        <w:rPr>
          <w:rFonts w:hint="eastAsia"/>
          <w:sz w:val="30"/>
          <w:szCs w:val="30"/>
        </w:rPr>
        <w:t>款[缺陷调查]</w:t>
      </w:r>
      <w:r>
        <w:rPr>
          <w:sz w:val="30"/>
          <w:szCs w:val="30"/>
        </w:rPr>
        <w:t>下质量缺陷责任的期限</w:t>
      </w:r>
      <w:r>
        <w:rPr>
          <w:rFonts w:hint="eastAsia"/>
          <w:sz w:val="30"/>
          <w:szCs w:val="30"/>
        </w:rPr>
        <w:t>。</w:t>
      </w:r>
    </w:p>
    <w:p w14:paraId="5C2539A9">
      <w:pPr>
        <w:pStyle w:val="995"/>
        <w:numPr>
          <w:ilvl w:val="0"/>
          <w:numId w:val="0"/>
        </w:numPr>
        <w:rPr>
          <w:sz w:val="30"/>
          <w:szCs w:val="30"/>
        </w:rPr>
      </w:pPr>
      <w:r>
        <w:rPr>
          <w:rFonts w:hint="eastAsia"/>
          <w:sz w:val="30"/>
          <w:szCs w:val="30"/>
        </w:rPr>
        <w:t>1</w:t>
      </w:r>
      <w:r>
        <w:rPr>
          <w:sz w:val="30"/>
          <w:szCs w:val="30"/>
        </w:rPr>
        <w:t xml:space="preserve">.1.4.7 </w:t>
      </w:r>
      <w:r>
        <w:rPr>
          <w:rFonts w:hint="eastAsia"/>
          <w:sz w:val="30"/>
          <w:szCs w:val="30"/>
        </w:rPr>
        <w:t>保修期：是指承包人按照合同约定和法律规定对工程质量承担保修责任的期限，该期限自缺陷责任期起算之日起计算。</w:t>
      </w:r>
    </w:p>
    <w:p w14:paraId="2C7D4BE6">
      <w:pPr>
        <w:pStyle w:val="995"/>
        <w:numPr>
          <w:ilvl w:val="0"/>
          <w:numId w:val="0"/>
        </w:numPr>
        <w:rPr>
          <w:sz w:val="30"/>
          <w:szCs w:val="30"/>
        </w:rPr>
      </w:pPr>
      <w:r>
        <w:rPr>
          <w:rFonts w:hint="eastAsia"/>
          <w:sz w:val="30"/>
          <w:szCs w:val="30"/>
        </w:rPr>
        <w:t>1</w:t>
      </w:r>
      <w:r>
        <w:rPr>
          <w:sz w:val="30"/>
          <w:szCs w:val="30"/>
        </w:rPr>
        <w:t xml:space="preserve">.1.4.8 </w:t>
      </w:r>
      <w:r>
        <w:rPr>
          <w:rFonts w:hint="eastAsia"/>
          <w:sz w:val="30"/>
          <w:szCs w:val="30"/>
        </w:rPr>
        <w:t>基准日期：招标发包的工程以投标截止日前28天的日期为基准日期，直接发包的工程以合同订立日前28天的日期为基准日期。</w:t>
      </w:r>
    </w:p>
    <w:p w14:paraId="6D001BB6">
      <w:pPr>
        <w:pStyle w:val="995"/>
        <w:numPr>
          <w:ilvl w:val="0"/>
          <w:numId w:val="0"/>
        </w:numPr>
        <w:rPr>
          <w:sz w:val="30"/>
          <w:szCs w:val="30"/>
        </w:rPr>
      </w:pPr>
      <w:r>
        <w:rPr>
          <w:rFonts w:hint="eastAsia"/>
          <w:sz w:val="30"/>
          <w:szCs w:val="30"/>
        </w:rPr>
        <w:t>1</w:t>
      </w:r>
      <w:r>
        <w:rPr>
          <w:sz w:val="30"/>
          <w:szCs w:val="30"/>
        </w:rPr>
        <w:t xml:space="preserve">.1.4.9 </w:t>
      </w:r>
      <w:r>
        <w:rPr>
          <w:rFonts w:hint="eastAsia"/>
          <w:sz w:val="30"/>
          <w:szCs w:val="30"/>
        </w:rPr>
        <w:t>天：除特别指明外，均指日历天。合同中按天计算时间的，开始当天不计入，从次日开始计算。期限最后一天的截止时间为当天24:00。</w:t>
      </w:r>
    </w:p>
    <w:p w14:paraId="30C8DA0B">
      <w:pPr>
        <w:pStyle w:val="995"/>
        <w:numPr>
          <w:ilvl w:val="0"/>
          <w:numId w:val="0"/>
        </w:numPr>
        <w:rPr>
          <w:sz w:val="30"/>
          <w:szCs w:val="30"/>
        </w:rPr>
      </w:pPr>
      <w:r>
        <w:rPr>
          <w:rFonts w:hint="eastAsia"/>
          <w:sz w:val="30"/>
          <w:szCs w:val="30"/>
        </w:rPr>
        <w:t>1</w:t>
      </w:r>
      <w:r>
        <w:rPr>
          <w:sz w:val="30"/>
          <w:szCs w:val="30"/>
        </w:rPr>
        <w:t xml:space="preserve">.1.4.10 </w:t>
      </w:r>
      <w:r>
        <w:rPr>
          <w:rFonts w:hint="eastAsia"/>
          <w:sz w:val="30"/>
          <w:szCs w:val="30"/>
        </w:rPr>
        <w:t>竣工试验：是指在工程竣工验收前，根据第</w:t>
      </w:r>
      <w:r>
        <w:rPr>
          <w:sz w:val="30"/>
          <w:szCs w:val="30"/>
        </w:rPr>
        <w:t>9条</w:t>
      </w:r>
      <w:r>
        <w:rPr>
          <w:rFonts w:hint="eastAsia"/>
          <w:sz w:val="30"/>
          <w:szCs w:val="30"/>
        </w:rPr>
        <w:t>[竣工试验]要求进行的试验。</w:t>
      </w:r>
    </w:p>
    <w:p w14:paraId="09DE5B46">
      <w:pPr>
        <w:pStyle w:val="995"/>
        <w:numPr>
          <w:ilvl w:val="0"/>
          <w:numId w:val="0"/>
        </w:numPr>
        <w:rPr>
          <w:sz w:val="30"/>
          <w:szCs w:val="30"/>
        </w:rPr>
      </w:pPr>
      <w:r>
        <w:rPr>
          <w:rFonts w:hint="eastAsia"/>
          <w:sz w:val="30"/>
          <w:szCs w:val="30"/>
        </w:rPr>
        <w:t>1</w:t>
      </w:r>
      <w:r>
        <w:rPr>
          <w:sz w:val="30"/>
          <w:szCs w:val="30"/>
        </w:rPr>
        <w:t xml:space="preserve">.1.4.11 </w:t>
      </w:r>
      <w:r>
        <w:rPr>
          <w:rFonts w:hint="eastAsia"/>
          <w:sz w:val="30"/>
          <w:szCs w:val="30"/>
        </w:rPr>
        <w:t>竣工验收：是指承包人完成了合同约定的各项内容后，发包人按合同要求进行的验收。</w:t>
      </w:r>
    </w:p>
    <w:p w14:paraId="5D6C3F67">
      <w:pPr>
        <w:pStyle w:val="995"/>
        <w:numPr>
          <w:ilvl w:val="0"/>
          <w:numId w:val="0"/>
        </w:numPr>
        <w:rPr>
          <w:sz w:val="30"/>
          <w:szCs w:val="30"/>
        </w:rPr>
      </w:pPr>
      <w:r>
        <w:rPr>
          <w:rFonts w:hint="eastAsia"/>
          <w:sz w:val="30"/>
          <w:szCs w:val="30"/>
        </w:rPr>
        <w:t>1</w:t>
      </w:r>
      <w:r>
        <w:rPr>
          <w:sz w:val="30"/>
          <w:szCs w:val="30"/>
        </w:rPr>
        <w:t xml:space="preserve">.1.4.12 </w:t>
      </w:r>
      <w:r>
        <w:rPr>
          <w:rFonts w:hint="eastAsia"/>
          <w:sz w:val="30"/>
          <w:szCs w:val="30"/>
        </w:rPr>
        <w:t>竣工后试验：是指在工程竣工验收后，根据第</w:t>
      </w:r>
      <w:r>
        <w:rPr>
          <w:sz w:val="30"/>
          <w:szCs w:val="30"/>
        </w:rPr>
        <w:t>12条</w:t>
      </w:r>
      <w:r>
        <w:rPr>
          <w:rFonts w:hint="eastAsia"/>
          <w:sz w:val="30"/>
          <w:szCs w:val="30"/>
        </w:rPr>
        <w:t>[竣工后试验]约定进行的试验。</w:t>
      </w:r>
    </w:p>
    <w:p w14:paraId="7DFB250D">
      <w:pPr>
        <w:pStyle w:val="994"/>
        <w:numPr>
          <w:ilvl w:val="0"/>
          <w:numId w:val="0"/>
        </w:numPr>
        <w:rPr>
          <w:sz w:val="30"/>
          <w:szCs w:val="30"/>
        </w:rPr>
      </w:pPr>
      <w:r>
        <w:rPr>
          <w:rFonts w:hint="eastAsia"/>
          <w:sz w:val="30"/>
          <w:szCs w:val="30"/>
        </w:rPr>
        <w:t>1</w:t>
      </w:r>
      <w:r>
        <w:rPr>
          <w:sz w:val="30"/>
          <w:szCs w:val="30"/>
        </w:rPr>
        <w:t xml:space="preserve">.1.5 </w:t>
      </w:r>
      <w:r>
        <w:rPr>
          <w:rFonts w:hint="eastAsia"/>
          <w:sz w:val="30"/>
          <w:szCs w:val="30"/>
        </w:rPr>
        <w:t>合同价格和费用</w:t>
      </w:r>
    </w:p>
    <w:p w14:paraId="6C05D7D6">
      <w:pPr>
        <w:pStyle w:val="995"/>
        <w:numPr>
          <w:ilvl w:val="0"/>
          <w:numId w:val="0"/>
        </w:numPr>
        <w:rPr>
          <w:sz w:val="30"/>
          <w:szCs w:val="30"/>
        </w:rPr>
      </w:pPr>
      <w:r>
        <w:rPr>
          <w:rFonts w:hint="eastAsia"/>
          <w:sz w:val="30"/>
          <w:szCs w:val="30"/>
        </w:rPr>
        <w:t>1</w:t>
      </w:r>
      <w:r>
        <w:rPr>
          <w:sz w:val="30"/>
          <w:szCs w:val="30"/>
        </w:rPr>
        <w:t xml:space="preserve">.1.5.1 </w:t>
      </w:r>
      <w:r>
        <w:rPr>
          <w:rFonts w:hint="eastAsia"/>
          <w:sz w:val="30"/>
          <w:szCs w:val="30"/>
        </w:rPr>
        <w:t>签约合同价：是指发包人和承包人在合同协议书中确定的总金额，包括暂估价及暂列金额等。</w:t>
      </w:r>
    </w:p>
    <w:p w14:paraId="1012A53B">
      <w:pPr>
        <w:pStyle w:val="995"/>
        <w:numPr>
          <w:ilvl w:val="0"/>
          <w:numId w:val="0"/>
        </w:numPr>
        <w:rPr>
          <w:sz w:val="30"/>
          <w:szCs w:val="30"/>
        </w:rPr>
      </w:pPr>
      <w:r>
        <w:rPr>
          <w:rFonts w:hint="eastAsia"/>
          <w:sz w:val="30"/>
          <w:szCs w:val="30"/>
        </w:rPr>
        <w:t>1</w:t>
      </w:r>
      <w:r>
        <w:rPr>
          <w:sz w:val="30"/>
          <w:szCs w:val="30"/>
        </w:rPr>
        <w:t xml:space="preserve">.1.5.2 </w:t>
      </w:r>
      <w:r>
        <w:rPr>
          <w:rFonts w:hint="eastAsia"/>
          <w:sz w:val="30"/>
          <w:szCs w:val="30"/>
        </w:rPr>
        <w:t>合同价格：是指发包人用于支付承包人按照合同约定完成承包范围内全部工作的金额，包括合同履行过程中按合同约定发生的价格变化。</w:t>
      </w:r>
    </w:p>
    <w:p w14:paraId="073FD281">
      <w:pPr>
        <w:pStyle w:val="995"/>
        <w:numPr>
          <w:ilvl w:val="0"/>
          <w:numId w:val="0"/>
        </w:numPr>
        <w:rPr>
          <w:sz w:val="30"/>
          <w:szCs w:val="30"/>
        </w:rPr>
      </w:pPr>
      <w:r>
        <w:rPr>
          <w:rFonts w:hint="eastAsia"/>
          <w:sz w:val="30"/>
          <w:szCs w:val="30"/>
        </w:rPr>
        <w:t>1</w:t>
      </w:r>
      <w:r>
        <w:rPr>
          <w:sz w:val="30"/>
          <w:szCs w:val="30"/>
        </w:rPr>
        <w:t xml:space="preserve">.1.5.3 </w:t>
      </w:r>
      <w:r>
        <w:rPr>
          <w:rFonts w:hint="eastAsia"/>
          <w:sz w:val="30"/>
          <w:szCs w:val="30"/>
        </w:rPr>
        <w:t>费用：是指为履行合同所发生的或将要发生的所有合理开支，包括管理费和应分摊的其他费用，但不包括利润。</w:t>
      </w:r>
    </w:p>
    <w:p w14:paraId="7EA09FF7">
      <w:pPr>
        <w:pStyle w:val="995"/>
        <w:numPr>
          <w:ilvl w:val="0"/>
          <w:numId w:val="0"/>
        </w:numPr>
        <w:rPr>
          <w:sz w:val="30"/>
          <w:szCs w:val="30"/>
        </w:rPr>
      </w:pPr>
      <w:r>
        <w:rPr>
          <w:rFonts w:hint="eastAsia"/>
          <w:sz w:val="30"/>
          <w:szCs w:val="30"/>
        </w:rPr>
        <w:t>1</w:t>
      </w:r>
      <w:r>
        <w:rPr>
          <w:sz w:val="30"/>
          <w:szCs w:val="30"/>
        </w:rPr>
        <w:t xml:space="preserve">.1.5.4 </w:t>
      </w:r>
      <w:r>
        <w:rPr>
          <w:rFonts w:hint="eastAsia"/>
          <w:sz w:val="30"/>
          <w:szCs w:val="30"/>
        </w:rPr>
        <w:t>人工费：是指支付给直接从事建筑安装工程施工作业的建筑工人的各项费用。</w:t>
      </w:r>
    </w:p>
    <w:p w14:paraId="79F14F5B">
      <w:pPr>
        <w:pStyle w:val="995"/>
        <w:numPr>
          <w:ilvl w:val="0"/>
          <w:numId w:val="0"/>
        </w:numPr>
        <w:rPr>
          <w:sz w:val="30"/>
          <w:szCs w:val="30"/>
        </w:rPr>
      </w:pPr>
      <w:r>
        <w:rPr>
          <w:rFonts w:hint="eastAsia"/>
          <w:sz w:val="30"/>
          <w:szCs w:val="30"/>
        </w:rPr>
        <w:t>1</w:t>
      </w:r>
      <w:r>
        <w:rPr>
          <w:sz w:val="30"/>
          <w:szCs w:val="30"/>
        </w:rPr>
        <w:t xml:space="preserve">.1.5.5 </w:t>
      </w:r>
      <w:r>
        <w:rPr>
          <w:rFonts w:hint="eastAsia"/>
          <w:sz w:val="30"/>
          <w:szCs w:val="30"/>
        </w:rPr>
        <w:t>暂估价：</w:t>
      </w:r>
      <w:bookmarkStart w:id="39" w:name="_Hlk18973781"/>
      <w:r>
        <w:rPr>
          <w:rFonts w:hint="eastAsia"/>
          <w:sz w:val="30"/>
          <w:szCs w:val="30"/>
        </w:rPr>
        <w:t>是指发包人在项目清单中给定的，用于支付必然发生但暂时不能确定价格的专业服务、材料、设备、专业工程的金额。</w:t>
      </w:r>
      <w:bookmarkEnd w:id="39"/>
    </w:p>
    <w:p w14:paraId="02FE82A4">
      <w:pPr>
        <w:pStyle w:val="995"/>
        <w:numPr>
          <w:ilvl w:val="0"/>
          <w:numId w:val="0"/>
        </w:numPr>
        <w:rPr>
          <w:sz w:val="30"/>
          <w:szCs w:val="30"/>
        </w:rPr>
      </w:pPr>
      <w:r>
        <w:rPr>
          <w:rFonts w:hint="eastAsia"/>
          <w:sz w:val="30"/>
          <w:szCs w:val="30"/>
        </w:rPr>
        <w:t>1</w:t>
      </w:r>
      <w:r>
        <w:rPr>
          <w:sz w:val="30"/>
          <w:szCs w:val="30"/>
        </w:rPr>
        <w:t xml:space="preserve">.1.5.6 </w:t>
      </w:r>
      <w:r>
        <w:rPr>
          <w:rFonts w:hint="eastAsia"/>
          <w:sz w:val="30"/>
          <w:szCs w:val="30"/>
        </w:rPr>
        <w:t>暂列金额：是指发包人在项目清单中给定的，用于在订立协议书时尚未确定或不可预见变更的设计、施工及其所需材料、工程设备、服务等的金额，包括以计日工方式支付的金额。</w:t>
      </w:r>
    </w:p>
    <w:p w14:paraId="6AFA7F8D">
      <w:pPr>
        <w:pStyle w:val="995"/>
        <w:numPr>
          <w:ilvl w:val="0"/>
          <w:numId w:val="0"/>
        </w:numPr>
        <w:rPr>
          <w:sz w:val="30"/>
          <w:szCs w:val="30"/>
        </w:rPr>
      </w:pPr>
      <w:r>
        <w:rPr>
          <w:rFonts w:hint="eastAsia"/>
          <w:sz w:val="30"/>
          <w:szCs w:val="30"/>
        </w:rPr>
        <w:t>1</w:t>
      </w:r>
      <w:r>
        <w:rPr>
          <w:sz w:val="30"/>
          <w:szCs w:val="30"/>
        </w:rPr>
        <w:t xml:space="preserve">.1.5.7 </w:t>
      </w:r>
      <w:r>
        <w:rPr>
          <w:rFonts w:hint="eastAsia"/>
          <w:sz w:val="30"/>
          <w:szCs w:val="30"/>
        </w:rPr>
        <w:t>计日工：是指合同履行过程中，承包人完成发包人提出的零星工作或需要采用计日工计价的变更工作时，按合同中约定的单价计价的一种方式。</w:t>
      </w:r>
    </w:p>
    <w:p w14:paraId="0C7AA78C">
      <w:pPr>
        <w:pStyle w:val="995"/>
        <w:numPr>
          <w:ilvl w:val="0"/>
          <w:numId w:val="0"/>
        </w:numPr>
        <w:rPr>
          <w:sz w:val="30"/>
          <w:szCs w:val="30"/>
        </w:rPr>
      </w:pPr>
      <w:r>
        <w:rPr>
          <w:rFonts w:hint="eastAsia"/>
          <w:sz w:val="30"/>
          <w:szCs w:val="30"/>
        </w:rPr>
        <w:t>1</w:t>
      </w:r>
      <w:r>
        <w:rPr>
          <w:sz w:val="30"/>
          <w:szCs w:val="30"/>
        </w:rPr>
        <w:t xml:space="preserve">.1.5.8 </w:t>
      </w:r>
      <w:r>
        <w:rPr>
          <w:rFonts w:hint="eastAsia"/>
          <w:sz w:val="30"/>
          <w:szCs w:val="30"/>
        </w:rPr>
        <w:t>质量保证金：是指按第</w:t>
      </w:r>
      <w:r>
        <w:rPr>
          <w:sz w:val="30"/>
          <w:szCs w:val="30"/>
        </w:rPr>
        <w:t>14.6</w:t>
      </w:r>
      <w:r>
        <w:rPr>
          <w:rFonts w:hint="eastAsia"/>
          <w:sz w:val="30"/>
          <w:szCs w:val="30"/>
        </w:rPr>
        <w:t>款[质量保证金]约定承包人用于保证其在缺陷责任期内履行缺陷修复义务的担保。</w:t>
      </w:r>
    </w:p>
    <w:p w14:paraId="2EFFB149">
      <w:pPr>
        <w:pStyle w:val="994"/>
        <w:numPr>
          <w:ilvl w:val="0"/>
          <w:numId w:val="0"/>
        </w:numPr>
        <w:rPr>
          <w:sz w:val="30"/>
          <w:szCs w:val="30"/>
        </w:rPr>
      </w:pPr>
      <w:r>
        <w:rPr>
          <w:rFonts w:hint="eastAsia"/>
          <w:sz w:val="30"/>
          <w:szCs w:val="30"/>
        </w:rPr>
        <w:t>1</w:t>
      </w:r>
      <w:r>
        <w:rPr>
          <w:sz w:val="30"/>
          <w:szCs w:val="30"/>
        </w:rPr>
        <w:t xml:space="preserve">.1.6 </w:t>
      </w:r>
      <w:r>
        <w:rPr>
          <w:rFonts w:hint="eastAsia"/>
          <w:sz w:val="30"/>
          <w:szCs w:val="30"/>
        </w:rPr>
        <w:t>其他</w:t>
      </w:r>
    </w:p>
    <w:p w14:paraId="3CD8EFE4">
      <w:pPr>
        <w:pStyle w:val="995"/>
        <w:numPr>
          <w:ilvl w:val="0"/>
          <w:numId w:val="0"/>
        </w:numPr>
        <w:rPr>
          <w:sz w:val="30"/>
          <w:szCs w:val="30"/>
        </w:rPr>
      </w:pPr>
      <w:r>
        <w:rPr>
          <w:rFonts w:hint="eastAsia"/>
          <w:sz w:val="30"/>
          <w:szCs w:val="30"/>
        </w:rPr>
        <w:t>1</w:t>
      </w:r>
      <w:r>
        <w:rPr>
          <w:sz w:val="30"/>
          <w:szCs w:val="30"/>
        </w:rPr>
        <w:t xml:space="preserve">.1.6.1 </w:t>
      </w:r>
      <w:r>
        <w:rPr>
          <w:rFonts w:hint="eastAsia"/>
          <w:sz w:val="30"/>
          <w:szCs w:val="30"/>
        </w:rPr>
        <w:t>书面形式：指合同文件、信函、电报、传真、数据电文、电子邮件、会议纪要等可以有形地表现所载内容的形式。</w:t>
      </w:r>
    </w:p>
    <w:p w14:paraId="68AD4E1F">
      <w:pPr>
        <w:pStyle w:val="995"/>
        <w:numPr>
          <w:ilvl w:val="0"/>
          <w:numId w:val="0"/>
        </w:numPr>
        <w:rPr>
          <w:sz w:val="30"/>
          <w:szCs w:val="30"/>
        </w:rPr>
      </w:pPr>
      <w:r>
        <w:rPr>
          <w:rFonts w:hint="eastAsia"/>
          <w:sz w:val="30"/>
          <w:szCs w:val="30"/>
        </w:rPr>
        <w:t>1</w:t>
      </w:r>
      <w:r>
        <w:rPr>
          <w:sz w:val="30"/>
          <w:szCs w:val="30"/>
        </w:rPr>
        <w:t xml:space="preserve">.1.6.2 </w:t>
      </w:r>
      <w:r>
        <w:rPr>
          <w:rFonts w:hint="eastAsia"/>
          <w:sz w:val="30"/>
          <w:szCs w:val="30"/>
        </w:rPr>
        <w:t>承包人文件：指由承包人根据合同约定应提交的所有图纸、手册、模型、计算书、软件、函件、洽商性文件和其他技术性文件。</w:t>
      </w:r>
    </w:p>
    <w:p w14:paraId="13EADDA0">
      <w:pPr>
        <w:pStyle w:val="995"/>
        <w:numPr>
          <w:ilvl w:val="0"/>
          <w:numId w:val="0"/>
        </w:numPr>
        <w:rPr>
          <w:sz w:val="30"/>
          <w:szCs w:val="30"/>
        </w:rPr>
      </w:pPr>
      <w:r>
        <w:rPr>
          <w:rFonts w:hint="eastAsia"/>
          <w:sz w:val="30"/>
          <w:szCs w:val="30"/>
        </w:rPr>
        <w:t>1</w:t>
      </w:r>
      <w:r>
        <w:rPr>
          <w:sz w:val="30"/>
          <w:szCs w:val="30"/>
        </w:rPr>
        <w:t xml:space="preserve">.1.6.3 </w:t>
      </w:r>
      <w:r>
        <w:rPr>
          <w:rFonts w:hint="eastAsia"/>
          <w:sz w:val="30"/>
          <w:szCs w:val="30"/>
        </w:rPr>
        <w:t>变更：指根据第</w:t>
      </w:r>
      <w:r>
        <w:rPr>
          <w:sz w:val="30"/>
          <w:szCs w:val="30"/>
        </w:rPr>
        <w:t>13条</w:t>
      </w:r>
      <w:r>
        <w:rPr>
          <w:rFonts w:hint="eastAsia"/>
          <w:sz w:val="30"/>
          <w:szCs w:val="30"/>
        </w:rPr>
        <w:t>[变更与调整]的约定，经指示或批准对《发包人要求》或工程所做的改变。</w:t>
      </w:r>
    </w:p>
    <w:bookmarkEnd w:id="29"/>
    <w:p w14:paraId="47FA70CE">
      <w:pPr>
        <w:pStyle w:val="969"/>
        <w:widowControl/>
        <w:numPr>
          <w:ilvl w:val="0"/>
          <w:numId w:val="0"/>
        </w:numPr>
        <w:rPr>
          <w:rFonts w:ascii="宋体" w:hAnsi="宋体" w:eastAsia="宋体"/>
          <w:b w:val="0"/>
          <w:bCs/>
          <w:sz w:val="30"/>
          <w:szCs w:val="30"/>
        </w:rPr>
      </w:pPr>
      <w:bookmarkStart w:id="40" w:name="_Ref509042101"/>
      <w:bookmarkStart w:id="41" w:name="_Ref509042104"/>
      <w:bookmarkStart w:id="42" w:name="_Toc54862179"/>
      <w:bookmarkStart w:id="43" w:name="_Ref522730353"/>
      <w:bookmarkStart w:id="44" w:name="_Ref522730349"/>
      <w:r>
        <w:rPr>
          <w:rFonts w:hint="eastAsia" w:ascii="宋体" w:hAnsi="宋体" w:eastAsia="宋体"/>
          <w:b w:val="0"/>
          <w:bCs/>
          <w:sz w:val="30"/>
          <w:szCs w:val="30"/>
        </w:rPr>
        <w:t>1</w:t>
      </w:r>
      <w:r>
        <w:rPr>
          <w:rFonts w:ascii="宋体" w:hAnsi="宋体" w:eastAsia="宋体"/>
          <w:b w:val="0"/>
          <w:bCs/>
          <w:sz w:val="30"/>
          <w:szCs w:val="30"/>
        </w:rPr>
        <w:t>.2 语言文字</w:t>
      </w:r>
      <w:bookmarkEnd w:id="40"/>
      <w:bookmarkEnd w:id="41"/>
      <w:bookmarkEnd w:id="42"/>
    </w:p>
    <w:p w14:paraId="7FAB954B">
      <w:pPr>
        <w:ind w:firstLine="600"/>
        <w:rPr>
          <w:rFonts w:ascii="宋体" w:hAnsi="宋体"/>
          <w:sz w:val="30"/>
          <w:szCs w:val="30"/>
        </w:rPr>
      </w:pPr>
      <w:r>
        <w:rPr>
          <w:rFonts w:hint="eastAsia" w:ascii="宋体" w:hAnsi="宋体"/>
          <w:sz w:val="30"/>
          <w:szCs w:val="30"/>
        </w:rPr>
        <w:t>合同文件以中国的汉语简体语言文字编写、解释和说明。专用术语使用外文的，应附有中文注释。合同当事人在专用合同条件约定使用两种及以上语言时，汉语为优先解释和说明合同的语言。</w:t>
      </w:r>
    </w:p>
    <w:p w14:paraId="495DF2EC">
      <w:pPr>
        <w:ind w:firstLine="600"/>
        <w:rPr>
          <w:rFonts w:ascii="宋体" w:hAnsi="宋体"/>
          <w:sz w:val="30"/>
          <w:szCs w:val="30"/>
        </w:rPr>
      </w:pPr>
      <w:r>
        <w:rPr>
          <w:rFonts w:hint="eastAsia" w:ascii="宋体" w:hAnsi="宋体"/>
          <w:sz w:val="30"/>
          <w:szCs w:val="30"/>
        </w:rPr>
        <w:t>与合同有关的联络应使用专用合同条件约定的语言。如没有约定，则应使用中国的汉语简体语言文字。</w:t>
      </w:r>
    </w:p>
    <w:p w14:paraId="35C4376B">
      <w:pPr>
        <w:pStyle w:val="969"/>
        <w:widowControl/>
        <w:numPr>
          <w:ilvl w:val="0"/>
          <w:numId w:val="0"/>
        </w:numPr>
        <w:rPr>
          <w:rFonts w:ascii="宋体" w:hAnsi="宋体" w:eastAsia="宋体"/>
          <w:b w:val="0"/>
          <w:bCs/>
          <w:sz w:val="30"/>
          <w:szCs w:val="30"/>
        </w:rPr>
      </w:pPr>
      <w:bookmarkStart w:id="45" w:name="_Ref531949543"/>
      <w:bookmarkStart w:id="46" w:name="_Ref531949539"/>
      <w:bookmarkStart w:id="47" w:name="_Toc54862180"/>
      <w:r>
        <w:rPr>
          <w:rFonts w:hint="eastAsia" w:ascii="宋体" w:hAnsi="宋体" w:eastAsia="宋体"/>
          <w:b w:val="0"/>
          <w:bCs/>
          <w:sz w:val="30"/>
          <w:szCs w:val="30"/>
        </w:rPr>
        <w:t>1</w:t>
      </w:r>
      <w:r>
        <w:rPr>
          <w:rFonts w:ascii="宋体" w:hAnsi="宋体" w:eastAsia="宋体"/>
          <w:b w:val="0"/>
          <w:bCs/>
          <w:sz w:val="30"/>
          <w:szCs w:val="30"/>
        </w:rPr>
        <w:t xml:space="preserve">.3 </w:t>
      </w:r>
      <w:r>
        <w:rPr>
          <w:rFonts w:hint="eastAsia" w:ascii="宋体" w:hAnsi="宋体" w:eastAsia="宋体"/>
          <w:b w:val="0"/>
          <w:bCs/>
          <w:sz w:val="30"/>
          <w:szCs w:val="30"/>
        </w:rPr>
        <w:t>法律</w:t>
      </w:r>
      <w:bookmarkEnd w:id="45"/>
      <w:bookmarkEnd w:id="46"/>
      <w:bookmarkEnd w:id="47"/>
    </w:p>
    <w:p w14:paraId="20336BD9">
      <w:pPr>
        <w:ind w:firstLine="600"/>
        <w:rPr>
          <w:rFonts w:ascii="宋体" w:hAnsi="宋体"/>
          <w:sz w:val="30"/>
          <w:szCs w:val="30"/>
        </w:rPr>
      </w:pPr>
      <w:r>
        <w:rPr>
          <w:rFonts w:hint="eastAsia" w:ascii="宋体" w:hAnsi="宋体"/>
          <w:sz w:val="30"/>
          <w:szCs w:val="30"/>
        </w:rPr>
        <w:t>合同所称法律是指</w:t>
      </w:r>
      <w:r>
        <w:rPr>
          <w:rFonts w:ascii="宋体" w:hAnsi="宋体"/>
          <w:sz w:val="30"/>
          <w:szCs w:val="30"/>
        </w:rPr>
        <w:t>中华人民共和国法律、行政法规、部门规章</w:t>
      </w:r>
      <w:r>
        <w:rPr>
          <w:rFonts w:hint="eastAsia" w:ascii="宋体" w:hAnsi="宋体"/>
          <w:sz w:val="30"/>
          <w:szCs w:val="30"/>
        </w:rPr>
        <w:t>，</w:t>
      </w:r>
      <w:r>
        <w:rPr>
          <w:rFonts w:ascii="宋体" w:hAnsi="宋体"/>
          <w:sz w:val="30"/>
          <w:szCs w:val="30"/>
        </w:rPr>
        <w:t>以及工程所在地的地方法规、自治条例、单行条例和地方政府规章</w:t>
      </w:r>
      <w:r>
        <w:rPr>
          <w:rFonts w:hint="eastAsia" w:ascii="宋体" w:hAnsi="宋体"/>
          <w:sz w:val="30"/>
          <w:szCs w:val="30"/>
        </w:rPr>
        <w:t>等。</w:t>
      </w:r>
    </w:p>
    <w:p w14:paraId="11150D57">
      <w:pPr>
        <w:ind w:firstLine="600"/>
        <w:rPr>
          <w:rFonts w:ascii="宋体" w:hAnsi="宋体"/>
          <w:sz w:val="30"/>
          <w:szCs w:val="30"/>
        </w:rPr>
      </w:pPr>
      <w:r>
        <w:rPr>
          <w:rFonts w:ascii="宋体" w:hAnsi="宋体"/>
          <w:sz w:val="30"/>
          <w:szCs w:val="30"/>
        </w:rPr>
        <w:t>合同当事人可以在专用合同条件中约定合同适用的其他规范性文件</w:t>
      </w:r>
      <w:r>
        <w:rPr>
          <w:rFonts w:hint="eastAsia" w:ascii="宋体" w:hAnsi="宋体"/>
          <w:sz w:val="30"/>
          <w:szCs w:val="30"/>
        </w:rPr>
        <w:t>。</w:t>
      </w:r>
    </w:p>
    <w:p w14:paraId="04AC72A7">
      <w:pPr>
        <w:pStyle w:val="969"/>
        <w:widowControl/>
        <w:numPr>
          <w:ilvl w:val="0"/>
          <w:numId w:val="0"/>
        </w:numPr>
        <w:rPr>
          <w:rFonts w:ascii="宋体" w:hAnsi="宋体" w:eastAsia="宋体"/>
          <w:b w:val="0"/>
          <w:bCs/>
          <w:sz w:val="30"/>
          <w:szCs w:val="30"/>
        </w:rPr>
      </w:pPr>
      <w:bookmarkStart w:id="48" w:name="_Ref531949589"/>
      <w:bookmarkStart w:id="49" w:name="_Ref531949594"/>
      <w:bookmarkStart w:id="50" w:name="_Toc54862181"/>
      <w:r>
        <w:rPr>
          <w:rFonts w:hint="eastAsia" w:ascii="宋体" w:hAnsi="宋体" w:eastAsia="宋体"/>
          <w:b w:val="0"/>
          <w:bCs/>
          <w:sz w:val="30"/>
          <w:szCs w:val="30"/>
        </w:rPr>
        <w:t>1</w:t>
      </w:r>
      <w:r>
        <w:rPr>
          <w:rFonts w:ascii="宋体" w:hAnsi="宋体" w:eastAsia="宋体"/>
          <w:b w:val="0"/>
          <w:bCs/>
          <w:sz w:val="30"/>
          <w:szCs w:val="30"/>
        </w:rPr>
        <w:t xml:space="preserve">.4 </w:t>
      </w:r>
      <w:r>
        <w:rPr>
          <w:rFonts w:hint="eastAsia" w:ascii="宋体" w:hAnsi="宋体" w:eastAsia="宋体"/>
          <w:b w:val="0"/>
          <w:bCs/>
          <w:sz w:val="30"/>
          <w:szCs w:val="30"/>
        </w:rPr>
        <w:t>标准和规范</w:t>
      </w:r>
      <w:bookmarkEnd w:id="48"/>
      <w:bookmarkEnd w:id="49"/>
      <w:bookmarkEnd w:id="50"/>
    </w:p>
    <w:p w14:paraId="48750B7B">
      <w:pPr>
        <w:pStyle w:val="994"/>
        <w:numPr>
          <w:ilvl w:val="0"/>
          <w:numId w:val="0"/>
        </w:numPr>
        <w:rPr>
          <w:sz w:val="30"/>
          <w:szCs w:val="30"/>
        </w:rPr>
      </w:pPr>
      <w:bookmarkStart w:id="51" w:name="_Ref4420991"/>
      <w:r>
        <w:rPr>
          <w:rFonts w:hint="eastAsia"/>
          <w:sz w:val="30"/>
          <w:szCs w:val="30"/>
        </w:rPr>
        <w:t>1</w:t>
      </w:r>
      <w:r>
        <w:rPr>
          <w:sz w:val="30"/>
          <w:szCs w:val="30"/>
        </w:rPr>
        <w:t xml:space="preserve">.4.1 </w:t>
      </w:r>
      <w:r>
        <w:rPr>
          <w:rFonts w:hint="eastAsia"/>
          <w:sz w:val="30"/>
          <w:szCs w:val="30"/>
        </w:rPr>
        <w:t>适用于工程的国家标准、行业标准、工程所在地的地方性标准，以及相应的规范、规程等，合同当事人有特别要求的，应在专用合同条件中约定。</w:t>
      </w:r>
      <w:bookmarkEnd w:id="51"/>
    </w:p>
    <w:p w14:paraId="733E37B7">
      <w:pPr>
        <w:pStyle w:val="994"/>
        <w:numPr>
          <w:ilvl w:val="0"/>
          <w:numId w:val="0"/>
        </w:numPr>
        <w:rPr>
          <w:sz w:val="30"/>
          <w:szCs w:val="30"/>
        </w:rPr>
      </w:pPr>
      <w:bookmarkStart w:id="52" w:name="_Ref531949642"/>
      <w:r>
        <w:rPr>
          <w:rFonts w:hint="eastAsia"/>
          <w:sz w:val="30"/>
          <w:szCs w:val="30"/>
        </w:rPr>
        <w:t>1</w:t>
      </w:r>
      <w:r>
        <w:rPr>
          <w:sz w:val="30"/>
          <w:szCs w:val="30"/>
        </w:rPr>
        <w:t xml:space="preserve">.4.2 </w:t>
      </w:r>
      <w:r>
        <w:rPr>
          <w:rFonts w:hint="eastAsia"/>
          <w:sz w:val="30"/>
          <w:szCs w:val="30"/>
        </w:rPr>
        <w:t>发包人要求使用国外标准、规范的，发包人负责提供原文版本和中文译本，并在专用合同条件中约定提供标准规范的名称、份数和时间。</w:t>
      </w:r>
      <w:bookmarkEnd w:id="52"/>
    </w:p>
    <w:p w14:paraId="4E5E3BDE">
      <w:pPr>
        <w:pStyle w:val="994"/>
        <w:numPr>
          <w:ilvl w:val="0"/>
          <w:numId w:val="0"/>
        </w:numPr>
        <w:rPr>
          <w:sz w:val="30"/>
          <w:szCs w:val="30"/>
        </w:rPr>
      </w:pPr>
      <w:bookmarkStart w:id="53" w:name="_Ref531949657"/>
      <w:r>
        <w:rPr>
          <w:rFonts w:hint="eastAsia"/>
          <w:sz w:val="30"/>
          <w:szCs w:val="30"/>
        </w:rPr>
        <w:t>1</w:t>
      </w:r>
      <w:r>
        <w:rPr>
          <w:sz w:val="30"/>
          <w:szCs w:val="30"/>
        </w:rPr>
        <w:t xml:space="preserve">.4.3 </w:t>
      </w:r>
      <w:r>
        <w:rPr>
          <w:rFonts w:hint="eastAsia"/>
          <w:sz w:val="30"/>
          <w:szCs w:val="30"/>
        </w:rPr>
        <w:t>没有相应成文规定的标准、规范时，由发包人在专用合同条件中约定的时间向承包人列明技术要求，承包人按约定的时间和技术要求提出实施方法，经发包人认可后执行。承包人需要对实施方法进行研发试验的，或须对项目人员进行特殊培训及其有特殊要求的，除签约合同价已包含此项费用外，双方应另行订立协议作为合同附件，其费用由发包人承担。</w:t>
      </w:r>
      <w:bookmarkEnd w:id="53"/>
    </w:p>
    <w:p w14:paraId="3984076D">
      <w:pPr>
        <w:pStyle w:val="994"/>
        <w:numPr>
          <w:ilvl w:val="0"/>
          <w:numId w:val="0"/>
        </w:numPr>
        <w:rPr>
          <w:sz w:val="30"/>
          <w:szCs w:val="30"/>
        </w:rPr>
      </w:pPr>
      <w:bookmarkStart w:id="54" w:name="_Ref4421272"/>
      <w:r>
        <w:rPr>
          <w:rFonts w:hint="eastAsia"/>
          <w:sz w:val="30"/>
          <w:szCs w:val="30"/>
        </w:rPr>
        <w:t>1</w:t>
      </w:r>
      <w:r>
        <w:rPr>
          <w:sz w:val="30"/>
          <w:szCs w:val="30"/>
        </w:rPr>
        <w:t xml:space="preserve">.4.4 </w:t>
      </w:r>
      <w:r>
        <w:rPr>
          <w:rFonts w:hint="eastAsia"/>
          <w:sz w:val="30"/>
          <w:szCs w:val="30"/>
        </w:rPr>
        <w:t>发包人对于工程的技术标准、功能要求高于或严于现行国家、行业或地方标准的，应当在《发包人要求》中予以明确。除专用合同条件另有约定外，应视为承包人在订立合同前已充分预见前述技术标准和功能要求的复杂程度，签约合同价中已包含由此产生的费用。</w:t>
      </w:r>
      <w:bookmarkEnd w:id="54"/>
    </w:p>
    <w:p w14:paraId="60826F2E">
      <w:pPr>
        <w:pStyle w:val="969"/>
        <w:widowControl/>
        <w:numPr>
          <w:ilvl w:val="0"/>
          <w:numId w:val="0"/>
        </w:numPr>
        <w:rPr>
          <w:rFonts w:ascii="宋体" w:hAnsi="宋体" w:eastAsia="宋体"/>
          <w:b w:val="0"/>
          <w:bCs/>
          <w:sz w:val="30"/>
          <w:szCs w:val="30"/>
        </w:rPr>
      </w:pPr>
      <w:bookmarkStart w:id="55" w:name="_Toc54862182"/>
      <w:bookmarkStart w:id="56" w:name="_Ref4421717"/>
      <w:r>
        <w:rPr>
          <w:rFonts w:hint="eastAsia" w:ascii="宋体" w:hAnsi="宋体" w:eastAsia="宋体"/>
          <w:b w:val="0"/>
          <w:bCs/>
          <w:sz w:val="30"/>
          <w:szCs w:val="30"/>
        </w:rPr>
        <w:t>1</w:t>
      </w:r>
      <w:r>
        <w:rPr>
          <w:rFonts w:ascii="宋体" w:hAnsi="宋体" w:eastAsia="宋体"/>
          <w:b w:val="0"/>
          <w:bCs/>
          <w:sz w:val="30"/>
          <w:szCs w:val="30"/>
        </w:rPr>
        <w:t xml:space="preserve">.5 </w:t>
      </w:r>
      <w:r>
        <w:rPr>
          <w:rFonts w:hint="eastAsia" w:ascii="宋体" w:hAnsi="宋体" w:eastAsia="宋体"/>
          <w:b w:val="0"/>
          <w:bCs/>
          <w:sz w:val="30"/>
          <w:szCs w:val="30"/>
        </w:rPr>
        <w:t>合同文件的优先顺序</w:t>
      </w:r>
      <w:bookmarkEnd w:id="43"/>
      <w:bookmarkEnd w:id="44"/>
      <w:bookmarkEnd w:id="55"/>
      <w:bookmarkEnd w:id="56"/>
    </w:p>
    <w:p w14:paraId="15E03CB4">
      <w:pPr>
        <w:ind w:firstLine="600"/>
        <w:rPr>
          <w:rFonts w:ascii="宋体" w:hAnsi="宋体"/>
          <w:sz w:val="30"/>
          <w:szCs w:val="30"/>
        </w:rPr>
      </w:pPr>
      <w:bookmarkStart w:id="57" w:name="_Ref531948776"/>
      <w:r>
        <w:rPr>
          <w:rFonts w:hint="eastAsia" w:ascii="宋体" w:hAnsi="宋体"/>
          <w:sz w:val="30"/>
          <w:szCs w:val="30"/>
        </w:rPr>
        <w:t>组成合同的各项文件应互相解释，互为说明。除专用合同条件另有约定外，</w:t>
      </w:r>
      <w:bookmarkEnd w:id="57"/>
      <w:r>
        <w:rPr>
          <w:rFonts w:hint="eastAsia" w:ascii="宋体" w:hAnsi="宋体"/>
          <w:sz w:val="30"/>
          <w:szCs w:val="30"/>
        </w:rPr>
        <w:t>解释合同文件的优先顺序如下：</w:t>
      </w:r>
    </w:p>
    <w:p w14:paraId="2D368E3F">
      <w:pPr>
        <w:ind w:firstLine="600"/>
        <w:rPr>
          <w:rFonts w:ascii="宋体" w:hAnsi="宋体"/>
          <w:sz w:val="30"/>
          <w:szCs w:val="30"/>
        </w:rPr>
      </w:pPr>
      <w:r>
        <w:rPr>
          <w:rFonts w:hint="eastAsia" w:ascii="宋体" w:hAnsi="宋体"/>
          <w:sz w:val="30"/>
          <w:szCs w:val="30"/>
        </w:rPr>
        <w:t>（1） 合同协议书；</w:t>
      </w:r>
    </w:p>
    <w:p w14:paraId="4CFE1046">
      <w:pPr>
        <w:ind w:firstLine="600"/>
        <w:rPr>
          <w:rFonts w:ascii="宋体" w:hAnsi="宋体"/>
          <w:sz w:val="30"/>
          <w:szCs w:val="30"/>
        </w:rPr>
      </w:pPr>
      <w:r>
        <w:rPr>
          <w:rFonts w:hint="eastAsia" w:ascii="宋体" w:hAnsi="宋体"/>
          <w:sz w:val="30"/>
          <w:szCs w:val="30"/>
        </w:rPr>
        <w:t>（2） 中标通知书（如果有）；</w:t>
      </w:r>
    </w:p>
    <w:p w14:paraId="350F1F03">
      <w:pPr>
        <w:ind w:firstLine="600"/>
        <w:rPr>
          <w:rFonts w:ascii="宋体" w:hAnsi="宋体"/>
          <w:sz w:val="30"/>
          <w:szCs w:val="30"/>
        </w:rPr>
      </w:pPr>
      <w:r>
        <w:rPr>
          <w:rFonts w:hint="eastAsia" w:ascii="宋体" w:hAnsi="宋体"/>
          <w:sz w:val="30"/>
          <w:szCs w:val="30"/>
        </w:rPr>
        <w:t>（3） 投标函及投标函附录（如果有）；</w:t>
      </w:r>
    </w:p>
    <w:p w14:paraId="135814AC">
      <w:pPr>
        <w:ind w:firstLine="600"/>
        <w:rPr>
          <w:rFonts w:ascii="宋体" w:hAnsi="宋体"/>
          <w:sz w:val="30"/>
          <w:szCs w:val="30"/>
        </w:rPr>
      </w:pPr>
      <w:r>
        <w:rPr>
          <w:rFonts w:hint="eastAsia" w:ascii="宋体" w:hAnsi="宋体"/>
          <w:sz w:val="30"/>
          <w:szCs w:val="30"/>
        </w:rPr>
        <w:t>（4） 专用合同条件及《发包人要求》等附件；</w:t>
      </w:r>
    </w:p>
    <w:p w14:paraId="3911B619">
      <w:pPr>
        <w:ind w:firstLine="600"/>
        <w:rPr>
          <w:rFonts w:ascii="宋体" w:hAnsi="宋体"/>
          <w:sz w:val="30"/>
          <w:szCs w:val="30"/>
        </w:rPr>
      </w:pPr>
      <w:r>
        <w:rPr>
          <w:rFonts w:hint="eastAsia" w:ascii="宋体" w:hAnsi="宋体"/>
          <w:sz w:val="30"/>
          <w:szCs w:val="30"/>
        </w:rPr>
        <w:t>（5） 通用合同条件；</w:t>
      </w:r>
    </w:p>
    <w:p w14:paraId="0B770E80">
      <w:pPr>
        <w:ind w:firstLine="600"/>
        <w:rPr>
          <w:rFonts w:ascii="宋体" w:hAnsi="宋体"/>
          <w:sz w:val="30"/>
          <w:szCs w:val="30"/>
        </w:rPr>
      </w:pPr>
      <w:r>
        <w:rPr>
          <w:rFonts w:hint="eastAsia" w:ascii="宋体" w:hAnsi="宋体"/>
          <w:sz w:val="30"/>
          <w:szCs w:val="30"/>
        </w:rPr>
        <w:t xml:space="preserve">（6） 承包人建议书； </w:t>
      </w:r>
    </w:p>
    <w:p w14:paraId="521A4781">
      <w:pPr>
        <w:ind w:firstLine="600"/>
        <w:rPr>
          <w:rFonts w:ascii="宋体" w:hAnsi="宋体"/>
          <w:sz w:val="30"/>
          <w:szCs w:val="30"/>
        </w:rPr>
      </w:pPr>
      <w:r>
        <w:rPr>
          <w:rFonts w:hint="eastAsia" w:ascii="宋体" w:hAnsi="宋体"/>
          <w:sz w:val="30"/>
          <w:szCs w:val="30"/>
        </w:rPr>
        <w:t>（7） 价格清单；</w:t>
      </w:r>
    </w:p>
    <w:p w14:paraId="42ED0F61">
      <w:pPr>
        <w:ind w:firstLine="600"/>
        <w:rPr>
          <w:rFonts w:ascii="宋体" w:hAnsi="宋体"/>
          <w:sz w:val="30"/>
          <w:szCs w:val="30"/>
        </w:rPr>
      </w:pPr>
      <w:r>
        <w:rPr>
          <w:rFonts w:hint="eastAsia" w:ascii="宋体" w:hAnsi="宋体"/>
          <w:sz w:val="30"/>
          <w:szCs w:val="30"/>
        </w:rPr>
        <w:t>（8） 双方约定的其他合同文件。</w:t>
      </w:r>
    </w:p>
    <w:p w14:paraId="3EC1A18A">
      <w:pPr>
        <w:ind w:firstLine="600"/>
        <w:rPr>
          <w:rFonts w:ascii="宋体" w:hAnsi="宋体"/>
          <w:sz w:val="30"/>
          <w:szCs w:val="30"/>
        </w:rPr>
      </w:pPr>
      <w:bookmarkStart w:id="58" w:name="_Hlk18951547"/>
      <w:r>
        <w:rPr>
          <w:rFonts w:hint="eastAsia" w:ascii="宋体" w:hAnsi="宋体"/>
          <w:sz w:val="30"/>
          <w:szCs w:val="30"/>
        </w:rPr>
        <w:t>上述各项合同文件包括合同当事人就该项合同文件所作出的补充和修改，属于同一类内容的文件，应以最新签署的为准</w:t>
      </w:r>
      <w:bookmarkEnd w:id="58"/>
      <w:r>
        <w:rPr>
          <w:rFonts w:hint="eastAsia" w:ascii="宋体" w:hAnsi="宋体"/>
          <w:sz w:val="30"/>
          <w:szCs w:val="30"/>
        </w:rPr>
        <w:t>。</w:t>
      </w:r>
    </w:p>
    <w:p w14:paraId="62951D65">
      <w:pPr>
        <w:ind w:firstLine="600"/>
        <w:rPr>
          <w:rFonts w:ascii="宋体" w:hAnsi="宋体"/>
          <w:sz w:val="30"/>
          <w:szCs w:val="30"/>
        </w:rPr>
      </w:pPr>
      <w:r>
        <w:rPr>
          <w:rFonts w:hint="eastAsia" w:ascii="宋体" w:hAnsi="宋体"/>
          <w:sz w:val="30"/>
          <w:szCs w:val="30"/>
        </w:rPr>
        <w:t>在合同订立及履行过程中形成的与合同有关的文件均构成合同文件组成部分，并根据其性质确定优先解释顺序。</w:t>
      </w:r>
    </w:p>
    <w:p w14:paraId="40905812">
      <w:pPr>
        <w:pStyle w:val="969"/>
        <w:widowControl/>
        <w:numPr>
          <w:ilvl w:val="0"/>
          <w:numId w:val="0"/>
        </w:numPr>
        <w:rPr>
          <w:rFonts w:ascii="宋体" w:hAnsi="宋体" w:eastAsia="宋体"/>
          <w:b w:val="0"/>
          <w:bCs/>
          <w:sz w:val="30"/>
          <w:szCs w:val="30"/>
        </w:rPr>
      </w:pPr>
      <w:bookmarkStart w:id="59" w:name="_Ref4422060"/>
      <w:bookmarkStart w:id="60" w:name="_Ref11917818"/>
      <w:bookmarkStart w:id="61" w:name="_Toc54862183"/>
      <w:bookmarkStart w:id="62" w:name="_Ref531949807"/>
      <w:bookmarkStart w:id="63" w:name="_Ref531949822"/>
      <w:bookmarkStart w:id="64" w:name="_Ref531949803"/>
      <w:r>
        <w:rPr>
          <w:rFonts w:hint="eastAsia" w:ascii="宋体" w:hAnsi="宋体" w:eastAsia="宋体"/>
          <w:b w:val="0"/>
          <w:bCs/>
          <w:sz w:val="30"/>
          <w:szCs w:val="30"/>
        </w:rPr>
        <w:t>1</w:t>
      </w:r>
      <w:r>
        <w:rPr>
          <w:rFonts w:ascii="宋体" w:hAnsi="宋体" w:eastAsia="宋体"/>
          <w:b w:val="0"/>
          <w:bCs/>
          <w:sz w:val="30"/>
          <w:szCs w:val="30"/>
        </w:rPr>
        <w:t xml:space="preserve">.6 </w:t>
      </w:r>
      <w:r>
        <w:rPr>
          <w:rFonts w:hint="eastAsia" w:ascii="宋体" w:hAnsi="宋体" w:eastAsia="宋体"/>
          <w:b w:val="0"/>
          <w:bCs/>
          <w:sz w:val="30"/>
          <w:szCs w:val="30"/>
        </w:rPr>
        <w:t>文件的提供和</w:t>
      </w:r>
      <w:bookmarkEnd w:id="59"/>
      <w:r>
        <w:rPr>
          <w:rFonts w:hint="eastAsia" w:ascii="宋体" w:hAnsi="宋体" w:eastAsia="宋体"/>
          <w:b w:val="0"/>
          <w:bCs/>
          <w:sz w:val="30"/>
          <w:szCs w:val="30"/>
        </w:rPr>
        <w:t>照管</w:t>
      </w:r>
      <w:bookmarkEnd w:id="60"/>
      <w:bookmarkEnd w:id="61"/>
    </w:p>
    <w:p w14:paraId="66590CC2">
      <w:pPr>
        <w:pStyle w:val="994"/>
        <w:numPr>
          <w:ilvl w:val="0"/>
          <w:numId w:val="0"/>
        </w:numPr>
        <w:rPr>
          <w:sz w:val="30"/>
          <w:szCs w:val="30"/>
        </w:rPr>
      </w:pPr>
      <w:bookmarkStart w:id="65" w:name="_Ref4421991"/>
      <w:r>
        <w:rPr>
          <w:rFonts w:hint="eastAsia"/>
          <w:sz w:val="30"/>
          <w:szCs w:val="30"/>
        </w:rPr>
        <w:t>1</w:t>
      </w:r>
      <w:r>
        <w:rPr>
          <w:sz w:val="30"/>
          <w:szCs w:val="30"/>
        </w:rPr>
        <w:t xml:space="preserve">.6.1 </w:t>
      </w:r>
      <w:r>
        <w:rPr>
          <w:rFonts w:hint="eastAsia"/>
          <w:sz w:val="30"/>
          <w:szCs w:val="30"/>
        </w:rPr>
        <w:t>发包人文件的提供</w:t>
      </w:r>
      <w:bookmarkEnd w:id="65"/>
    </w:p>
    <w:p w14:paraId="4997710A">
      <w:pPr>
        <w:ind w:firstLine="600"/>
        <w:rPr>
          <w:rFonts w:ascii="宋体" w:hAnsi="宋体"/>
          <w:sz w:val="30"/>
          <w:szCs w:val="30"/>
        </w:rPr>
      </w:pPr>
      <w:r>
        <w:rPr>
          <w:rFonts w:hint="eastAsia" w:ascii="宋体" w:hAnsi="宋体"/>
          <w:sz w:val="30"/>
          <w:szCs w:val="30"/>
        </w:rPr>
        <w:t>发包人应按照专用合同条件约定的期限、数量和形式向承包人免费提供前期工作相关资料、环境保护、气象水文、地质条件进行工程设计、现场施工等工程实施所需的文件。因发包人未按合同约定提供文件造成工期延误的，按照第</w:t>
      </w:r>
      <w:r>
        <w:rPr>
          <w:rFonts w:ascii="宋体" w:hAnsi="宋体"/>
          <w:sz w:val="30"/>
          <w:szCs w:val="30"/>
        </w:rPr>
        <w:t>8.7.1</w:t>
      </w:r>
      <w:r>
        <w:rPr>
          <w:rFonts w:hint="eastAsia" w:ascii="宋体" w:hAnsi="宋体"/>
          <w:sz w:val="30"/>
          <w:szCs w:val="30"/>
        </w:rPr>
        <w:t>项[</w:t>
      </w:r>
      <w:r>
        <w:rPr>
          <w:rFonts w:ascii="宋体" w:hAnsi="宋体"/>
          <w:sz w:val="30"/>
          <w:szCs w:val="30"/>
        </w:rPr>
        <w:t>因发包人原因导致工期延误</w:t>
      </w:r>
      <w:r>
        <w:rPr>
          <w:rFonts w:hint="eastAsia" w:ascii="宋体" w:hAnsi="宋体"/>
          <w:sz w:val="30"/>
          <w:szCs w:val="30"/>
        </w:rPr>
        <w:t>]约定办理。</w:t>
      </w:r>
    </w:p>
    <w:p w14:paraId="3667E3AF">
      <w:pPr>
        <w:pStyle w:val="994"/>
        <w:numPr>
          <w:ilvl w:val="0"/>
          <w:numId w:val="0"/>
        </w:numPr>
        <w:rPr>
          <w:sz w:val="30"/>
          <w:szCs w:val="30"/>
        </w:rPr>
      </w:pPr>
      <w:bookmarkStart w:id="66" w:name="_Ref4422317"/>
      <w:r>
        <w:rPr>
          <w:rFonts w:hint="eastAsia"/>
          <w:sz w:val="30"/>
          <w:szCs w:val="30"/>
        </w:rPr>
        <w:t>1</w:t>
      </w:r>
      <w:r>
        <w:rPr>
          <w:sz w:val="30"/>
          <w:szCs w:val="30"/>
        </w:rPr>
        <w:t xml:space="preserve">.6.2 </w:t>
      </w:r>
      <w:r>
        <w:rPr>
          <w:rFonts w:hint="eastAsia"/>
          <w:sz w:val="30"/>
          <w:szCs w:val="30"/>
        </w:rPr>
        <w:t>承包人文件的提供</w:t>
      </w:r>
      <w:bookmarkEnd w:id="66"/>
    </w:p>
    <w:p w14:paraId="2C38FA0E">
      <w:pPr>
        <w:ind w:firstLine="600"/>
        <w:rPr>
          <w:rFonts w:ascii="宋体" w:hAnsi="宋体"/>
          <w:sz w:val="30"/>
          <w:szCs w:val="30"/>
        </w:rPr>
      </w:pPr>
      <w:r>
        <w:rPr>
          <w:rFonts w:hint="eastAsia" w:ascii="宋体" w:hAnsi="宋体"/>
          <w:sz w:val="30"/>
          <w:szCs w:val="30"/>
        </w:rPr>
        <w:t>除专用合同条件另有约定外，承包人文件应包含下列内容，并用第</w:t>
      </w:r>
      <w:r>
        <w:rPr>
          <w:rFonts w:ascii="宋体" w:hAnsi="宋体"/>
          <w:sz w:val="30"/>
          <w:szCs w:val="30"/>
        </w:rPr>
        <w:t>1.2</w:t>
      </w:r>
      <w:r>
        <w:rPr>
          <w:rFonts w:hint="eastAsia" w:ascii="宋体" w:hAnsi="宋体"/>
          <w:sz w:val="30"/>
          <w:szCs w:val="30"/>
        </w:rPr>
        <w:t>款[语言文字]约定的语言制作：</w:t>
      </w:r>
    </w:p>
    <w:p w14:paraId="5A4C75FE">
      <w:pPr>
        <w:ind w:firstLine="600"/>
        <w:rPr>
          <w:rFonts w:ascii="宋体" w:hAnsi="宋体"/>
          <w:sz w:val="30"/>
          <w:szCs w:val="30"/>
        </w:rPr>
      </w:pPr>
      <w:r>
        <w:rPr>
          <w:rFonts w:hint="eastAsia" w:ascii="宋体" w:hAnsi="宋体"/>
          <w:sz w:val="30"/>
          <w:szCs w:val="30"/>
        </w:rPr>
        <w:t>（1） 《发包人要求》中规定的相关文件；</w:t>
      </w:r>
    </w:p>
    <w:p w14:paraId="1ACA11E1">
      <w:pPr>
        <w:ind w:firstLine="600"/>
        <w:rPr>
          <w:rFonts w:ascii="宋体" w:hAnsi="宋体"/>
          <w:sz w:val="30"/>
          <w:szCs w:val="30"/>
        </w:rPr>
      </w:pPr>
      <w:r>
        <w:rPr>
          <w:rFonts w:hint="eastAsia" w:ascii="宋体" w:hAnsi="宋体"/>
          <w:sz w:val="30"/>
          <w:szCs w:val="30"/>
        </w:rPr>
        <w:t>（2） 满足工程相关行政审批手续所必须的应由承包人负责的相关文件；</w:t>
      </w:r>
    </w:p>
    <w:p w14:paraId="1396FA9F">
      <w:pPr>
        <w:ind w:firstLine="600"/>
        <w:rPr>
          <w:rFonts w:ascii="宋体" w:hAnsi="宋体"/>
          <w:sz w:val="30"/>
          <w:szCs w:val="30"/>
        </w:rPr>
      </w:pPr>
      <w:r>
        <w:rPr>
          <w:rFonts w:hint="eastAsia" w:ascii="宋体" w:hAnsi="宋体"/>
          <w:sz w:val="30"/>
          <w:szCs w:val="30"/>
        </w:rPr>
        <w:t>（3） 第</w:t>
      </w:r>
      <w:r>
        <w:rPr>
          <w:rFonts w:ascii="宋体" w:hAnsi="宋体"/>
          <w:sz w:val="30"/>
          <w:szCs w:val="30"/>
        </w:rPr>
        <w:t>5.4</w:t>
      </w:r>
      <w:r>
        <w:rPr>
          <w:rFonts w:hint="eastAsia" w:ascii="宋体" w:hAnsi="宋体"/>
          <w:sz w:val="30"/>
          <w:szCs w:val="30"/>
        </w:rPr>
        <w:t>款[竣工文件]与第</w:t>
      </w:r>
      <w:r>
        <w:rPr>
          <w:rFonts w:ascii="宋体" w:hAnsi="宋体"/>
          <w:sz w:val="30"/>
          <w:szCs w:val="30"/>
        </w:rPr>
        <w:t>5.5</w:t>
      </w:r>
      <w:r>
        <w:rPr>
          <w:rFonts w:hint="eastAsia" w:ascii="宋体" w:hAnsi="宋体"/>
          <w:sz w:val="30"/>
          <w:szCs w:val="30"/>
        </w:rPr>
        <w:t>款[操作和维修手册]中要求的相关文件。</w:t>
      </w:r>
    </w:p>
    <w:p w14:paraId="4A5F266C">
      <w:pPr>
        <w:ind w:firstLine="600"/>
        <w:rPr>
          <w:rFonts w:ascii="宋体" w:hAnsi="宋体"/>
          <w:sz w:val="30"/>
          <w:szCs w:val="30"/>
        </w:rPr>
      </w:pPr>
      <w:r>
        <w:rPr>
          <w:rFonts w:hint="eastAsia" w:ascii="宋体" w:hAnsi="宋体"/>
          <w:sz w:val="30"/>
          <w:szCs w:val="30"/>
        </w:rPr>
        <w:t>承包人应按照专用合同条件约定的期限、名称、数量和形式向工程师提供应当由承包人编制的与工程设计、现场施工等工程实施有关的承包人文件。工程师对承包人文件有异议的，承包人应予以修改，并重新报送工程师。合同约定承包人文件应经审查的，工程师应在合同约定的期限内审查完毕，但工程师的审查并不减轻或免除承包人根据合同约定应当承担的责任。承包人文件的提供和审查还应遵守第</w:t>
      </w:r>
      <w:r>
        <w:rPr>
          <w:rFonts w:ascii="宋体" w:hAnsi="宋体"/>
          <w:sz w:val="30"/>
          <w:szCs w:val="30"/>
        </w:rPr>
        <w:t>5.2</w:t>
      </w:r>
      <w:r>
        <w:rPr>
          <w:rFonts w:hint="eastAsia" w:ascii="宋体" w:hAnsi="宋体"/>
          <w:sz w:val="30"/>
          <w:szCs w:val="30"/>
        </w:rPr>
        <w:t>款[承包人文件审查]和第</w:t>
      </w:r>
      <w:r>
        <w:rPr>
          <w:rFonts w:ascii="宋体" w:hAnsi="宋体"/>
          <w:sz w:val="30"/>
          <w:szCs w:val="30"/>
        </w:rPr>
        <w:t>5.4</w:t>
      </w:r>
      <w:r>
        <w:rPr>
          <w:rFonts w:hint="eastAsia" w:ascii="宋体" w:hAnsi="宋体"/>
          <w:sz w:val="30"/>
          <w:szCs w:val="30"/>
        </w:rPr>
        <w:t>款[竣工文件]的约定。</w:t>
      </w:r>
    </w:p>
    <w:p w14:paraId="283CF9DB">
      <w:pPr>
        <w:pStyle w:val="994"/>
        <w:numPr>
          <w:ilvl w:val="0"/>
          <w:numId w:val="0"/>
        </w:numPr>
        <w:rPr>
          <w:sz w:val="30"/>
          <w:szCs w:val="30"/>
        </w:rPr>
      </w:pPr>
      <w:r>
        <w:rPr>
          <w:rFonts w:hint="eastAsia"/>
          <w:sz w:val="30"/>
          <w:szCs w:val="30"/>
        </w:rPr>
        <w:t>1</w:t>
      </w:r>
      <w:r>
        <w:rPr>
          <w:sz w:val="30"/>
          <w:szCs w:val="30"/>
        </w:rPr>
        <w:t xml:space="preserve">.6.3 </w:t>
      </w:r>
      <w:r>
        <w:rPr>
          <w:rFonts w:hint="eastAsia"/>
          <w:sz w:val="30"/>
          <w:szCs w:val="30"/>
        </w:rPr>
        <w:t>文件错误的通知</w:t>
      </w:r>
    </w:p>
    <w:p w14:paraId="50D011B9">
      <w:pPr>
        <w:ind w:firstLine="600"/>
        <w:rPr>
          <w:rFonts w:ascii="宋体" w:hAnsi="宋体"/>
          <w:sz w:val="30"/>
          <w:szCs w:val="30"/>
        </w:rPr>
      </w:pPr>
      <w:r>
        <w:rPr>
          <w:rFonts w:hint="eastAsia" w:ascii="宋体" w:hAnsi="宋体"/>
          <w:sz w:val="30"/>
          <w:szCs w:val="30"/>
        </w:rPr>
        <w:t>任何一方发现文件中存在明显的错误或疏忽，应及时通知另一方。</w:t>
      </w:r>
    </w:p>
    <w:p w14:paraId="0DDBB737">
      <w:pPr>
        <w:pStyle w:val="994"/>
        <w:numPr>
          <w:ilvl w:val="0"/>
          <w:numId w:val="0"/>
        </w:numPr>
        <w:rPr>
          <w:sz w:val="30"/>
          <w:szCs w:val="30"/>
        </w:rPr>
      </w:pPr>
      <w:bookmarkStart w:id="67" w:name="_Ref4678410"/>
      <w:bookmarkStart w:id="68" w:name="_Ref11957673"/>
      <w:r>
        <w:rPr>
          <w:rFonts w:hint="eastAsia"/>
          <w:sz w:val="30"/>
          <w:szCs w:val="30"/>
        </w:rPr>
        <w:t>1</w:t>
      </w:r>
      <w:r>
        <w:rPr>
          <w:sz w:val="30"/>
          <w:szCs w:val="30"/>
        </w:rPr>
        <w:t xml:space="preserve">.6.4 </w:t>
      </w:r>
      <w:r>
        <w:rPr>
          <w:rFonts w:hint="eastAsia"/>
          <w:sz w:val="30"/>
          <w:szCs w:val="30"/>
        </w:rPr>
        <w:t>文件的</w:t>
      </w:r>
      <w:bookmarkEnd w:id="67"/>
      <w:r>
        <w:rPr>
          <w:rFonts w:hint="eastAsia"/>
          <w:sz w:val="30"/>
          <w:szCs w:val="30"/>
        </w:rPr>
        <w:t>照管</w:t>
      </w:r>
      <w:bookmarkEnd w:id="68"/>
    </w:p>
    <w:p w14:paraId="4B714766">
      <w:pPr>
        <w:ind w:firstLine="600"/>
        <w:rPr>
          <w:rFonts w:ascii="宋体" w:hAnsi="宋体"/>
          <w:sz w:val="30"/>
          <w:szCs w:val="30"/>
        </w:rPr>
      </w:pPr>
      <w:r>
        <w:rPr>
          <w:rFonts w:hint="eastAsia" w:ascii="宋体" w:hAnsi="宋体"/>
          <w:sz w:val="30"/>
          <w:szCs w:val="30"/>
        </w:rPr>
        <w:t>除专用合同条件另有约定外，承包人应在现场保留一份合同、《发包人要求》中列出的所有文件、承包人文件、变更以及其他根据合同收发的往来信函。发包人和工程师有权在任何合理的时间查阅和使用上述所有文件。</w:t>
      </w:r>
    </w:p>
    <w:p w14:paraId="21F362C6">
      <w:pPr>
        <w:pStyle w:val="969"/>
        <w:widowControl/>
        <w:numPr>
          <w:ilvl w:val="0"/>
          <w:numId w:val="0"/>
        </w:numPr>
        <w:rPr>
          <w:rFonts w:ascii="宋体" w:hAnsi="宋体" w:eastAsia="宋体"/>
          <w:b w:val="0"/>
          <w:bCs/>
          <w:sz w:val="30"/>
          <w:szCs w:val="30"/>
        </w:rPr>
      </w:pPr>
      <w:bookmarkStart w:id="69" w:name="_Ref4415170"/>
      <w:bookmarkStart w:id="70" w:name="_Toc54862184"/>
      <w:r>
        <w:rPr>
          <w:rFonts w:hint="eastAsia" w:ascii="宋体" w:hAnsi="宋体" w:eastAsia="宋体"/>
          <w:b w:val="0"/>
          <w:bCs/>
          <w:sz w:val="30"/>
          <w:szCs w:val="30"/>
        </w:rPr>
        <w:t>1</w:t>
      </w:r>
      <w:r>
        <w:rPr>
          <w:rFonts w:ascii="宋体" w:hAnsi="宋体" w:eastAsia="宋体"/>
          <w:b w:val="0"/>
          <w:bCs/>
          <w:sz w:val="30"/>
          <w:szCs w:val="30"/>
        </w:rPr>
        <w:t xml:space="preserve">.7 </w:t>
      </w:r>
      <w:r>
        <w:rPr>
          <w:rFonts w:hint="eastAsia" w:ascii="宋体" w:hAnsi="宋体" w:eastAsia="宋体"/>
          <w:b w:val="0"/>
          <w:bCs/>
          <w:sz w:val="30"/>
          <w:szCs w:val="30"/>
        </w:rPr>
        <w:t>联络</w:t>
      </w:r>
      <w:bookmarkEnd w:id="69"/>
      <w:bookmarkEnd w:id="70"/>
    </w:p>
    <w:p w14:paraId="17D7DB9E">
      <w:pPr>
        <w:pStyle w:val="994"/>
        <w:numPr>
          <w:ilvl w:val="0"/>
          <w:numId w:val="0"/>
        </w:numPr>
        <w:rPr>
          <w:sz w:val="30"/>
          <w:szCs w:val="30"/>
        </w:rPr>
      </w:pPr>
      <w:r>
        <w:rPr>
          <w:rFonts w:hint="eastAsia"/>
          <w:sz w:val="30"/>
          <w:szCs w:val="30"/>
        </w:rPr>
        <w:t>1</w:t>
      </w:r>
      <w:r>
        <w:rPr>
          <w:sz w:val="30"/>
          <w:szCs w:val="30"/>
        </w:rPr>
        <w:t xml:space="preserve">.7.1 </w:t>
      </w:r>
      <w:r>
        <w:rPr>
          <w:rFonts w:hint="eastAsia"/>
          <w:sz w:val="30"/>
          <w:szCs w:val="30"/>
        </w:rPr>
        <w:t>与合同有关的通知、批准、证明、证书、指示、指令、要求、请求、同意、意见、确定和决定等，均应采用书面形式，并应在合同约定的期限内（如无约定，应在合理期限内）通过特快专递或专人、挂号信、传真或双方商定的电子传输方式送达收件地址。</w:t>
      </w:r>
    </w:p>
    <w:p w14:paraId="1A38EC8F">
      <w:pPr>
        <w:pStyle w:val="994"/>
        <w:numPr>
          <w:ilvl w:val="0"/>
          <w:numId w:val="0"/>
        </w:numPr>
        <w:rPr>
          <w:sz w:val="30"/>
          <w:szCs w:val="30"/>
        </w:rPr>
      </w:pPr>
      <w:bookmarkStart w:id="71" w:name="_Ref531949897"/>
      <w:r>
        <w:rPr>
          <w:rFonts w:hint="eastAsia"/>
          <w:sz w:val="30"/>
          <w:szCs w:val="30"/>
        </w:rPr>
        <w:t>1</w:t>
      </w:r>
      <w:r>
        <w:rPr>
          <w:sz w:val="30"/>
          <w:szCs w:val="30"/>
        </w:rPr>
        <w:t xml:space="preserve">.7.2 </w:t>
      </w:r>
      <w:r>
        <w:rPr>
          <w:rFonts w:hint="eastAsia"/>
          <w:sz w:val="30"/>
          <w:szCs w:val="30"/>
        </w:rPr>
        <w:t>发包人和承包人应在专用合同条件中约定各自的送达方式和收件地址。任何一方合同当事人指定的送达方式或收件地址发生变动的，应提前3天以书面形式通知对方。</w:t>
      </w:r>
      <w:bookmarkEnd w:id="71"/>
    </w:p>
    <w:p w14:paraId="08C2860D">
      <w:pPr>
        <w:pStyle w:val="994"/>
        <w:numPr>
          <w:ilvl w:val="0"/>
          <w:numId w:val="0"/>
        </w:numPr>
        <w:rPr>
          <w:sz w:val="30"/>
          <w:szCs w:val="30"/>
        </w:rPr>
      </w:pPr>
      <w:r>
        <w:rPr>
          <w:rFonts w:hint="eastAsia"/>
          <w:sz w:val="30"/>
          <w:szCs w:val="30"/>
        </w:rPr>
        <w:t>1</w:t>
      </w:r>
      <w:r>
        <w:rPr>
          <w:sz w:val="30"/>
          <w:szCs w:val="30"/>
        </w:rPr>
        <w:t xml:space="preserve">.7.3 </w:t>
      </w:r>
      <w:r>
        <w:rPr>
          <w:rFonts w:hint="eastAsia"/>
          <w:sz w:val="30"/>
          <w:szCs w:val="30"/>
        </w:rPr>
        <w:t>发包人和承包人应当及时签收另一方通过约定的送达方式送达至收件地址的来往文件。拒不签收的，由此增加的费用和（或）延误的工期由拒绝接收一方承担。</w:t>
      </w:r>
    </w:p>
    <w:p w14:paraId="726BFA3C">
      <w:pPr>
        <w:pStyle w:val="994"/>
        <w:numPr>
          <w:ilvl w:val="0"/>
          <w:numId w:val="0"/>
        </w:numPr>
        <w:rPr>
          <w:sz w:val="30"/>
          <w:szCs w:val="30"/>
        </w:rPr>
      </w:pPr>
      <w:r>
        <w:rPr>
          <w:rFonts w:hint="eastAsia"/>
          <w:sz w:val="30"/>
          <w:szCs w:val="30"/>
        </w:rPr>
        <w:t>1</w:t>
      </w:r>
      <w:r>
        <w:rPr>
          <w:sz w:val="30"/>
          <w:szCs w:val="30"/>
        </w:rPr>
        <w:t xml:space="preserve">.7.4 </w:t>
      </w:r>
      <w:r>
        <w:rPr>
          <w:rFonts w:hint="eastAsia"/>
          <w:sz w:val="30"/>
          <w:szCs w:val="30"/>
        </w:rPr>
        <w:t>对于工程师向承包人发出的任何通知，均应以书面形式由工程师或其代表签认后送交承包人实施，并抄送发包人；对于合同一方向另一方发出的任何通知，均应抄送工程师。对于由工程师审查后报发包人批准的事项，应由工程师向承包人出具经发包人签认的批准文件。</w:t>
      </w:r>
    </w:p>
    <w:p w14:paraId="040178BA">
      <w:pPr>
        <w:pStyle w:val="969"/>
        <w:widowControl/>
        <w:numPr>
          <w:ilvl w:val="0"/>
          <w:numId w:val="0"/>
        </w:numPr>
        <w:rPr>
          <w:rFonts w:ascii="宋体" w:hAnsi="宋体" w:eastAsia="宋体"/>
          <w:b w:val="0"/>
          <w:bCs/>
          <w:sz w:val="30"/>
          <w:szCs w:val="30"/>
        </w:rPr>
      </w:pPr>
      <w:bookmarkStart w:id="72" w:name="_Toc54862185"/>
      <w:r>
        <w:rPr>
          <w:rFonts w:hint="eastAsia" w:ascii="宋体" w:hAnsi="宋体" w:eastAsia="宋体"/>
          <w:b w:val="0"/>
          <w:bCs/>
          <w:sz w:val="30"/>
          <w:szCs w:val="30"/>
        </w:rPr>
        <w:t>1</w:t>
      </w:r>
      <w:r>
        <w:rPr>
          <w:rFonts w:ascii="宋体" w:hAnsi="宋体" w:eastAsia="宋体"/>
          <w:b w:val="0"/>
          <w:bCs/>
          <w:sz w:val="30"/>
          <w:szCs w:val="30"/>
        </w:rPr>
        <w:t xml:space="preserve">.8 </w:t>
      </w:r>
      <w:r>
        <w:rPr>
          <w:rFonts w:hint="eastAsia" w:ascii="宋体" w:hAnsi="宋体" w:eastAsia="宋体"/>
          <w:b w:val="0"/>
          <w:bCs/>
          <w:sz w:val="30"/>
          <w:szCs w:val="30"/>
        </w:rPr>
        <w:t>严禁贿赂</w:t>
      </w:r>
      <w:bookmarkEnd w:id="62"/>
      <w:bookmarkEnd w:id="63"/>
      <w:bookmarkEnd w:id="64"/>
      <w:bookmarkEnd w:id="72"/>
    </w:p>
    <w:p w14:paraId="219B4794">
      <w:pPr>
        <w:ind w:firstLine="600"/>
        <w:rPr>
          <w:rFonts w:ascii="宋体" w:hAnsi="宋体"/>
          <w:sz w:val="30"/>
          <w:szCs w:val="30"/>
        </w:rPr>
      </w:pPr>
      <w:r>
        <w:rPr>
          <w:rFonts w:hint="eastAsia" w:ascii="宋体" w:hAnsi="宋体"/>
          <w:sz w:val="30"/>
          <w:szCs w:val="30"/>
        </w:rPr>
        <w:t>合同当事人不得以贿赂或变相贿赂的方式，谋取非法利益或损害对方权益。因一方合同当事人的贿赂造成对方损失的，应赔偿损失，并承担相应的法律责任。</w:t>
      </w:r>
    </w:p>
    <w:p w14:paraId="5E8667A7">
      <w:pPr>
        <w:ind w:firstLine="600"/>
        <w:rPr>
          <w:rFonts w:ascii="宋体" w:hAnsi="宋体"/>
          <w:sz w:val="32"/>
          <w:szCs w:val="32"/>
        </w:rPr>
      </w:pPr>
      <w:r>
        <w:rPr>
          <w:rFonts w:hint="eastAsia" w:ascii="宋体" w:hAnsi="宋体"/>
          <w:sz w:val="30"/>
          <w:szCs w:val="30"/>
        </w:rPr>
        <w:t>承包人不得与工程师或发包人聘请的第三方串通损害发包人利益。未经发包人书面同意，承包人不得为工程师提供合同约定以外的通讯设备、交通工具及其他任何形式的利益，不得向工程师支付报酬。</w:t>
      </w:r>
    </w:p>
    <w:p w14:paraId="31F9D7FC">
      <w:pPr>
        <w:pStyle w:val="969"/>
        <w:widowControl/>
        <w:numPr>
          <w:ilvl w:val="0"/>
          <w:numId w:val="0"/>
        </w:numPr>
        <w:rPr>
          <w:rFonts w:ascii="宋体" w:hAnsi="宋体" w:eastAsia="宋体"/>
          <w:b w:val="0"/>
          <w:bCs/>
          <w:sz w:val="30"/>
          <w:szCs w:val="30"/>
        </w:rPr>
      </w:pPr>
      <w:bookmarkStart w:id="73" w:name="_Toc54862186"/>
      <w:r>
        <w:rPr>
          <w:rFonts w:hint="eastAsia" w:ascii="宋体" w:hAnsi="宋体" w:eastAsia="宋体"/>
          <w:b w:val="0"/>
          <w:bCs/>
          <w:sz w:val="30"/>
          <w:szCs w:val="30"/>
        </w:rPr>
        <w:t>1</w:t>
      </w:r>
      <w:r>
        <w:rPr>
          <w:rFonts w:ascii="宋体" w:hAnsi="宋体" w:eastAsia="宋体"/>
          <w:b w:val="0"/>
          <w:bCs/>
          <w:sz w:val="30"/>
          <w:szCs w:val="30"/>
        </w:rPr>
        <w:t>.9 化石、文物</w:t>
      </w:r>
      <w:bookmarkEnd w:id="73"/>
    </w:p>
    <w:p w14:paraId="29149ECE">
      <w:pPr>
        <w:ind w:firstLine="600"/>
        <w:rPr>
          <w:rFonts w:ascii="宋体" w:hAnsi="宋体"/>
          <w:sz w:val="30"/>
          <w:szCs w:val="30"/>
        </w:rPr>
      </w:pPr>
      <w:r>
        <w:rPr>
          <w:rFonts w:hint="eastAsia" w:ascii="宋体" w:hAnsi="宋体"/>
          <w:sz w:val="30"/>
          <w:szCs w:val="30"/>
        </w:rPr>
        <w:t>在施工现场发掘的所有文物、古迹以及具有地质研究或考古价值的其他遗迹、化石、钱币或物品属于国家所有。一旦发现上述文物，承包人应采取合理有效的保护措施，防止任何人员移动或损坏上述物品，并立即报告有关政府行政管理部门，同时通知工程师。</w:t>
      </w:r>
    </w:p>
    <w:p w14:paraId="065BB951">
      <w:pPr>
        <w:ind w:firstLine="600"/>
        <w:rPr>
          <w:rFonts w:ascii="宋体" w:hAnsi="宋体"/>
          <w:sz w:val="30"/>
          <w:szCs w:val="30"/>
        </w:rPr>
      </w:pPr>
      <w:r>
        <w:rPr>
          <w:rFonts w:hint="eastAsia" w:ascii="宋体" w:hAnsi="宋体"/>
          <w:sz w:val="30"/>
          <w:szCs w:val="30"/>
        </w:rPr>
        <w:t>发包人、工程师和承包人应按有关政府行政管理部门要求采取妥善的保护措施，由此增加的费用和（或）延误的工期由发包人承担。</w:t>
      </w:r>
    </w:p>
    <w:p w14:paraId="43EC2A4C">
      <w:pPr>
        <w:ind w:firstLine="600"/>
        <w:rPr>
          <w:rFonts w:ascii="宋体" w:hAnsi="宋体"/>
          <w:sz w:val="30"/>
          <w:szCs w:val="30"/>
        </w:rPr>
      </w:pPr>
      <w:r>
        <w:rPr>
          <w:rFonts w:hint="eastAsia" w:ascii="宋体" w:hAnsi="宋体"/>
          <w:sz w:val="30"/>
          <w:szCs w:val="30"/>
        </w:rPr>
        <w:t>承包人发现文物后不及时报告或隐瞒不报，致使文物丢失或损坏的，应赔偿损失，并承担相应的法律责任。</w:t>
      </w:r>
    </w:p>
    <w:p w14:paraId="7CEBAE9E">
      <w:pPr>
        <w:pStyle w:val="969"/>
        <w:widowControl/>
        <w:numPr>
          <w:ilvl w:val="0"/>
          <w:numId w:val="0"/>
        </w:numPr>
        <w:rPr>
          <w:rFonts w:ascii="宋体" w:hAnsi="宋体" w:eastAsia="宋体"/>
          <w:b w:val="0"/>
          <w:bCs/>
          <w:sz w:val="30"/>
          <w:szCs w:val="30"/>
        </w:rPr>
      </w:pPr>
      <w:bookmarkStart w:id="74" w:name="_Ref531949766"/>
      <w:bookmarkStart w:id="75" w:name="_Toc54862187"/>
      <w:bookmarkStart w:id="76" w:name="_Ref531949770"/>
      <w:bookmarkStart w:id="77" w:name="_Ref4423426"/>
      <w:bookmarkStart w:id="78" w:name="_Ref531949826"/>
      <w:bookmarkStart w:id="79" w:name="_Ref531949855"/>
      <w:bookmarkStart w:id="80" w:name="_Ref531949841"/>
      <w:r>
        <w:rPr>
          <w:rFonts w:hint="eastAsia" w:ascii="宋体" w:hAnsi="宋体" w:eastAsia="宋体"/>
          <w:b w:val="0"/>
          <w:bCs/>
          <w:sz w:val="30"/>
          <w:szCs w:val="30"/>
        </w:rPr>
        <w:t>1</w:t>
      </w:r>
      <w:r>
        <w:rPr>
          <w:rFonts w:ascii="宋体" w:hAnsi="宋体" w:eastAsia="宋体"/>
          <w:b w:val="0"/>
          <w:bCs/>
          <w:sz w:val="30"/>
          <w:szCs w:val="30"/>
        </w:rPr>
        <w:t xml:space="preserve">.10 </w:t>
      </w:r>
      <w:r>
        <w:rPr>
          <w:rFonts w:hint="eastAsia" w:ascii="宋体" w:hAnsi="宋体" w:eastAsia="宋体"/>
          <w:b w:val="0"/>
          <w:bCs/>
          <w:sz w:val="30"/>
          <w:szCs w:val="30"/>
        </w:rPr>
        <w:t>知识产权</w:t>
      </w:r>
      <w:bookmarkEnd w:id="74"/>
      <w:bookmarkEnd w:id="75"/>
      <w:bookmarkEnd w:id="76"/>
      <w:bookmarkEnd w:id="77"/>
      <w:r>
        <w:rPr>
          <w:rFonts w:ascii="宋体" w:hAnsi="宋体" w:eastAsia="宋体"/>
          <w:b w:val="0"/>
          <w:bCs/>
          <w:sz w:val="30"/>
          <w:szCs w:val="30"/>
        </w:rPr>
        <w:t xml:space="preserve"> </w:t>
      </w:r>
    </w:p>
    <w:p w14:paraId="73F693DB">
      <w:pPr>
        <w:pStyle w:val="994"/>
        <w:numPr>
          <w:ilvl w:val="0"/>
          <w:numId w:val="0"/>
        </w:numPr>
        <w:rPr>
          <w:sz w:val="30"/>
          <w:szCs w:val="30"/>
        </w:rPr>
      </w:pPr>
      <w:bookmarkStart w:id="81" w:name="_Ref4423563"/>
      <w:r>
        <w:rPr>
          <w:rFonts w:hint="eastAsia"/>
          <w:sz w:val="30"/>
          <w:szCs w:val="30"/>
        </w:rPr>
        <w:t>1</w:t>
      </w:r>
      <w:r>
        <w:rPr>
          <w:sz w:val="30"/>
          <w:szCs w:val="30"/>
        </w:rPr>
        <w:t xml:space="preserve">.10.1 </w:t>
      </w:r>
      <w:r>
        <w:rPr>
          <w:rFonts w:hint="eastAsia"/>
          <w:sz w:val="30"/>
          <w:szCs w:val="30"/>
        </w:rPr>
        <w:t>除专用合同条件另有约定外，由发包人（或以发包人名义）编制的《发包人要求》和其他文件，就合同当事人之间而言，其著作权和其他知识产权应归发包人所有。承包人可以为实现合同目的而复制、使用此类文件，但不能用于与合同无关的其他事项。未经发包人书面同意，承包人不得为了合同以外的目的而复制、使用上述文件或将之提供给任何第三方。</w:t>
      </w:r>
      <w:bookmarkEnd w:id="81"/>
    </w:p>
    <w:p w14:paraId="53C6AED9">
      <w:pPr>
        <w:pStyle w:val="994"/>
        <w:numPr>
          <w:ilvl w:val="0"/>
          <w:numId w:val="0"/>
        </w:numPr>
        <w:rPr>
          <w:sz w:val="30"/>
          <w:szCs w:val="30"/>
        </w:rPr>
      </w:pPr>
      <w:bookmarkStart w:id="82" w:name="_Ref4423604"/>
      <w:r>
        <w:rPr>
          <w:rFonts w:hint="eastAsia"/>
          <w:sz w:val="30"/>
          <w:szCs w:val="30"/>
        </w:rPr>
        <w:t>1</w:t>
      </w:r>
      <w:r>
        <w:rPr>
          <w:sz w:val="30"/>
          <w:szCs w:val="30"/>
        </w:rPr>
        <w:t xml:space="preserve">.10.2 </w:t>
      </w:r>
      <w:r>
        <w:rPr>
          <w:rFonts w:hint="eastAsia"/>
          <w:sz w:val="30"/>
          <w:szCs w:val="30"/>
        </w:rPr>
        <w:t>除专用合同条件另有约定外，由承包人（或以承包人名义）为实施工程所编制的文件、承包人完成的设计工作成果和建造完成的建筑物，就合同当事人之间而言，其著作权和其他知识产权应归承包人享有。发包人可因实施工程的运行、调试、维修、改造等目的而复制、使用此类文件，但不能用于与合同无关的其他事项。未经承包人书面同意，发包人不得为了合同以外的目的而复制、使用上述文件或将之提供给任何第三方。</w:t>
      </w:r>
      <w:bookmarkEnd w:id="82"/>
    </w:p>
    <w:p w14:paraId="68F25820">
      <w:pPr>
        <w:pStyle w:val="994"/>
        <w:numPr>
          <w:ilvl w:val="0"/>
          <w:numId w:val="0"/>
        </w:numPr>
        <w:rPr>
          <w:sz w:val="30"/>
          <w:szCs w:val="30"/>
        </w:rPr>
      </w:pPr>
      <w:r>
        <w:rPr>
          <w:rFonts w:hint="eastAsia"/>
          <w:sz w:val="30"/>
          <w:szCs w:val="30"/>
        </w:rPr>
        <w:t>1</w:t>
      </w:r>
      <w:r>
        <w:rPr>
          <w:sz w:val="30"/>
          <w:szCs w:val="30"/>
        </w:rPr>
        <w:t xml:space="preserve">.10.3 </w:t>
      </w:r>
      <w:r>
        <w:rPr>
          <w:rFonts w:hint="eastAsia"/>
          <w:sz w:val="30"/>
          <w:szCs w:val="30"/>
        </w:rPr>
        <w:t>合同当事人保证在履行合同过程中不侵犯对方及第三方的知识产权。承包人在工程设计、使用材料、施工设备、工程设备或采用施工工艺时，因侵犯他人的专利权或其他知识产权所引起的责任，由承包人承担；因发包人提供的材料、施工设备、工程设备或施工工艺导致侵权的，由发包人承担责任。</w:t>
      </w:r>
    </w:p>
    <w:p w14:paraId="71E06F11">
      <w:pPr>
        <w:pStyle w:val="994"/>
        <w:numPr>
          <w:ilvl w:val="0"/>
          <w:numId w:val="0"/>
        </w:numPr>
        <w:rPr>
          <w:sz w:val="30"/>
          <w:szCs w:val="30"/>
        </w:rPr>
      </w:pPr>
      <w:bookmarkStart w:id="83" w:name="_Ref4423695"/>
      <w:r>
        <w:rPr>
          <w:rFonts w:hint="eastAsia"/>
          <w:sz w:val="30"/>
          <w:szCs w:val="30"/>
        </w:rPr>
        <w:t>1</w:t>
      </w:r>
      <w:r>
        <w:rPr>
          <w:sz w:val="30"/>
          <w:szCs w:val="30"/>
        </w:rPr>
        <w:t xml:space="preserve">.10.4 </w:t>
      </w:r>
      <w:r>
        <w:rPr>
          <w:rFonts w:hint="eastAsia"/>
          <w:sz w:val="30"/>
          <w:szCs w:val="30"/>
        </w:rPr>
        <w:t>除专用合同条件另有约定外，承包人在投标文件中采用的专利、专有技术、商业软件、技术秘密的使用费已包含在签约合同价中。</w:t>
      </w:r>
      <w:bookmarkEnd w:id="83"/>
    </w:p>
    <w:p w14:paraId="555D4E44">
      <w:pPr>
        <w:pStyle w:val="994"/>
        <w:numPr>
          <w:ilvl w:val="0"/>
          <w:numId w:val="0"/>
        </w:numPr>
        <w:rPr>
          <w:sz w:val="30"/>
          <w:szCs w:val="30"/>
        </w:rPr>
      </w:pPr>
      <w:r>
        <w:rPr>
          <w:rFonts w:hint="eastAsia"/>
          <w:sz w:val="30"/>
          <w:szCs w:val="30"/>
        </w:rPr>
        <w:t>1</w:t>
      </w:r>
      <w:r>
        <w:rPr>
          <w:sz w:val="30"/>
          <w:szCs w:val="30"/>
        </w:rPr>
        <w:t xml:space="preserve">.10.5 </w:t>
      </w:r>
      <w:r>
        <w:rPr>
          <w:rFonts w:hint="eastAsia"/>
          <w:sz w:val="30"/>
          <w:szCs w:val="30"/>
        </w:rPr>
        <w:t>合同当事人可就本合同涉及的合同一方、或合同双方（含一方或双方相关的专利商或第三方设计单位)的技术专利、建筑设计方案、专有技术、设计文件著作权等知识产权，订立知识产权及保密协议，作为本合同的组成部分。</w:t>
      </w:r>
    </w:p>
    <w:p w14:paraId="3262D9A8">
      <w:pPr>
        <w:pStyle w:val="969"/>
        <w:widowControl/>
        <w:numPr>
          <w:ilvl w:val="0"/>
          <w:numId w:val="0"/>
        </w:numPr>
        <w:rPr>
          <w:rFonts w:ascii="宋体" w:hAnsi="宋体" w:eastAsia="宋体"/>
          <w:b w:val="0"/>
          <w:bCs/>
          <w:sz w:val="30"/>
          <w:szCs w:val="30"/>
        </w:rPr>
      </w:pPr>
      <w:bookmarkStart w:id="84" w:name="_Toc54862188"/>
      <w:bookmarkStart w:id="85" w:name="_Ref4423873"/>
      <w:bookmarkStart w:id="86" w:name="_Ref4423898"/>
      <w:r>
        <w:rPr>
          <w:rFonts w:hint="eastAsia" w:ascii="宋体" w:hAnsi="宋体" w:eastAsia="宋体"/>
          <w:b w:val="0"/>
          <w:bCs/>
          <w:sz w:val="30"/>
          <w:szCs w:val="30"/>
        </w:rPr>
        <w:t>1</w:t>
      </w:r>
      <w:r>
        <w:rPr>
          <w:rFonts w:ascii="宋体" w:hAnsi="宋体" w:eastAsia="宋体"/>
          <w:b w:val="0"/>
          <w:bCs/>
          <w:sz w:val="30"/>
          <w:szCs w:val="30"/>
        </w:rPr>
        <w:t xml:space="preserve">.11 </w:t>
      </w:r>
      <w:r>
        <w:rPr>
          <w:rFonts w:hint="eastAsia" w:ascii="宋体" w:hAnsi="宋体" w:eastAsia="宋体"/>
          <w:b w:val="0"/>
          <w:bCs/>
          <w:sz w:val="30"/>
          <w:szCs w:val="30"/>
        </w:rPr>
        <w:t>保密</w:t>
      </w:r>
      <w:bookmarkEnd w:id="78"/>
      <w:bookmarkEnd w:id="79"/>
      <w:bookmarkEnd w:id="80"/>
      <w:bookmarkEnd w:id="84"/>
      <w:bookmarkEnd w:id="85"/>
      <w:bookmarkEnd w:id="86"/>
    </w:p>
    <w:p w14:paraId="2EEE5A2B">
      <w:pPr>
        <w:ind w:firstLine="600"/>
        <w:rPr>
          <w:rFonts w:ascii="宋体" w:hAnsi="宋体"/>
          <w:sz w:val="30"/>
          <w:szCs w:val="30"/>
        </w:rPr>
      </w:pPr>
      <w:r>
        <w:rPr>
          <w:rFonts w:hint="eastAsia" w:ascii="宋体" w:hAnsi="宋体"/>
          <w:sz w:val="30"/>
          <w:szCs w:val="30"/>
        </w:rPr>
        <w:t>合同当事人一方对在订立和履行合同过程中知悉的另一方的商业秘密、技术秘密，以及任何一方明确要求保密的其它信息，负有保密责任。</w:t>
      </w:r>
    </w:p>
    <w:p w14:paraId="737C2521">
      <w:pPr>
        <w:ind w:firstLine="600"/>
        <w:rPr>
          <w:rFonts w:ascii="宋体" w:hAnsi="宋体"/>
          <w:sz w:val="30"/>
          <w:szCs w:val="30"/>
        </w:rPr>
      </w:pPr>
      <w:r>
        <w:rPr>
          <w:rFonts w:hint="eastAsia" w:ascii="宋体" w:hAnsi="宋体"/>
          <w:sz w:val="30"/>
          <w:szCs w:val="30"/>
        </w:rPr>
        <w:t>除法律规定或合同另有约定外，未经对方同意，任何一方当事人不得将对方提供的文件、技术秘密以及声明需要保密的资料信息等商业秘密泄露给第三方或者用于本合同以外的目的。</w:t>
      </w:r>
    </w:p>
    <w:p w14:paraId="1094B70C">
      <w:pPr>
        <w:ind w:firstLine="600"/>
        <w:rPr>
          <w:rFonts w:ascii="宋体" w:hAnsi="宋体"/>
          <w:sz w:val="30"/>
          <w:szCs w:val="30"/>
        </w:rPr>
      </w:pPr>
      <w:r>
        <w:rPr>
          <w:rFonts w:hint="eastAsia" w:ascii="宋体" w:hAnsi="宋体"/>
          <w:sz w:val="30"/>
          <w:szCs w:val="30"/>
        </w:rPr>
        <w:t>一方泄露或者在本合同以外使用该商业秘密、技术秘密等保密信息给另一方造成损失的，应承担损害赔偿责任。当事人为履行合同所需要的信息，另一方应予以提供。当事人认为必要时，可订立保密协议，作为合同附件。</w:t>
      </w:r>
    </w:p>
    <w:p w14:paraId="47A75B96">
      <w:pPr>
        <w:pStyle w:val="969"/>
        <w:widowControl/>
        <w:numPr>
          <w:ilvl w:val="0"/>
          <w:numId w:val="0"/>
        </w:numPr>
        <w:rPr>
          <w:rFonts w:ascii="宋体" w:hAnsi="宋体" w:eastAsia="宋体"/>
          <w:b w:val="0"/>
          <w:bCs/>
          <w:sz w:val="30"/>
          <w:szCs w:val="30"/>
        </w:rPr>
      </w:pPr>
      <w:bookmarkStart w:id="87" w:name="_Ref532336812"/>
      <w:bookmarkStart w:id="88" w:name="_Toc54862189"/>
      <w:r>
        <w:rPr>
          <w:rFonts w:hint="eastAsia" w:ascii="宋体" w:hAnsi="宋体" w:eastAsia="宋体"/>
          <w:b w:val="0"/>
          <w:bCs/>
          <w:sz w:val="30"/>
          <w:szCs w:val="30"/>
        </w:rPr>
        <w:t>1</w:t>
      </w:r>
      <w:r>
        <w:rPr>
          <w:rFonts w:ascii="宋体" w:hAnsi="宋体" w:eastAsia="宋体"/>
          <w:b w:val="0"/>
          <w:bCs/>
          <w:sz w:val="30"/>
          <w:szCs w:val="30"/>
        </w:rPr>
        <w:t xml:space="preserve">.12 </w:t>
      </w:r>
      <w:bookmarkStart w:id="89" w:name="_Hlk55215423"/>
      <w:r>
        <w:rPr>
          <w:rFonts w:hint="eastAsia" w:ascii="宋体" w:hAnsi="宋体" w:eastAsia="宋体"/>
          <w:b w:val="0"/>
          <w:bCs/>
          <w:sz w:val="30"/>
          <w:szCs w:val="30"/>
        </w:rPr>
        <w:t>《发包人要求》和基础资料中的错误</w:t>
      </w:r>
      <w:bookmarkEnd w:id="87"/>
      <w:bookmarkEnd w:id="88"/>
      <w:bookmarkEnd w:id="89"/>
    </w:p>
    <w:p w14:paraId="7AC1D3D4">
      <w:pPr>
        <w:ind w:firstLine="600"/>
        <w:rPr>
          <w:rFonts w:ascii="宋体" w:hAnsi="宋体"/>
          <w:sz w:val="30"/>
          <w:szCs w:val="30"/>
        </w:rPr>
      </w:pPr>
      <w:r>
        <w:rPr>
          <w:rFonts w:hint="eastAsia" w:ascii="宋体" w:hAnsi="宋体"/>
          <w:sz w:val="30"/>
          <w:szCs w:val="30"/>
        </w:rPr>
        <w:t>承包人应尽早认真阅读、复核《发包人要求》以及其提供的基础资料，发现错误的，应及时书面通知发包人补正。发包人作相应修改的，按照第</w:t>
      </w:r>
      <w:r>
        <w:rPr>
          <w:rFonts w:ascii="宋体" w:hAnsi="宋体"/>
          <w:sz w:val="30"/>
          <w:szCs w:val="30"/>
        </w:rPr>
        <w:t>13条</w:t>
      </w:r>
      <w:r>
        <w:rPr>
          <w:rFonts w:hint="eastAsia" w:ascii="宋体" w:hAnsi="宋体"/>
          <w:sz w:val="30"/>
          <w:szCs w:val="30"/>
        </w:rPr>
        <w:t>[变更与调整</w:t>
      </w:r>
      <w:bookmarkStart w:id="90" w:name="_Ref523403409"/>
      <w:bookmarkStart w:id="91" w:name="_Ref523403776"/>
      <w:r>
        <w:rPr>
          <w:rFonts w:hint="eastAsia" w:ascii="宋体" w:hAnsi="宋体"/>
          <w:sz w:val="30"/>
          <w:szCs w:val="30"/>
        </w:rPr>
        <w:t>]的约定处理。</w:t>
      </w:r>
    </w:p>
    <w:p w14:paraId="1B8DF90B">
      <w:pPr>
        <w:ind w:firstLine="600"/>
        <w:rPr>
          <w:rFonts w:ascii="宋体" w:hAnsi="宋体"/>
          <w:sz w:val="30"/>
          <w:szCs w:val="30"/>
        </w:rPr>
      </w:pPr>
      <w:r>
        <w:rPr>
          <w:rFonts w:hint="eastAsia" w:ascii="宋体" w:hAnsi="宋体"/>
          <w:sz w:val="30"/>
          <w:szCs w:val="30"/>
        </w:rPr>
        <w:t>《发包人要求》或其提供的基础资料中的错误导致承包人增加费用和（或）工期延误的，发包人应承担由此增加的费用和（或）工期延误，并向承包人支付合理利润。</w:t>
      </w:r>
    </w:p>
    <w:bookmarkEnd w:id="90"/>
    <w:bookmarkEnd w:id="91"/>
    <w:p w14:paraId="5A31B049">
      <w:pPr>
        <w:pStyle w:val="969"/>
        <w:widowControl/>
        <w:numPr>
          <w:ilvl w:val="0"/>
          <w:numId w:val="0"/>
        </w:numPr>
        <w:rPr>
          <w:rFonts w:ascii="宋体" w:hAnsi="宋体" w:eastAsia="宋体"/>
          <w:b w:val="0"/>
          <w:bCs/>
          <w:sz w:val="30"/>
          <w:szCs w:val="30"/>
        </w:rPr>
      </w:pPr>
      <w:bookmarkStart w:id="92" w:name="_Ref531949937"/>
      <w:bookmarkStart w:id="93" w:name="_Toc54862190"/>
      <w:bookmarkStart w:id="94" w:name="_Ref531949933"/>
      <w:r>
        <w:rPr>
          <w:rFonts w:hint="eastAsia" w:ascii="宋体" w:hAnsi="宋体" w:eastAsia="宋体"/>
          <w:b w:val="0"/>
          <w:bCs/>
          <w:sz w:val="30"/>
          <w:szCs w:val="30"/>
        </w:rPr>
        <w:t>1</w:t>
      </w:r>
      <w:r>
        <w:rPr>
          <w:rFonts w:ascii="宋体" w:hAnsi="宋体" w:eastAsia="宋体"/>
          <w:b w:val="0"/>
          <w:bCs/>
          <w:sz w:val="30"/>
          <w:szCs w:val="30"/>
        </w:rPr>
        <w:t xml:space="preserve">.13 </w:t>
      </w:r>
      <w:r>
        <w:rPr>
          <w:rFonts w:hint="eastAsia" w:ascii="宋体" w:hAnsi="宋体" w:eastAsia="宋体"/>
          <w:b w:val="0"/>
          <w:bCs/>
          <w:sz w:val="30"/>
          <w:szCs w:val="30"/>
        </w:rPr>
        <w:t>责任限制</w:t>
      </w:r>
      <w:bookmarkEnd w:id="92"/>
      <w:bookmarkEnd w:id="93"/>
      <w:bookmarkEnd w:id="94"/>
    </w:p>
    <w:p w14:paraId="2D4F8304">
      <w:pPr>
        <w:ind w:firstLine="600"/>
        <w:rPr>
          <w:rFonts w:ascii="宋体" w:hAnsi="宋体"/>
          <w:sz w:val="30"/>
          <w:szCs w:val="30"/>
        </w:rPr>
      </w:pPr>
      <w:r>
        <w:rPr>
          <w:rFonts w:ascii="宋体" w:hAnsi="宋体"/>
          <w:sz w:val="30"/>
          <w:szCs w:val="30"/>
        </w:rPr>
        <w:t>承包人对发包人的赔偿责任不应超过专用合同条件约定的赔偿最高限额。若专用合同条件未约定，则承包人对发包人的赔偿责任不应超过</w:t>
      </w:r>
      <w:r>
        <w:rPr>
          <w:rFonts w:hint="eastAsia" w:ascii="宋体" w:hAnsi="宋体"/>
          <w:sz w:val="30"/>
          <w:szCs w:val="30"/>
        </w:rPr>
        <w:t>签约合同价。</w:t>
      </w:r>
      <w:r>
        <w:rPr>
          <w:rFonts w:ascii="宋体" w:hAnsi="宋体"/>
          <w:sz w:val="30"/>
          <w:szCs w:val="30"/>
        </w:rPr>
        <w:t>但对于因欺诈、</w:t>
      </w:r>
      <w:r>
        <w:rPr>
          <w:rFonts w:hint="eastAsia" w:ascii="宋体" w:hAnsi="宋体"/>
          <w:sz w:val="30"/>
          <w:szCs w:val="30"/>
        </w:rPr>
        <w:t>犯罪、</w:t>
      </w:r>
      <w:r>
        <w:rPr>
          <w:rFonts w:ascii="宋体" w:hAnsi="宋体"/>
          <w:sz w:val="30"/>
          <w:szCs w:val="30"/>
        </w:rPr>
        <w:t>故意、</w:t>
      </w:r>
      <w:r>
        <w:rPr>
          <w:rFonts w:hint="eastAsia" w:ascii="宋体" w:hAnsi="宋体"/>
          <w:sz w:val="30"/>
          <w:szCs w:val="30"/>
        </w:rPr>
        <w:t>重大过失、人身伤害</w:t>
      </w:r>
      <w:r>
        <w:rPr>
          <w:rFonts w:ascii="宋体" w:hAnsi="宋体"/>
          <w:sz w:val="30"/>
          <w:szCs w:val="30"/>
        </w:rPr>
        <w:t>等不当行为造成的损失，赔偿的责任限度不受</w:t>
      </w:r>
      <w:r>
        <w:rPr>
          <w:rFonts w:hint="eastAsia" w:ascii="宋体" w:hAnsi="宋体"/>
          <w:sz w:val="30"/>
          <w:szCs w:val="30"/>
        </w:rPr>
        <w:t>上述最高</w:t>
      </w:r>
      <w:r>
        <w:rPr>
          <w:rFonts w:ascii="宋体" w:hAnsi="宋体"/>
          <w:sz w:val="30"/>
          <w:szCs w:val="30"/>
        </w:rPr>
        <w:t>限额的限制</w:t>
      </w:r>
      <w:r>
        <w:rPr>
          <w:rFonts w:hint="eastAsia" w:ascii="宋体" w:hAnsi="宋体"/>
          <w:sz w:val="30"/>
          <w:szCs w:val="30"/>
        </w:rPr>
        <w:t>。</w:t>
      </w:r>
    </w:p>
    <w:p w14:paraId="16CE0156">
      <w:pPr>
        <w:pStyle w:val="969"/>
        <w:widowControl/>
        <w:numPr>
          <w:ilvl w:val="0"/>
          <w:numId w:val="0"/>
        </w:numPr>
        <w:rPr>
          <w:rFonts w:ascii="宋体" w:hAnsi="宋体" w:eastAsia="宋体"/>
          <w:b w:val="0"/>
          <w:bCs/>
          <w:sz w:val="30"/>
          <w:szCs w:val="30"/>
        </w:rPr>
      </w:pPr>
      <w:bookmarkStart w:id="95" w:name="_Toc54862191"/>
      <w:bookmarkStart w:id="96" w:name="_Hlk51506160"/>
      <w:r>
        <w:rPr>
          <w:rFonts w:hint="eastAsia" w:ascii="宋体" w:hAnsi="宋体" w:eastAsia="宋体"/>
          <w:b w:val="0"/>
          <w:bCs/>
          <w:sz w:val="30"/>
          <w:szCs w:val="30"/>
        </w:rPr>
        <w:t>1</w:t>
      </w:r>
      <w:r>
        <w:rPr>
          <w:rFonts w:ascii="宋体" w:hAnsi="宋体" w:eastAsia="宋体"/>
          <w:b w:val="0"/>
          <w:bCs/>
          <w:sz w:val="30"/>
          <w:szCs w:val="30"/>
        </w:rPr>
        <w:t>.14 建筑信息模型技术的应用</w:t>
      </w:r>
      <w:bookmarkEnd w:id="95"/>
    </w:p>
    <w:bookmarkEnd w:id="96"/>
    <w:p w14:paraId="633B8028">
      <w:pPr>
        <w:ind w:firstLine="600"/>
        <w:rPr>
          <w:rFonts w:ascii="宋体" w:hAnsi="宋体"/>
          <w:sz w:val="30"/>
          <w:szCs w:val="30"/>
        </w:rPr>
      </w:pPr>
      <w:r>
        <w:rPr>
          <w:rFonts w:hint="eastAsia" w:ascii="宋体" w:hAnsi="宋体"/>
          <w:sz w:val="30"/>
          <w:szCs w:val="30"/>
        </w:rPr>
        <w:t>如果项目中拟采用建筑信息模型技术，合同双方应遵守国家现行相关标准的规定，并符合项目所在地的相关地方标准或指南。合同双方应在专用合同条件中就建筑信息模型的开发、使用、存储、传输、交付及费用等相关内容进行约定。除专用合同条件另有约定外，承包人应负责与本项目中其他使用方协商。</w:t>
      </w:r>
    </w:p>
    <w:p w14:paraId="2E825DDC">
      <w:pPr>
        <w:pStyle w:val="991"/>
        <w:numPr>
          <w:ilvl w:val="0"/>
          <w:numId w:val="0"/>
        </w:numPr>
        <w:wordWrap/>
        <w:topLinePunct w:val="0"/>
        <w:rPr>
          <w:rFonts w:ascii="宋体" w:hAnsi="宋体" w:eastAsia="宋体"/>
          <w:b w:val="0"/>
          <w:bCs/>
          <w:sz w:val="32"/>
          <w:szCs w:val="32"/>
        </w:rPr>
      </w:pPr>
      <w:bookmarkStart w:id="97" w:name="_Ref4796511"/>
      <w:bookmarkStart w:id="98" w:name="_Toc54862192"/>
      <w:r>
        <w:rPr>
          <w:rFonts w:hint="eastAsia" w:ascii="宋体" w:hAnsi="宋体" w:eastAsia="宋体"/>
          <w:b w:val="0"/>
          <w:bCs/>
          <w:sz w:val="32"/>
          <w:szCs w:val="32"/>
        </w:rPr>
        <w:t>第2条 发包人</w:t>
      </w:r>
      <w:bookmarkEnd w:id="97"/>
      <w:bookmarkEnd w:id="98"/>
    </w:p>
    <w:p w14:paraId="759837A8">
      <w:pPr>
        <w:pStyle w:val="969"/>
        <w:widowControl/>
        <w:numPr>
          <w:ilvl w:val="0"/>
          <w:numId w:val="0"/>
        </w:numPr>
        <w:rPr>
          <w:rFonts w:ascii="宋体" w:hAnsi="宋体" w:eastAsia="宋体"/>
          <w:b w:val="0"/>
          <w:bCs/>
          <w:sz w:val="30"/>
          <w:szCs w:val="30"/>
        </w:rPr>
      </w:pPr>
      <w:bookmarkStart w:id="99" w:name="_Toc54862193"/>
      <w:r>
        <w:rPr>
          <w:rFonts w:hint="eastAsia" w:ascii="宋体" w:hAnsi="宋体" w:eastAsia="宋体"/>
          <w:b w:val="0"/>
          <w:bCs/>
          <w:sz w:val="30"/>
          <w:szCs w:val="30"/>
        </w:rPr>
        <w:t>2</w:t>
      </w:r>
      <w:r>
        <w:rPr>
          <w:rFonts w:ascii="宋体" w:hAnsi="宋体" w:eastAsia="宋体"/>
          <w:b w:val="0"/>
          <w:bCs/>
          <w:sz w:val="30"/>
          <w:szCs w:val="30"/>
        </w:rPr>
        <w:t xml:space="preserve">.1 </w:t>
      </w:r>
      <w:r>
        <w:rPr>
          <w:rFonts w:hint="eastAsia" w:ascii="宋体" w:hAnsi="宋体" w:eastAsia="宋体"/>
          <w:b w:val="0"/>
          <w:bCs/>
          <w:sz w:val="30"/>
          <w:szCs w:val="30"/>
        </w:rPr>
        <w:t>遵守法律</w:t>
      </w:r>
      <w:bookmarkEnd w:id="99"/>
    </w:p>
    <w:p w14:paraId="30C340B5">
      <w:pPr>
        <w:ind w:firstLine="600"/>
        <w:rPr>
          <w:rFonts w:ascii="宋体" w:hAnsi="宋体"/>
          <w:sz w:val="30"/>
          <w:szCs w:val="30"/>
        </w:rPr>
      </w:pPr>
      <w:r>
        <w:rPr>
          <w:rFonts w:hint="eastAsia" w:ascii="宋体" w:hAnsi="宋体"/>
          <w:sz w:val="30"/>
          <w:szCs w:val="30"/>
        </w:rPr>
        <w:t>发包人在履行合同过程中应遵守法律，并承担因发包人违反法律给承包人造成的任何费用和损失。发包人不得以任何理由，要求承包人在工程实施过程中违反法律、行政法规以及建设工程质量、安全、环保标准，任意压缩合理工期或者降低工程质量。</w:t>
      </w:r>
    </w:p>
    <w:p w14:paraId="5AB585CA">
      <w:pPr>
        <w:pStyle w:val="969"/>
        <w:widowControl/>
        <w:numPr>
          <w:ilvl w:val="0"/>
          <w:numId w:val="0"/>
        </w:numPr>
        <w:rPr>
          <w:rFonts w:ascii="宋体" w:hAnsi="宋体" w:eastAsia="宋体"/>
          <w:b w:val="0"/>
          <w:bCs/>
          <w:sz w:val="30"/>
          <w:szCs w:val="30"/>
        </w:rPr>
      </w:pPr>
      <w:bookmarkStart w:id="100" w:name="_Toc54862194"/>
      <w:bookmarkStart w:id="101" w:name="_Ref11917977"/>
      <w:bookmarkStart w:id="102" w:name="_Ref11917995"/>
      <w:r>
        <w:rPr>
          <w:rFonts w:hint="eastAsia" w:ascii="宋体" w:hAnsi="宋体" w:eastAsia="宋体"/>
          <w:b w:val="0"/>
          <w:bCs/>
          <w:sz w:val="30"/>
          <w:szCs w:val="30"/>
        </w:rPr>
        <w:t>2</w:t>
      </w:r>
      <w:r>
        <w:rPr>
          <w:rFonts w:ascii="宋体" w:hAnsi="宋体" w:eastAsia="宋体"/>
          <w:b w:val="0"/>
          <w:bCs/>
          <w:sz w:val="30"/>
          <w:szCs w:val="30"/>
        </w:rPr>
        <w:t xml:space="preserve">.2 </w:t>
      </w:r>
      <w:r>
        <w:rPr>
          <w:rFonts w:hint="eastAsia" w:ascii="宋体" w:hAnsi="宋体" w:eastAsia="宋体"/>
          <w:b w:val="0"/>
          <w:bCs/>
          <w:sz w:val="30"/>
          <w:szCs w:val="30"/>
        </w:rPr>
        <w:t>提供施工现场和工作条件</w:t>
      </w:r>
      <w:bookmarkEnd w:id="100"/>
      <w:bookmarkEnd w:id="101"/>
      <w:bookmarkEnd w:id="102"/>
      <w:bookmarkStart w:id="103" w:name="_Toc51505123"/>
      <w:bookmarkEnd w:id="103"/>
      <w:bookmarkStart w:id="104" w:name="_Toc54862197"/>
      <w:bookmarkEnd w:id="104"/>
      <w:bookmarkStart w:id="105" w:name="_Toc51505124"/>
      <w:bookmarkEnd w:id="105"/>
      <w:bookmarkStart w:id="106" w:name="_Toc51505125"/>
      <w:bookmarkEnd w:id="106"/>
      <w:bookmarkStart w:id="107" w:name="_Toc54862195"/>
      <w:bookmarkEnd w:id="107"/>
      <w:bookmarkStart w:id="108" w:name="_Toc54862196"/>
      <w:bookmarkEnd w:id="108"/>
      <w:bookmarkStart w:id="109" w:name="_Ref531950085"/>
    </w:p>
    <w:p w14:paraId="771E8742">
      <w:pPr>
        <w:pStyle w:val="994"/>
        <w:numPr>
          <w:ilvl w:val="0"/>
          <w:numId w:val="0"/>
        </w:numPr>
        <w:rPr>
          <w:sz w:val="30"/>
          <w:szCs w:val="30"/>
        </w:rPr>
      </w:pPr>
      <w:r>
        <w:rPr>
          <w:rFonts w:hint="eastAsia"/>
          <w:sz w:val="30"/>
          <w:szCs w:val="30"/>
        </w:rPr>
        <w:t>2</w:t>
      </w:r>
      <w:r>
        <w:rPr>
          <w:sz w:val="30"/>
          <w:szCs w:val="30"/>
        </w:rPr>
        <w:t xml:space="preserve">.2.1 </w:t>
      </w:r>
      <w:r>
        <w:rPr>
          <w:rFonts w:hint="eastAsia"/>
          <w:sz w:val="30"/>
          <w:szCs w:val="30"/>
        </w:rPr>
        <w:t>提供施工</w:t>
      </w:r>
      <w:bookmarkEnd w:id="109"/>
      <w:r>
        <w:rPr>
          <w:rFonts w:hint="eastAsia"/>
          <w:sz w:val="30"/>
          <w:szCs w:val="30"/>
        </w:rPr>
        <w:t>现场</w:t>
      </w:r>
    </w:p>
    <w:p w14:paraId="5019086A">
      <w:pPr>
        <w:ind w:firstLine="600"/>
        <w:rPr>
          <w:rFonts w:ascii="宋体" w:hAnsi="宋体"/>
          <w:color w:val="000000"/>
          <w:sz w:val="30"/>
          <w:szCs w:val="30"/>
        </w:rPr>
      </w:pPr>
      <w:r>
        <w:rPr>
          <w:rFonts w:hint="eastAsia" w:ascii="宋体" w:hAnsi="宋体"/>
          <w:sz w:val="30"/>
          <w:szCs w:val="30"/>
        </w:rPr>
        <w:t>发包人应按专用合同条件约定向承包人移交施工现场，给承包人进入和占用施工现场各部分的权利，并明确与承包人的交接界面，上述进入和占用权可不为承包人独享。如专用合同条件没有约定移交时间的，则发包人应最迟于计划开始现场施工日期7天前向承包人移交施工现场，但承包人未能按照第4.2款[履约担保]提供履约担保的除外。</w:t>
      </w:r>
    </w:p>
    <w:p w14:paraId="15A8EAA7">
      <w:pPr>
        <w:pStyle w:val="994"/>
        <w:numPr>
          <w:ilvl w:val="0"/>
          <w:numId w:val="0"/>
        </w:numPr>
        <w:rPr>
          <w:sz w:val="30"/>
          <w:szCs w:val="30"/>
        </w:rPr>
      </w:pPr>
      <w:bookmarkStart w:id="110" w:name="_Ref531950101"/>
      <w:r>
        <w:rPr>
          <w:rFonts w:hint="eastAsia"/>
          <w:sz w:val="30"/>
          <w:szCs w:val="30"/>
        </w:rPr>
        <w:t>2</w:t>
      </w:r>
      <w:r>
        <w:rPr>
          <w:sz w:val="30"/>
          <w:szCs w:val="30"/>
        </w:rPr>
        <w:t xml:space="preserve">.2.2 </w:t>
      </w:r>
      <w:r>
        <w:rPr>
          <w:rFonts w:hint="eastAsia"/>
          <w:sz w:val="30"/>
          <w:szCs w:val="30"/>
        </w:rPr>
        <w:t>提供工作条件</w:t>
      </w:r>
      <w:bookmarkEnd w:id="110"/>
    </w:p>
    <w:p w14:paraId="67A6F765">
      <w:pPr>
        <w:ind w:firstLine="600"/>
        <w:rPr>
          <w:rFonts w:ascii="宋体" w:hAnsi="宋体"/>
          <w:sz w:val="30"/>
          <w:szCs w:val="30"/>
        </w:rPr>
      </w:pPr>
      <w:r>
        <w:rPr>
          <w:rFonts w:hint="eastAsia" w:ascii="宋体" w:hAnsi="宋体"/>
          <w:sz w:val="30"/>
          <w:szCs w:val="30"/>
        </w:rPr>
        <w:t>发包人应按专用合同条件约定向承包人提供工作条件。专用合同条件对此没有约定的，发包人应负责提供开展本合同相关工作所需要的条件，包括：</w:t>
      </w:r>
    </w:p>
    <w:p w14:paraId="17E8502F">
      <w:pPr>
        <w:ind w:firstLine="600"/>
        <w:rPr>
          <w:rFonts w:ascii="宋体" w:hAnsi="宋体"/>
          <w:sz w:val="30"/>
          <w:szCs w:val="30"/>
        </w:rPr>
      </w:pPr>
      <w:r>
        <w:rPr>
          <w:rFonts w:hint="eastAsia" w:ascii="宋体" w:hAnsi="宋体"/>
          <w:sz w:val="30"/>
          <w:szCs w:val="30"/>
        </w:rPr>
        <w:t>（1） 将施工用水、电力、通讯线路等施工所必需的条件接至施工现场内；</w:t>
      </w:r>
    </w:p>
    <w:p w14:paraId="12C85B65">
      <w:pPr>
        <w:ind w:firstLine="600"/>
        <w:rPr>
          <w:rFonts w:ascii="宋体" w:hAnsi="宋体"/>
          <w:sz w:val="30"/>
          <w:szCs w:val="30"/>
        </w:rPr>
      </w:pPr>
      <w:r>
        <w:rPr>
          <w:rFonts w:hint="eastAsia" w:ascii="宋体" w:hAnsi="宋体"/>
          <w:sz w:val="30"/>
          <w:szCs w:val="30"/>
        </w:rPr>
        <w:t>（2） 保证向承包人提供正常施工所需要的进入施工现场的交通条件；</w:t>
      </w:r>
    </w:p>
    <w:p w14:paraId="3CCA7CFD">
      <w:pPr>
        <w:ind w:firstLine="600"/>
        <w:rPr>
          <w:rFonts w:ascii="宋体" w:hAnsi="宋体"/>
          <w:sz w:val="30"/>
          <w:szCs w:val="30"/>
        </w:rPr>
      </w:pPr>
      <w:r>
        <w:rPr>
          <w:rFonts w:hint="eastAsia" w:ascii="宋体" w:hAnsi="宋体"/>
          <w:sz w:val="30"/>
          <w:szCs w:val="30"/>
        </w:rPr>
        <w:t>（3） 协调处理施工现场周围地下管线和邻近建筑物、构筑物、古树名木、文物、化石及坟墓等的保护工作，并承担相关费用；</w:t>
      </w:r>
    </w:p>
    <w:p w14:paraId="3486F1DE">
      <w:pPr>
        <w:ind w:firstLine="600"/>
        <w:rPr>
          <w:rFonts w:ascii="宋体" w:hAnsi="宋体"/>
          <w:sz w:val="30"/>
          <w:szCs w:val="30"/>
        </w:rPr>
      </w:pPr>
      <w:r>
        <w:rPr>
          <w:rFonts w:hint="eastAsia" w:ascii="宋体" w:hAnsi="宋体"/>
          <w:sz w:val="30"/>
          <w:szCs w:val="30"/>
        </w:rPr>
        <w:t>（4） 对工程现场临近发包人正在使用、运行、或由发包人用于生产的建筑物、构筑物、生产装置、设施、设备等，设置隔离设施，竖立禁止入内、禁止动火的明显标志，</w:t>
      </w:r>
      <w:r>
        <w:rPr>
          <w:rFonts w:ascii="宋体" w:hAnsi="宋体"/>
          <w:sz w:val="30"/>
          <w:szCs w:val="30"/>
        </w:rPr>
        <w:t xml:space="preserve"> 并以书面形式通知承包人须遵守的安全规定和位置范围；</w:t>
      </w:r>
    </w:p>
    <w:p w14:paraId="6E17CC39">
      <w:pPr>
        <w:ind w:firstLine="600"/>
        <w:rPr>
          <w:rFonts w:ascii="宋体" w:hAnsi="宋体"/>
          <w:sz w:val="30"/>
          <w:szCs w:val="30"/>
        </w:rPr>
      </w:pPr>
      <w:r>
        <w:rPr>
          <w:rFonts w:hint="eastAsia" w:ascii="宋体" w:hAnsi="宋体"/>
          <w:sz w:val="30"/>
          <w:szCs w:val="30"/>
        </w:rPr>
        <w:t>（5） 按照专用合同条件约定应提供的其他设施和条件。</w:t>
      </w:r>
    </w:p>
    <w:p w14:paraId="6A7D70B2">
      <w:pPr>
        <w:pStyle w:val="994"/>
        <w:numPr>
          <w:ilvl w:val="0"/>
          <w:numId w:val="0"/>
        </w:numPr>
        <w:rPr>
          <w:sz w:val="30"/>
          <w:szCs w:val="30"/>
        </w:rPr>
      </w:pPr>
      <w:r>
        <w:rPr>
          <w:rFonts w:hint="eastAsia"/>
          <w:sz w:val="30"/>
          <w:szCs w:val="30"/>
        </w:rPr>
        <w:t>2</w:t>
      </w:r>
      <w:r>
        <w:rPr>
          <w:sz w:val="30"/>
          <w:szCs w:val="30"/>
        </w:rPr>
        <w:t xml:space="preserve">.2.3 </w:t>
      </w:r>
      <w:r>
        <w:rPr>
          <w:rFonts w:hint="eastAsia"/>
          <w:sz w:val="30"/>
          <w:szCs w:val="30"/>
        </w:rPr>
        <w:t>逾期提供的责任</w:t>
      </w:r>
    </w:p>
    <w:p w14:paraId="60621F70">
      <w:pPr>
        <w:ind w:firstLine="600"/>
        <w:rPr>
          <w:rFonts w:ascii="宋体" w:hAnsi="宋体"/>
          <w:sz w:val="30"/>
          <w:szCs w:val="30"/>
        </w:rPr>
      </w:pPr>
      <w:r>
        <w:rPr>
          <w:rFonts w:hint="eastAsia" w:ascii="宋体" w:hAnsi="宋体"/>
          <w:sz w:val="30"/>
          <w:szCs w:val="30"/>
        </w:rPr>
        <w:t>因发包人原因未能按合同约定及时向承包人提供施工现场和施工条件的，由发包人承担由此增加的费用和（或）延误的工期。</w:t>
      </w:r>
    </w:p>
    <w:p w14:paraId="195C912D">
      <w:pPr>
        <w:pStyle w:val="969"/>
        <w:widowControl/>
        <w:numPr>
          <w:ilvl w:val="0"/>
          <w:numId w:val="0"/>
        </w:numPr>
        <w:rPr>
          <w:rFonts w:ascii="宋体" w:hAnsi="宋体" w:eastAsia="宋体"/>
          <w:b w:val="0"/>
          <w:bCs/>
          <w:sz w:val="30"/>
          <w:szCs w:val="30"/>
        </w:rPr>
      </w:pPr>
      <w:bookmarkStart w:id="111" w:name="_Toc54862198"/>
      <w:bookmarkStart w:id="112" w:name="_Ref11956647"/>
      <w:bookmarkStart w:id="113" w:name="_Ref11918036"/>
      <w:bookmarkStart w:id="114" w:name="_Ref11956654"/>
      <w:bookmarkStart w:id="115" w:name="_Ref11918025"/>
      <w:r>
        <w:rPr>
          <w:rFonts w:hint="eastAsia" w:ascii="宋体" w:hAnsi="宋体" w:eastAsia="宋体"/>
          <w:b w:val="0"/>
          <w:bCs/>
          <w:sz w:val="30"/>
          <w:szCs w:val="30"/>
        </w:rPr>
        <w:t>2</w:t>
      </w:r>
      <w:r>
        <w:rPr>
          <w:rFonts w:ascii="宋体" w:hAnsi="宋体" w:eastAsia="宋体"/>
          <w:b w:val="0"/>
          <w:bCs/>
          <w:sz w:val="30"/>
          <w:szCs w:val="30"/>
        </w:rPr>
        <w:t xml:space="preserve">.3 </w:t>
      </w:r>
      <w:r>
        <w:rPr>
          <w:rFonts w:hint="eastAsia" w:ascii="宋体" w:hAnsi="宋体" w:eastAsia="宋体"/>
          <w:b w:val="0"/>
          <w:bCs/>
          <w:sz w:val="30"/>
          <w:szCs w:val="30"/>
        </w:rPr>
        <w:t>提供基础资料</w:t>
      </w:r>
      <w:bookmarkEnd w:id="111"/>
      <w:bookmarkEnd w:id="112"/>
      <w:bookmarkEnd w:id="113"/>
      <w:bookmarkEnd w:id="114"/>
      <w:bookmarkEnd w:id="115"/>
    </w:p>
    <w:p w14:paraId="2BEC4CE0">
      <w:pPr>
        <w:ind w:firstLine="600"/>
        <w:rPr>
          <w:rFonts w:ascii="宋体" w:hAnsi="宋体"/>
          <w:sz w:val="30"/>
          <w:szCs w:val="30"/>
        </w:rPr>
      </w:pPr>
      <w:bookmarkStart w:id="116" w:name="_Hlk51506429"/>
      <w:r>
        <w:rPr>
          <w:rFonts w:hint="eastAsia" w:ascii="宋体" w:hAnsi="宋体"/>
          <w:sz w:val="30"/>
          <w:szCs w:val="30"/>
        </w:rPr>
        <w:t>发包人应按专用合同条件和《发包人要求》中的约定向承包人提供</w:t>
      </w:r>
      <w:bookmarkEnd w:id="116"/>
      <w:r>
        <w:rPr>
          <w:rFonts w:hint="eastAsia" w:ascii="宋体" w:hAnsi="宋体"/>
          <w:sz w:val="30"/>
          <w:szCs w:val="30"/>
        </w:rPr>
        <w:t>施工现场及工程实施所必需的毗邻区域内的供水、排水、供电、供气、供热、通信、广播电视等地上、地下管线和设施资料，气象和水文观测资料，地质勘察资料，相邻建筑物、构筑物和地下工程等有关基础资料，并根据第</w:t>
      </w:r>
      <w:r>
        <w:rPr>
          <w:rFonts w:ascii="宋体" w:hAnsi="宋体"/>
          <w:sz w:val="30"/>
          <w:szCs w:val="30"/>
        </w:rPr>
        <w:t>1.12</w:t>
      </w:r>
      <w:r>
        <w:rPr>
          <w:rFonts w:hint="eastAsia" w:ascii="宋体" w:hAnsi="宋体"/>
          <w:sz w:val="30"/>
          <w:szCs w:val="30"/>
        </w:rPr>
        <w:t>款[</w:t>
      </w:r>
      <w:r>
        <w:rPr>
          <w:rFonts w:ascii="宋体" w:hAnsi="宋体"/>
          <w:sz w:val="30"/>
          <w:szCs w:val="30"/>
        </w:rPr>
        <w:t>《发包人要求》和基础资料中的错误</w:t>
      </w:r>
      <w:r>
        <w:rPr>
          <w:rFonts w:hint="eastAsia" w:ascii="宋体" w:hAnsi="宋体"/>
          <w:sz w:val="30"/>
          <w:szCs w:val="30"/>
        </w:rPr>
        <w:t>]承担基础资料错误造成的责任。按照法律规定确需在开工后方能提供的基础资料，发包人应尽其努力及时地在相应工程实施前的合理期限内提供，合理期限应以不影响承包人的正常履约为限。因发包人原因未能在合理期限内提供相应基础资料的，由发包人承担由此增加的费用和延误的工期。</w:t>
      </w:r>
    </w:p>
    <w:p w14:paraId="0F12E385">
      <w:pPr>
        <w:pStyle w:val="969"/>
        <w:widowControl/>
        <w:numPr>
          <w:ilvl w:val="0"/>
          <w:numId w:val="0"/>
        </w:numPr>
        <w:rPr>
          <w:rFonts w:ascii="宋体" w:hAnsi="宋体" w:eastAsia="宋体"/>
          <w:b w:val="0"/>
          <w:bCs/>
          <w:sz w:val="30"/>
          <w:szCs w:val="30"/>
        </w:rPr>
      </w:pPr>
      <w:bookmarkStart w:id="117" w:name="_Ref531950045"/>
      <w:bookmarkStart w:id="118" w:name="_Ref531950041"/>
      <w:bookmarkStart w:id="119" w:name="_Toc54862199"/>
      <w:r>
        <w:rPr>
          <w:rFonts w:hint="eastAsia" w:ascii="宋体" w:hAnsi="宋体" w:eastAsia="宋体"/>
          <w:b w:val="0"/>
          <w:bCs/>
          <w:sz w:val="30"/>
          <w:szCs w:val="30"/>
        </w:rPr>
        <w:t>2</w:t>
      </w:r>
      <w:r>
        <w:rPr>
          <w:rFonts w:ascii="宋体" w:hAnsi="宋体" w:eastAsia="宋体"/>
          <w:b w:val="0"/>
          <w:bCs/>
          <w:sz w:val="30"/>
          <w:szCs w:val="30"/>
        </w:rPr>
        <w:t xml:space="preserve">.4 </w:t>
      </w:r>
      <w:r>
        <w:rPr>
          <w:rFonts w:hint="eastAsia" w:ascii="宋体" w:hAnsi="宋体" w:eastAsia="宋体"/>
          <w:b w:val="0"/>
          <w:bCs/>
          <w:sz w:val="30"/>
          <w:szCs w:val="30"/>
        </w:rPr>
        <w:t>办理许可和批准</w:t>
      </w:r>
      <w:bookmarkEnd w:id="117"/>
      <w:bookmarkEnd w:id="118"/>
      <w:bookmarkEnd w:id="119"/>
    </w:p>
    <w:p w14:paraId="6921741C">
      <w:pPr>
        <w:pStyle w:val="994"/>
        <w:numPr>
          <w:ilvl w:val="0"/>
          <w:numId w:val="0"/>
        </w:numPr>
        <w:rPr>
          <w:sz w:val="30"/>
          <w:szCs w:val="30"/>
        </w:rPr>
      </w:pPr>
      <w:bookmarkStart w:id="120" w:name="_Toc51505128"/>
      <w:r>
        <w:rPr>
          <w:rFonts w:hint="eastAsia"/>
          <w:sz w:val="30"/>
          <w:szCs w:val="30"/>
        </w:rPr>
        <w:t>2</w:t>
      </w:r>
      <w:r>
        <w:rPr>
          <w:sz w:val="30"/>
          <w:szCs w:val="30"/>
        </w:rPr>
        <w:t xml:space="preserve">.4.1 </w:t>
      </w:r>
      <w:r>
        <w:rPr>
          <w:rFonts w:hint="eastAsia"/>
          <w:sz w:val="30"/>
          <w:szCs w:val="30"/>
        </w:rPr>
        <w:t>发包人在履行合同过程中应遵守法律，并办理法律规定或合同约定由其办理的许可、批准或备案，包括但不限于建设用地规划许可证、建设工程规划许可证、建设工程施工许可证等许可和批准。对于法律规定或合同约定由承包人负责的有关设计、施工证件、批件或备案，发包人应给予必要的协助。</w:t>
      </w:r>
      <w:bookmarkEnd w:id="120"/>
    </w:p>
    <w:p w14:paraId="33AD5038">
      <w:pPr>
        <w:pStyle w:val="994"/>
        <w:numPr>
          <w:ilvl w:val="0"/>
          <w:numId w:val="0"/>
        </w:numPr>
        <w:rPr>
          <w:sz w:val="30"/>
          <w:szCs w:val="30"/>
        </w:rPr>
      </w:pPr>
      <w:bookmarkStart w:id="121" w:name="_Toc51505129"/>
      <w:r>
        <w:rPr>
          <w:rFonts w:hint="eastAsia"/>
          <w:sz w:val="30"/>
          <w:szCs w:val="30"/>
        </w:rPr>
        <w:t>2</w:t>
      </w:r>
      <w:r>
        <w:rPr>
          <w:sz w:val="30"/>
          <w:szCs w:val="30"/>
        </w:rPr>
        <w:t xml:space="preserve">.4.2 </w:t>
      </w:r>
      <w:r>
        <w:rPr>
          <w:rFonts w:hint="eastAsia"/>
          <w:sz w:val="30"/>
          <w:szCs w:val="30"/>
        </w:rPr>
        <w:t>因发包人原因未能及时办理完毕前述许可、批准或备案，由发包人承担由此增加的费用和（或）延误的工期，并支付承包人合理的利润。</w:t>
      </w:r>
      <w:bookmarkEnd w:id="121"/>
    </w:p>
    <w:p w14:paraId="2B39E5AB">
      <w:pPr>
        <w:pStyle w:val="969"/>
        <w:widowControl/>
        <w:numPr>
          <w:ilvl w:val="0"/>
          <w:numId w:val="0"/>
        </w:numPr>
        <w:rPr>
          <w:rFonts w:ascii="宋体" w:hAnsi="宋体" w:eastAsia="宋体"/>
          <w:b w:val="0"/>
          <w:bCs/>
          <w:sz w:val="30"/>
          <w:szCs w:val="30"/>
        </w:rPr>
      </w:pPr>
      <w:bookmarkStart w:id="122" w:name="_Ref11956525"/>
      <w:bookmarkStart w:id="123" w:name="_Toc54862200"/>
      <w:bookmarkStart w:id="124" w:name="_Ref11918070"/>
      <w:bookmarkStart w:id="125" w:name="_Ref11956533"/>
      <w:bookmarkStart w:id="126" w:name="_Ref11918060"/>
      <w:r>
        <w:rPr>
          <w:rFonts w:hint="eastAsia" w:ascii="宋体" w:hAnsi="宋体" w:eastAsia="宋体"/>
          <w:b w:val="0"/>
          <w:bCs/>
          <w:sz w:val="30"/>
          <w:szCs w:val="30"/>
        </w:rPr>
        <w:t>2</w:t>
      </w:r>
      <w:r>
        <w:rPr>
          <w:rFonts w:ascii="宋体" w:hAnsi="宋体" w:eastAsia="宋体"/>
          <w:b w:val="0"/>
          <w:bCs/>
          <w:sz w:val="30"/>
          <w:szCs w:val="30"/>
        </w:rPr>
        <w:t>.5 支付合同价款</w:t>
      </w:r>
      <w:bookmarkEnd w:id="122"/>
      <w:bookmarkEnd w:id="123"/>
      <w:bookmarkEnd w:id="124"/>
      <w:bookmarkEnd w:id="125"/>
      <w:bookmarkEnd w:id="126"/>
    </w:p>
    <w:p w14:paraId="6DC09480">
      <w:pPr>
        <w:pStyle w:val="994"/>
        <w:numPr>
          <w:ilvl w:val="0"/>
          <w:numId w:val="0"/>
        </w:numPr>
        <w:rPr>
          <w:sz w:val="30"/>
          <w:szCs w:val="30"/>
        </w:rPr>
      </w:pPr>
      <w:bookmarkStart w:id="127" w:name="_Toc51505131"/>
      <w:bookmarkStart w:id="128" w:name="_Ref531950147"/>
      <w:r>
        <w:rPr>
          <w:rFonts w:hint="eastAsia"/>
          <w:sz w:val="30"/>
          <w:szCs w:val="30"/>
        </w:rPr>
        <w:t>2</w:t>
      </w:r>
      <w:r>
        <w:rPr>
          <w:sz w:val="30"/>
          <w:szCs w:val="30"/>
        </w:rPr>
        <w:t xml:space="preserve">.5.1 </w:t>
      </w:r>
      <w:r>
        <w:rPr>
          <w:rFonts w:hint="eastAsia"/>
          <w:sz w:val="30"/>
          <w:szCs w:val="30"/>
        </w:rPr>
        <w:t>发包人应按合同约定向承包人及时支付合同价款。</w:t>
      </w:r>
      <w:bookmarkEnd w:id="127"/>
    </w:p>
    <w:bookmarkEnd w:id="128"/>
    <w:p w14:paraId="512ECE10">
      <w:pPr>
        <w:pStyle w:val="994"/>
        <w:numPr>
          <w:ilvl w:val="0"/>
          <w:numId w:val="0"/>
        </w:numPr>
        <w:rPr>
          <w:sz w:val="30"/>
          <w:szCs w:val="30"/>
        </w:rPr>
      </w:pPr>
      <w:bookmarkStart w:id="129" w:name="_Toc51505132"/>
      <w:r>
        <w:rPr>
          <w:rFonts w:hint="eastAsia"/>
          <w:sz w:val="30"/>
          <w:szCs w:val="30"/>
        </w:rPr>
        <w:t>2</w:t>
      </w:r>
      <w:r>
        <w:rPr>
          <w:sz w:val="30"/>
          <w:szCs w:val="30"/>
        </w:rPr>
        <w:t xml:space="preserve">.5.2 </w:t>
      </w:r>
      <w:r>
        <w:rPr>
          <w:rFonts w:hint="eastAsia"/>
          <w:sz w:val="30"/>
          <w:szCs w:val="30"/>
        </w:rPr>
        <w:t>发包人应当制定资金安排计划，除专用合同条件另有约定外，如发包人拟对资金安排做任何重要变更，应将变更的详细情况通知承包人。如发生承包人收到价格大于签约合同价</w:t>
      </w:r>
      <w:r>
        <w:rPr>
          <w:sz w:val="30"/>
          <w:szCs w:val="30"/>
        </w:rPr>
        <w:t>10%</w:t>
      </w:r>
      <w:r>
        <w:rPr>
          <w:rFonts w:hint="eastAsia"/>
          <w:sz w:val="30"/>
          <w:szCs w:val="30"/>
        </w:rPr>
        <w:t>的变更指示或累计变更的总价超过签约合同价</w:t>
      </w:r>
      <w:r>
        <w:rPr>
          <w:sz w:val="30"/>
          <w:szCs w:val="30"/>
        </w:rPr>
        <w:t>30%；或承包人未能根据</w:t>
      </w:r>
      <w:r>
        <w:rPr>
          <w:rFonts w:hint="eastAsia"/>
          <w:sz w:val="30"/>
          <w:szCs w:val="30"/>
        </w:rPr>
        <w:t>第</w:t>
      </w:r>
      <w:r>
        <w:rPr>
          <w:sz w:val="30"/>
          <w:szCs w:val="30"/>
        </w:rPr>
        <w:t>14条</w:t>
      </w:r>
      <w:r>
        <w:rPr>
          <w:rFonts w:hint="eastAsia"/>
          <w:sz w:val="30"/>
          <w:szCs w:val="30"/>
        </w:rPr>
        <w:t>[合同价格与支付]收到付款，或承包人得知发包人的资金安排发生重要变更但并未收到发包人上述重要变更通知的情况，则承包人可随时要求发包人在</w:t>
      </w:r>
      <w:r>
        <w:rPr>
          <w:sz w:val="30"/>
          <w:szCs w:val="30"/>
        </w:rPr>
        <w:t>28</w:t>
      </w:r>
      <w:r>
        <w:rPr>
          <w:rFonts w:hint="eastAsia"/>
          <w:sz w:val="30"/>
          <w:szCs w:val="30"/>
        </w:rPr>
        <w:t>天内补充提供能够按照合同约定支付合同价款的相应资金来源证明。</w:t>
      </w:r>
      <w:bookmarkEnd w:id="129"/>
    </w:p>
    <w:p w14:paraId="59A1563B">
      <w:pPr>
        <w:pStyle w:val="994"/>
        <w:numPr>
          <w:ilvl w:val="0"/>
          <w:numId w:val="0"/>
        </w:numPr>
        <w:rPr>
          <w:sz w:val="30"/>
          <w:szCs w:val="30"/>
        </w:rPr>
      </w:pPr>
      <w:bookmarkStart w:id="130" w:name="_Toc51505133"/>
      <w:bookmarkStart w:id="131" w:name="_Ref531950161"/>
      <w:r>
        <w:rPr>
          <w:rFonts w:hint="eastAsia"/>
          <w:sz w:val="30"/>
          <w:szCs w:val="30"/>
        </w:rPr>
        <w:t>2</w:t>
      </w:r>
      <w:r>
        <w:rPr>
          <w:sz w:val="30"/>
          <w:szCs w:val="30"/>
        </w:rPr>
        <w:t xml:space="preserve">.5.3 </w:t>
      </w:r>
      <w:r>
        <w:rPr>
          <w:rFonts w:hint="eastAsia"/>
          <w:sz w:val="30"/>
          <w:szCs w:val="30"/>
        </w:rPr>
        <w:t>发包人应当向承包人提供支付担保。支付担保可以采用银行保函或担保公司担保等形式，具体由合同当事人在专用合同条件中约定。</w:t>
      </w:r>
      <w:bookmarkEnd w:id="130"/>
      <w:bookmarkEnd w:id="131"/>
    </w:p>
    <w:p w14:paraId="6ED414B5">
      <w:pPr>
        <w:pStyle w:val="969"/>
        <w:widowControl/>
        <w:numPr>
          <w:ilvl w:val="0"/>
          <w:numId w:val="0"/>
        </w:numPr>
        <w:rPr>
          <w:rFonts w:ascii="宋体" w:hAnsi="宋体" w:eastAsia="宋体"/>
          <w:b w:val="0"/>
          <w:bCs/>
          <w:sz w:val="30"/>
          <w:szCs w:val="30"/>
        </w:rPr>
      </w:pPr>
      <w:bookmarkStart w:id="132" w:name="_Toc54862201"/>
      <w:r>
        <w:rPr>
          <w:rFonts w:hint="eastAsia" w:ascii="宋体" w:hAnsi="宋体" w:eastAsia="宋体"/>
          <w:b w:val="0"/>
          <w:bCs/>
          <w:sz w:val="30"/>
          <w:szCs w:val="30"/>
        </w:rPr>
        <w:t>2</w:t>
      </w:r>
      <w:r>
        <w:rPr>
          <w:rFonts w:ascii="宋体" w:hAnsi="宋体" w:eastAsia="宋体"/>
          <w:b w:val="0"/>
          <w:bCs/>
          <w:sz w:val="30"/>
          <w:szCs w:val="30"/>
        </w:rPr>
        <w:t xml:space="preserve">.6 </w:t>
      </w:r>
      <w:r>
        <w:rPr>
          <w:rFonts w:hint="eastAsia" w:ascii="宋体" w:hAnsi="宋体" w:eastAsia="宋体"/>
          <w:b w:val="0"/>
          <w:bCs/>
          <w:sz w:val="30"/>
          <w:szCs w:val="30"/>
        </w:rPr>
        <w:t>现场管理配合</w:t>
      </w:r>
      <w:bookmarkEnd w:id="132"/>
    </w:p>
    <w:p w14:paraId="2CFD8B68">
      <w:pPr>
        <w:ind w:firstLine="600"/>
        <w:rPr>
          <w:rFonts w:ascii="宋体" w:hAnsi="宋体"/>
          <w:sz w:val="30"/>
          <w:szCs w:val="30"/>
        </w:rPr>
      </w:pPr>
      <w:r>
        <w:rPr>
          <w:rFonts w:hint="eastAsia" w:ascii="宋体" w:hAnsi="宋体"/>
          <w:sz w:val="30"/>
          <w:szCs w:val="30"/>
        </w:rPr>
        <w:t>发包人应负责保证在现场或现场附近的发包人人员和发包人的其他承包人（如有）：</w:t>
      </w:r>
    </w:p>
    <w:p w14:paraId="7F2439E2">
      <w:pPr>
        <w:ind w:firstLine="600"/>
        <w:rPr>
          <w:rFonts w:ascii="宋体" w:hAnsi="宋体"/>
          <w:sz w:val="30"/>
          <w:szCs w:val="30"/>
        </w:rPr>
      </w:pPr>
      <w:r>
        <w:rPr>
          <w:rFonts w:hint="eastAsia" w:ascii="宋体" w:hAnsi="宋体"/>
          <w:sz w:val="30"/>
          <w:szCs w:val="30"/>
        </w:rPr>
        <w:t>（1）</w:t>
      </w:r>
      <w:r>
        <w:rPr>
          <w:rFonts w:ascii="宋体" w:hAnsi="宋体"/>
          <w:sz w:val="30"/>
          <w:szCs w:val="30"/>
        </w:rPr>
        <w:t xml:space="preserve"> </w:t>
      </w:r>
      <w:r>
        <w:rPr>
          <w:rFonts w:hint="eastAsia" w:ascii="宋体" w:hAnsi="宋体"/>
          <w:sz w:val="30"/>
          <w:szCs w:val="30"/>
        </w:rPr>
        <w:t>根据第</w:t>
      </w:r>
      <w:r>
        <w:rPr>
          <w:rFonts w:ascii="宋体" w:hAnsi="宋体"/>
          <w:sz w:val="30"/>
          <w:szCs w:val="30"/>
        </w:rPr>
        <w:t>7.3</w:t>
      </w:r>
      <w:r>
        <w:rPr>
          <w:rFonts w:hint="eastAsia" w:ascii="宋体" w:hAnsi="宋体"/>
          <w:sz w:val="30"/>
          <w:szCs w:val="30"/>
        </w:rPr>
        <w:t>款[现场合作]的约定，与承包人进行合作；</w:t>
      </w:r>
    </w:p>
    <w:p w14:paraId="79AD2E49">
      <w:pPr>
        <w:ind w:firstLine="600"/>
        <w:rPr>
          <w:rFonts w:ascii="宋体" w:hAnsi="宋体"/>
          <w:sz w:val="30"/>
          <w:szCs w:val="30"/>
        </w:rPr>
      </w:pPr>
      <w:r>
        <w:rPr>
          <w:rFonts w:hint="eastAsia" w:ascii="宋体" w:hAnsi="宋体"/>
          <w:sz w:val="30"/>
          <w:szCs w:val="30"/>
        </w:rPr>
        <w:t>（2）</w:t>
      </w:r>
      <w:r>
        <w:rPr>
          <w:rFonts w:ascii="宋体" w:hAnsi="宋体"/>
          <w:sz w:val="30"/>
          <w:szCs w:val="30"/>
        </w:rPr>
        <w:t xml:space="preserve"> </w:t>
      </w:r>
      <w:r>
        <w:rPr>
          <w:rFonts w:hint="eastAsia" w:ascii="宋体" w:hAnsi="宋体"/>
          <w:sz w:val="30"/>
          <w:szCs w:val="30"/>
        </w:rPr>
        <w:t>遵守第</w:t>
      </w:r>
      <w:r>
        <w:rPr>
          <w:rFonts w:ascii="宋体" w:hAnsi="宋体"/>
          <w:sz w:val="30"/>
          <w:szCs w:val="30"/>
        </w:rPr>
        <w:t>7.5</w:t>
      </w:r>
      <w:r>
        <w:rPr>
          <w:rFonts w:hint="eastAsia" w:ascii="宋体" w:hAnsi="宋体"/>
          <w:sz w:val="30"/>
          <w:szCs w:val="30"/>
        </w:rPr>
        <w:t>款[现场劳动用工</w:t>
      </w:r>
      <w:r>
        <w:rPr>
          <w:rFonts w:ascii="宋体" w:hAnsi="宋体"/>
          <w:sz w:val="30"/>
          <w:szCs w:val="30"/>
        </w:rPr>
        <w:t>]</w:t>
      </w:r>
      <w:r>
        <w:rPr>
          <w:rFonts w:hint="eastAsia" w:ascii="宋体" w:hAnsi="宋体"/>
          <w:sz w:val="30"/>
          <w:szCs w:val="30"/>
        </w:rPr>
        <w:t>、第7</w:t>
      </w:r>
      <w:r>
        <w:rPr>
          <w:rFonts w:ascii="宋体" w:hAnsi="宋体"/>
          <w:sz w:val="30"/>
          <w:szCs w:val="30"/>
        </w:rPr>
        <w:t>.6</w:t>
      </w:r>
      <w:r>
        <w:rPr>
          <w:rFonts w:hint="eastAsia" w:ascii="宋体" w:hAnsi="宋体"/>
          <w:sz w:val="30"/>
          <w:szCs w:val="30"/>
        </w:rPr>
        <w:t>款[安全文明施工]、第</w:t>
      </w:r>
      <w:r>
        <w:rPr>
          <w:rFonts w:ascii="宋体" w:hAnsi="宋体"/>
          <w:sz w:val="30"/>
          <w:szCs w:val="30"/>
        </w:rPr>
        <w:t>7.7</w:t>
      </w:r>
      <w:r>
        <w:rPr>
          <w:rFonts w:hint="eastAsia" w:ascii="宋体" w:hAnsi="宋体"/>
          <w:sz w:val="30"/>
          <w:szCs w:val="30"/>
        </w:rPr>
        <w:t>款[职业健康</w:t>
      </w:r>
      <w:bookmarkStart w:id="133" w:name="_Ref531952761"/>
      <w:bookmarkStart w:id="134" w:name="_Ref531952756"/>
      <w:r>
        <w:rPr>
          <w:rFonts w:hint="eastAsia" w:ascii="宋体" w:hAnsi="宋体"/>
          <w:sz w:val="30"/>
          <w:szCs w:val="30"/>
        </w:rPr>
        <w:t>]和第</w:t>
      </w:r>
      <w:r>
        <w:rPr>
          <w:rFonts w:ascii="宋体" w:hAnsi="宋体"/>
          <w:sz w:val="30"/>
          <w:szCs w:val="30"/>
        </w:rPr>
        <w:t>7.8</w:t>
      </w:r>
      <w:r>
        <w:rPr>
          <w:rFonts w:hint="eastAsia" w:ascii="宋体" w:hAnsi="宋体"/>
          <w:sz w:val="30"/>
          <w:szCs w:val="30"/>
        </w:rPr>
        <w:t>款[</w:t>
      </w:r>
      <w:r>
        <w:rPr>
          <w:rFonts w:ascii="宋体" w:hAnsi="宋体"/>
          <w:sz w:val="30"/>
          <w:szCs w:val="30"/>
        </w:rPr>
        <w:t>环境保护</w:t>
      </w:r>
      <w:r>
        <w:rPr>
          <w:rFonts w:hint="eastAsia" w:ascii="宋体" w:hAnsi="宋体"/>
          <w:sz w:val="30"/>
          <w:szCs w:val="30"/>
        </w:rPr>
        <w:t>]的相关约定。</w:t>
      </w:r>
    </w:p>
    <w:p w14:paraId="7AB55C40">
      <w:pPr>
        <w:ind w:firstLine="600"/>
        <w:rPr>
          <w:rFonts w:ascii="宋体" w:hAnsi="宋体"/>
          <w:sz w:val="30"/>
          <w:szCs w:val="30"/>
        </w:rPr>
      </w:pPr>
      <w:r>
        <w:rPr>
          <w:rFonts w:hint="eastAsia" w:ascii="宋体" w:hAnsi="宋体"/>
          <w:sz w:val="30"/>
          <w:szCs w:val="30"/>
        </w:rPr>
        <w:t>发包人应与承包人、由发包人直接发包的其他承包人（如有）订立施工现场统一管理协议，明确各方的权利义务。</w:t>
      </w:r>
    </w:p>
    <w:p w14:paraId="01F40D1B">
      <w:pPr>
        <w:pStyle w:val="969"/>
        <w:widowControl/>
        <w:numPr>
          <w:ilvl w:val="0"/>
          <w:numId w:val="0"/>
        </w:numPr>
        <w:rPr>
          <w:rFonts w:ascii="宋体" w:hAnsi="宋体" w:eastAsia="宋体"/>
          <w:b w:val="0"/>
          <w:bCs/>
          <w:sz w:val="30"/>
          <w:szCs w:val="30"/>
        </w:rPr>
      </w:pPr>
      <w:bookmarkStart w:id="135" w:name="_Ref11959376"/>
      <w:bookmarkStart w:id="136" w:name="_Toc54862202"/>
      <w:bookmarkStart w:id="137" w:name="_Ref11959372"/>
      <w:r>
        <w:rPr>
          <w:rFonts w:hint="eastAsia" w:ascii="宋体" w:hAnsi="宋体" w:eastAsia="宋体"/>
          <w:b w:val="0"/>
          <w:bCs/>
          <w:sz w:val="30"/>
          <w:szCs w:val="30"/>
        </w:rPr>
        <w:t>2</w:t>
      </w:r>
      <w:r>
        <w:rPr>
          <w:rFonts w:ascii="宋体" w:hAnsi="宋体" w:eastAsia="宋体"/>
          <w:b w:val="0"/>
          <w:bCs/>
          <w:sz w:val="30"/>
          <w:szCs w:val="30"/>
        </w:rPr>
        <w:t xml:space="preserve">.7 </w:t>
      </w:r>
      <w:r>
        <w:rPr>
          <w:rFonts w:hint="eastAsia" w:ascii="宋体" w:hAnsi="宋体" w:eastAsia="宋体"/>
          <w:b w:val="0"/>
          <w:bCs/>
          <w:sz w:val="30"/>
          <w:szCs w:val="30"/>
        </w:rPr>
        <w:t>其他义务</w:t>
      </w:r>
      <w:bookmarkEnd w:id="135"/>
      <w:bookmarkEnd w:id="136"/>
      <w:bookmarkEnd w:id="137"/>
    </w:p>
    <w:p w14:paraId="23BE00F7">
      <w:pPr>
        <w:ind w:firstLine="600"/>
        <w:rPr>
          <w:rFonts w:ascii="宋体" w:hAnsi="宋体"/>
          <w:sz w:val="30"/>
          <w:szCs w:val="30"/>
        </w:rPr>
      </w:pPr>
      <w:r>
        <w:rPr>
          <w:rFonts w:hint="eastAsia" w:ascii="宋体" w:hAnsi="宋体"/>
          <w:sz w:val="30"/>
          <w:szCs w:val="30"/>
        </w:rPr>
        <w:t>发包人应履行合同约定的其他义务，双方可在专用合同条件内对发包人应履行的其他义务进行补充约定。</w:t>
      </w:r>
    </w:p>
    <w:bookmarkEnd w:id="133"/>
    <w:bookmarkEnd w:id="134"/>
    <w:p w14:paraId="4AF86E92">
      <w:pPr>
        <w:pStyle w:val="991"/>
        <w:numPr>
          <w:ilvl w:val="0"/>
          <w:numId w:val="0"/>
        </w:numPr>
        <w:wordWrap/>
        <w:topLinePunct w:val="0"/>
        <w:rPr>
          <w:rFonts w:ascii="宋体" w:hAnsi="宋体" w:eastAsia="宋体"/>
          <w:b w:val="0"/>
          <w:bCs/>
          <w:sz w:val="32"/>
          <w:szCs w:val="21"/>
        </w:rPr>
      </w:pPr>
      <w:bookmarkStart w:id="138" w:name="_Ref531952791"/>
      <w:bookmarkStart w:id="139" w:name="_Toc54862203"/>
      <w:r>
        <w:rPr>
          <w:rFonts w:hint="eastAsia" w:ascii="宋体" w:hAnsi="宋体" w:eastAsia="宋体"/>
          <w:b w:val="0"/>
          <w:bCs/>
          <w:sz w:val="32"/>
          <w:szCs w:val="21"/>
        </w:rPr>
        <w:t>第3条 发包人的管理</w:t>
      </w:r>
      <w:bookmarkEnd w:id="138"/>
      <w:bookmarkEnd w:id="139"/>
    </w:p>
    <w:p w14:paraId="620B567B">
      <w:pPr>
        <w:pStyle w:val="969"/>
        <w:widowControl/>
        <w:numPr>
          <w:ilvl w:val="0"/>
          <w:numId w:val="0"/>
        </w:numPr>
        <w:rPr>
          <w:rFonts w:ascii="宋体" w:hAnsi="宋体" w:eastAsia="宋体"/>
          <w:b w:val="0"/>
          <w:bCs/>
          <w:sz w:val="30"/>
          <w:szCs w:val="30"/>
        </w:rPr>
      </w:pPr>
      <w:bookmarkStart w:id="140" w:name="_Ref522810094"/>
      <w:bookmarkStart w:id="141" w:name="_Ref522810097"/>
      <w:bookmarkStart w:id="142" w:name="_Toc54862204"/>
      <w:bookmarkStart w:id="143" w:name="_Ref531951533"/>
      <w:bookmarkStart w:id="144" w:name="_Ref531951538"/>
      <w:r>
        <w:rPr>
          <w:rFonts w:hint="eastAsia" w:ascii="宋体" w:hAnsi="宋体" w:eastAsia="宋体"/>
          <w:b w:val="0"/>
          <w:bCs/>
          <w:sz w:val="30"/>
          <w:szCs w:val="30"/>
        </w:rPr>
        <w:t>3</w:t>
      </w:r>
      <w:r>
        <w:rPr>
          <w:rFonts w:ascii="宋体" w:hAnsi="宋体" w:eastAsia="宋体"/>
          <w:b w:val="0"/>
          <w:bCs/>
          <w:sz w:val="30"/>
          <w:szCs w:val="30"/>
        </w:rPr>
        <w:t xml:space="preserve">.1 </w:t>
      </w:r>
      <w:r>
        <w:rPr>
          <w:rFonts w:hint="eastAsia" w:ascii="宋体" w:hAnsi="宋体" w:eastAsia="宋体"/>
          <w:b w:val="0"/>
          <w:bCs/>
          <w:sz w:val="30"/>
          <w:szCs w:val="30"/>
        </w:rPr>
        <w:t>发包人</w:t>
      </w:r>
      <w:bookmarkEnd w:id="140"/>
      <w:bookmarkEnd w:id="141"/>
      <w:r>
        <w:rPr>
          <w:rFonts w:hint="eastAsia" w:ascii="宋体" w:hAnsi="宋体" w:eastAsia="宋体"/>
          <w:b w:val="0"/>
          <w:bCs/>
          <w:sz w:val="30"/>
          <w:szCs w:val="30"/>
        </w:rPr>
        <w:t>代表</w:t>
      </w:r>
      <w:bookmarkEnd w:id="142"/>
      <w:bookmarkEnd w:id="143"/>
      <w:bookmarkEnd w:id="144"/>
    </w:p>
    <w:p w14:paraId="660A028D">
      <w:pPr>
        <w:ind w:firstLine="600"/>
        <w:rPr>
          <w:rFonts w:ascii="宋体" w:hAnsi="宋体"/>
          <w:sz w:val="30"/>
          <w:szCs w:val="30"/>
        </w:rPr>
      </w:pPr>
      <w:r>
        <w:rPr>
          <w:rFonts w:hint="eastAsia" w:ascii="宋体" w:hAnsi="宋体"/>
          <w:sz w:val="30"/>
          <w:szCs w:val="30"/>
        </w:rPr>
        <w:t>发包人应任命发包人代表，并在专用合同条件中明确发包人代表的姓名、职务、联系方式及授权范围等事项。发包人代表应在发包人的授权范围内，负责处理合同履行过程中与发包人有关的具体事宜。发包人代表在授权范围内的行为由发包人承担法律责任。</w:t>
      </w:r>
    </w:p>
    <w:p w14:paraId="739CD9B5">
      <w:pPr>
        <w:ind w:firstLine="600"/>
        <w:rPr>
          <w:rFonts w:ascii="宋体" w:hAnsi="宋体"/>
          <w:sz w:val="30"/>
          <w:szCs w:val="30"/>
        </w:rPr>
      </w:pPr>
      <w:r>
        <w:rPr>
          <w:rFonts w:hint="eastAsia" w:ascii="宋体" w:hAnsi="宋体"/>
          <w:sz w:val="30"/>
          <w:szCs w:val="30"/>
        </w:rPr>
        <w:t>除非发包人另行通知承包人，发包人代表应被授予并且被认为具有发包人在授权范围内享有的相应权利，涉及第</w:t>
      </w:r>
      <w:r>
        <w:rPr>
          <w:rFonts w:ascii="宋体" w:hAnsi="宋体"/>
          <w:sz w:val="30"/>
          <w:szCs w:val="30"/>
        </w:rPr>
        <w:t>16.1</w:t>
      </w:r>
      <w:r>
        <w:rPr>
          <w:rFonts w:hint="eastAsia" w:ascii="宋体" w:hAnsi="宋体"/>
          <w:sz w:val="30"/>
          <w:szCs w:val="30"/>
        </w:rPr>
        <w:t>款[由发包人解除合同]的权利除外。</w:t>
      </w:r>
    </w:p>
    <w:p w14:paraId="17E9F661">
      <w:pPr>
        <w:ind w:firstLine="600"/>
        <w:rPr>
          <w:rFonts w:ascii="宋体" w:hAnsi="宋体"/>
          <w:sz w:val="30"/>
          <w:szCs w:val="30"/>
        </w:rPr>
      </w:pPr>
      <w:r>
        <w:rPr>
          <w:rFonts w:hint="eastAsia" w:ascii="宋体" w:hAnsi="宋体"/>
          <w:sz w:val="30"/>
          <w:szCs w:val="30"/>
        </w:rPr>
        <w:t>发包人代表（或者在其为法人的情况下，被任命代表其行事的自然人）应：</w:t>
      </w:r>
    </w:p>
    <w:p w14:paraId="6E195E02">
      <w:pPr>
        <w:ind w:firstLine="600"/>
        <w:rPr>
          <w:rFonts w:ascii="宋体" w:hAnsi="宋体"/>
          <w:sz w:val="30"/>
          <w:szCs w:val="30"/>
        </w:rPr>
      </w:pPr>
      <w:r>
        <w:rPr>
          <w:rFonts w:hint="eastAsia" w:ascii="宋体" w:hAnsi="宋体"/>
          <w:sz w:val="30"/>
          <w:szCs w:val="30"/>
        </w:rPr>
        <w:t>（1） 履行指派给其的职责，行使发包人托付给的权利；</w:t>
      </w:r>
    </w:p>
    <w:p w14:paraId="0A1EEDA4">
      <w:pPr>
        <w:ind w:firstLine="600"/>
        <w:rPr>
          <w:rFonts w:ascii="宋体" w:hAnsi="宋体"/>
          <w:sz w:val="30"/>
          <w:szCs w:val="30"/>
        </w:rPr>
      </w:pPr>
      <w:r>
        <w:rPr>
          <w:rFonts w:hint="eastAsia" w:ascii="宋体" w:hAnsi="宋体"/>
          <w:sz w:val="30"/>
          <w:szCs w:val="30"/>
        </w:rPr>
        <w:t>（2） 具备履行这些职责、行使这些权利的能力；</w:t>
      </w:r>
    </w:p>
    <w:p w14:paraId="03884439">
      <w:pPr>
        <w:ind w:firstLine="600"/>
        <w:rPr>
          <w:rFonts w:ascii="宋体" w:hAnsi="宋体"/>
          <w:sz w:val="30"/>
          <w:szCs w:val="30"/>
        </w:rPr>
      </w:pPr>
      <w:r>
        <w:rPr>
          <w:rFonts w:hint="eastAsia" w:ascii="宋体" w:hAnsi="宋体"/>
          <w:sz w:val="30"/>
          <w:szCs w:val="30"/>
        </w:rPr>
        <w:t>（3） 作为熟练的专业人员行事。</w:t>
      </w:r>
    </w:p>
    <w:p w14:paraId="63DC7364">
      <w:pPr>
        <w:ind w:firstLine="600"/>
        <w:rPr>
          <w:rFonts w:ascii="宋体" w:hAnsi="宋体"/>
          <w:sz w:val="30"/>
          <w:szCs w:val="30"/>
        </w:rPr>
      </w:pPr>
      <w:r>
        <w:rPr>
          <w:rFonts w:hint="eastAsia" w:ascii="宋体" w:hAnsi="宋体"/>
          <w:sz w:val="30"/>
          <w:szCs w:val="30"/>
        </w:rPr>
        <w:t>如果发包人代表为法人且在签订本合同时未能确定授权代表的，发包人代表应在本合同签订之日起</w:t>
      </w:r>
      <w:r>
        <w:rPr>
          <w:rFonts w:ascii="宋体" w:hAnsi="宋体"/>
          <w:sz w:val="30"/>
          <w:szCs w:val="30"/>
        </w:rPr>
        <w:t>3日内</w:t>
      </w:r>
      <w:r>
        <w:rPr>
          <w:rFonts w:hint="eastAsia" w:ascii="宋体" w:hAnsi="宋体"/>
          <w:sz w:val="30"/>
          <w:szCs w:val="30"/>
        </w:rPr>
        <w:t>向双方发出书面通知，告知被任命和授权的自然人以及任何替代人员。此授权在双方收到本通知后生效。发包人代表撤销该授权或者变更授权代表时也应同样发出该通知。</w:t>
      </w:r>
    </w:p>
    <w:p w14:paraId="2849D2E5">
      <w:pPr>
        <w:ind w:firstLine="600"/>
        <w:rPr>
          <w:rFonts w:ascii="宋体" w:hAnsi="宋体"/>
          <w:sz w:val="30"/>
          <w:szCs w:val="30"/>
        </w:rPr>
      </w:pPr>
      <w:r>
        <w:rPr>
          <w:rFonts w:hint="eastAsia" w:ascii="宋体" w:hAnsi="宋体"/>
          <w:sz w:val="30"/>
          <w:szCs w:val="30"/>
        </w:rPr>
        <w:t>发包人更换发包人代表的，应提前14天将更换人的姓名、地址、任务和权利、以及任命的日期书面通知承包人。发包人不得将发包人代表更换为承包人根据本款发出通知提出合理反对意见的人员，不论是法人还是自然人。</w:t>
      </w:r>
    </w:p>
    <w:p w14:paraId="673DE798">
      <w:pPr>
        <w:ind w:firstLine="600"/>
        <w:rPr>
          <w:rFonts w:ascii="宋体" w:hAnsi="宋体"/>
          <w:sz w:val="30"/>
          <w:szCs w:val="30"/>
        </w:rPr>
      </w:pPr>
      <w:r>
        <w:rPr>
          <w:rFonts w:hint="eastAsia" w:ascii="宋体" w:hAnsi="宋体"/>
          <w:sz w:val="30"/>
          <w:szCs w:val="30"/>
        </w:rPr>
        <w:t>发包人代表不能按照合同约定履行其职责及义务，并导致合同无法继续正常履行的，承包人可以要求发包人撤换发包人代表。</w:t>
      </w:r>
    </w:p>
    <w:p w14:paraId="6B43615F">
      <w:pPr>
        <w:pStyle w:val="969"/>
        <w:widowControl/>
        <w:numPr>
          <w:ilvl w:val="0"/>
          <w:numId w:val="0"/>
        </w:numPr>
        <w:rPr>
          <w:rFonts w:ascii="宋体" w:hAnsi="宋体" w:eastAsia="宋体"/>
          <w:b w:val="0"/>
          <w:bCs/>
          <w:sz w:val="30"/>
          <w:szCs w:val="30"/>
        </w:rPr>
      </w:pPr>
      <w:bookmarkStart w:id="145" w:name="_Ref531951553"/>
      <w:bookmarkStart w:id="146" w:name="_Ref531951557"/>
      <w:bookmarkStart w:id="147" w:name="_Toc54862205"/>
      <w:r>
        <w:rPr>
          <w:rFonts w:hint="eastAsia" w:ascii="宋体" w:hAnsi="宋体" w:eastAsia="宋体"/>
          <w:b w:val="0"/>
          <w:bCs/>
          <w:sz w:val="30"/>
          <w:szCs w:val="30"/>
        </w:rPr>
        <w:t>3</w:t>
      </w:r>
      <w:r>
        <w:rPr>
          <w:rFonts w:ascii="宋体" w:hAnsi="宋体" w:eastAsia="宋体"/>
          <w:b w:val="0"/>
          <w:bCs/>
          <w:sz w:val="30"/>
          <w:szCs w:val="30"/>
        </w:rPr>
        <w:t xml:space="preserve">.2 </w:t>
      </w:r>
      <w:r>
        <w:rPr>
          <w:rFonts w:hint="eastAsia" w:ascii="宋体" w:hAnsi="宋体" w:eastAsia="宋体"/>
          <w:b w:val="0"/>
          <w:bCs/>
          <w:sz w:val="30"/>
          <w:szCs w:val="30"/>
        </w:rPr>
        <w:t>发包人人员</w:t>
      </w:r>
      <w:bookmarkEnd w:id="145"/>
      <w:bookmarkEnd w:id="146"/>
      <w:bookmarkEnd w:id="147"/>
    </w:p>
    <w:p w14:paraId="20083801">
      <w:pPr>
        <w:ind w:firstLine="600"/>
        <w:rPr>
          <w:rFonts w:ascii="宋体" w:hAnsi="宋体"/>
          <w:sz w:val="30"/>
          <w:szCs w:val="30"/>
        </w:rPr>
      </w:pPr>
      <w:r>
        <w:rPr>
          <w:rFonts w:hint="eastAsia" w:ascii="宋体" w:hAnsi="宋体"/>
          <w:sz w:val="30"/>
          <w:szCs w:val="30"/>
        </w:rPr>
        <w:t>发包人人员包括发包人代表、工程师及其他由发包人派驻施工现场的人员，发包人可以在专用合同条件中明确发包人人员的姓名、职务及职责等事项。发包人或发包人代表可随时对一些助手指派和托付一定的任务和权利，也可撤销这些指派和托付。这些助手可包括驻地工程师或担任检验、试验各项工程设备和材料的独立检查员。这些助手应具有适当的资质、履行其任务和权利的能力。以上指派、托付或撤销，在承包人收到通知后生效。承包人对于可能影响正常履约或工程安全质量的发包人人员保有随时提出沟通的权利。</w:t>
      </w:r>
    </w:p>
    <w:p w14:paraId="1DB35C69">
      <w:pPr>
        <w:ind w:firstLine="600"/>
        <w:rPr>
          <w:rFonts w:ascii="宋体" w:hAnsi="宋体"/>
          <w:sz w:val="30"/>
          <w:szCs w:val="30"/>
        </w:rPr>
      </w:pPr>
      <w:r>
        <w:rPr>
          <w:rFonts w:hint="eastAsia" w:ascii="宋体" w:hAnsi="宋体"/>
          <w:sz w:val="30"/>
          <w:szCs w:val="30"/>
        </w:rPr>
        <w:t>发包人应要求在施工现场的发包人人员遵守法律及有关安全、质量、环境保护、文明施工等规定，因发包人人员未遵守上述要求给承包人造成的损失和责任由发包人承担。</w:t>
      </w:r>
    </w:p>
    <w:p w14:paraId="253F58F5">
      <w:pPr>
        <w:pStyle w:val="969"/>
        <w:widowControl/>
        <w:numPr>
          <w:ilvl w:val="0"/>
          <w:numId w:val="0"/>
        </w:numPr>
        <w:rPr>
          <w:rFonts w:ascii="宋体" w:hAnsi="宋体" w:eastAsia="宋体"/>
          <w:b w:val="0"/>
          <w:bCs/>
          <w:sz w:val="30"/>
          <w:szCs w:val="30"/>
        </w:rPr>
      </w:pPr>
      <w:bookmarkStart w:id="148" w:name="_Toc54862206"/>
      <w:r>
        <w:rPr>
          <w:rFonts w:hint="eastAsia" w:ascii="宋体" w:hAnsi="宋体" w:eastAsia="宋体"/>
          <w:b w:val="0"/>
          <w:bCs/>
          <w:sz w:val="30"/>
          <w:szCs w:val="30"/>
        </w:rPr>
        <w:t>3</w:t>
      </w:r>
      <w:r>
        <w:rPr>
          <w:rFonts w:ascii="宋体" w:hAnsi="宋体" w:eastAsia="宋体"/>
          <w:b w:val="0"/>
          <w:bCs/>
          <w:sz w:val="30"/>
          <w:szCs w:val="30"/>
        </w:rPr>
        <w:t>.3 工程师</w:t>
      </w:r>
      <w:bookmarkEnd w:id="148"/>
      <w:r>
        <w:rPr>
          <w:rFonts w:hint="eastAsia" w:ascii="宋体" w:hAnsi="宋体" w:eastAsia="宋体"/>
          <w:b w:val="0"/>
          <w:bCs/>
          <w:sz w:val="30"/>
          <w:szCs w:val="30"/>
        </w:rPr>
        <w:t xml:space="preserve"> </w:t>
      </w:r>
    </w:p>
    <w:p w14:paraId="44BDA085">
      <w:pPr>
        <w:pStyle w:val="994"/>
        <w:numPr>
          <w:ilvl w:val="0"/>
          <w:numId w:val="0"/>
        </w:numPr>
        <w:rPr>
          <w:sz w:val="30"/>
          <w:szCs w:val="30"/>
        </w:rPr>
      </w:pPr>
      <w:r>
        <w:rPr>
          <w:rFonts w:hint="eastAsia"/>
          <w:sz w:val="30"/>
          <w:szCs w:val="30"/>
        </w:rPr>
        <w:t>3</w:t>
      </w:r>
      <w:r>
        <w:rPr>
          <w:sz w:val="30"/>
          <w:szCs w:val="30"/>
        </w:rPr>
        <w:t xml:space="preserve">.3.1 </w:t>
      </w:r>
      <w:r>
        <w:rPr>
          <w:rFonts w:hint="eastAsia"/>
          <w:sz w:val="30"/>
          <w:szCs w:val="30"/>
        </w:rPr>
        <w:t>发包人需对承包人的设计、采购、施工、服务等工作过程或过程节点实施监督管理的，有权委任工程师。工程师的名称、监督管理范围、内容和权限在专用合同条件中写明。根据国家相关法律法规规定，如本合同工程属于强制监理项目的，由工程师履行法定的监理相关职责，但发包人另行授权第三方进行监理的除外。</w:t>
      </w:r>
    </w:p>
    <w:p w14:paraId="4172AC7C">
      <w:pPr>
        <w:pStyle w:val="994"/>
        <w:numPr>
          <w:ilvl w:val="0"/>
          <w:numId w:val="0"/>
        </w:numPr>
        <w:rPr>
          <w:sz w:val="30"/>
          <w:szCs w:val="30"/>
        </w:rPr>
      </w:pPr>
      <w:r>
        <w:rPr>
          <w:rFonts w:hint="eastAsia"/>
          <w:sz w:val="30"/>
          <w:szCs w:val="30"/>
        </w:rPr>
        <w:t>3</w:t>
      </w:r>
      <w:r>
        <w:rPr>
          <w:sz w:val="30"/>
          <w:szCs w:val="30"/>
        </w:rPr>
        <w:t xml:space="preserve">.3.2 </w:t>
      </w:r>
      <w:r>
        <w:rPr>
          <w:rFonts w:hint="eastAsia"/>
          <w:sz w:val="30"/>
          <w:szCs w:val="30"/>
        </w:rPr>
        <w:t>工程师按发包人委托的范围、内容、职权和权限，代表发包人对承包人实施监督管理。若承包人认为工程师行使的职权不在发包人委托的授权范围之内的，则其有权拒绝执行工程师的相关指示，同时应及时通知发包人，发包人书面确认工程师相关指示的，承包人应遵照执行。</w:t>
      </w:r>
    </w:p>
    <w:p w14:paraId="2AC6D441">
      <w:pPr>
        <w:pStyle w:val="994"/>
        <w:numPr>
          <w:ilvl w:val="0"/>
          <w:numId w:val="0"/>
        </w:numPr>
        <w:rPr>
          <w:sz w:val="30"/>
          <w:szCs w:val="30"/>
        </w:rPr>
      </w:pPr>
      <w:r>
        <w:rPr>
          <w:rFonts w:hint="eastAsia"/>
          <w:sz w:val="30"/>
          <w:szCs w:val="30"/>
        </w:rPr>
        <w:t>3</w:t>
      </w:r>
      <w:r>
        <w:rPr>
          <w:sz w:val="30"/>
          <w:szCs w:val="30"/>
        </w:rPr>
        <w:t xml:space="preserve">.3.3 </w:t>
      </w:r>
      <w:r>
        <w:rPr>
          <w:rFonts w:hint="eastAsia"/>
          <w:sz w:val="30"/>
          <w:szCs w:val="30"/>
        </w:rPr>
        <w:t>在发包人和承包人之间提供证明、行使决定权或处理权时，工程师应作为独立专业的第三方，根据自己的专业技能和判断进行工作。但工程师或其人员均无权修改合同，且无权减轻或免除合同当事人的任何责任与义务。</w:t>
      </w:r>
    </w:p>
    <w:p w14:paraId="27624FD7">
      <w:pPr>
        <w:pStyle w:val="994"/>
        <w:numPr>
          <w:ilvl w:val="0"/>
          <w:numId w:val="0"/>
        </w:numPr>
        <w:rPr>
          <w:sz w:val="30"/>
          <w:szCs w:val="30"/>
        </w:rPr>
      </w:pPr>
      <w:r>
        <w:rPr>
          <w:rFonts w:hint="eastAsia"/>
          <w:sz w:val="30"/>
          <w:szCs w:val="30"/>
        </w:rPr>
        <w:t>3</w:t>
      </w:r>
      <w:r>
        <w:rPr>
          <w:sz w:val="30"/>
          <w:szCs w:val="30"/>
        </w:rPr>
        <w:t xml:space="preserve">.3.4 </w:t>
      </w:r>
      <w:r>
        <w:rPr>
          <w:rFonts w:hint="eastAsia"/>
          <w:sz w:val="30"/>
          <w:szCs w:val="30"/>
        </w:rPr>
        <w:t>通用合同条件中约定由工程师行使的职权如不在发包人对工程师的授权范围内的，则视为没有取得授权，该职权应由发包人或发包人指定的其他人员行使。若承包人认为工程师的职权与发包人（包括其人员）的职权相重叠或不明确时，应及时通知发包人，由发包人予以协调和明确并以书面形式通知承包人。</w:t>
      </w:r>
    </w:p>
    <w:p w14:paraId="2F57AC9B">
      <w:pPr>
        <w:pStyle w:val="969"/>
        <w:widowControl/>
        <w:numPr>
          <w:ilvl w:val="0"/>
          <w:numId w:val="0"/>
        </w:numPr>
        <w:rPr>
          <w:rFonts w:ascii="宋体" w:hAnsi="宋体" w:eastAsia="宋体"/>
          <w:b w:val="0"/>
          <w:bCs/>
          <w:sz w:val="30"/>
          <w:szCs w:val="30"/>
        </w:rPr>
      </w:pPr>
      <w:bookmarkStart w:id="149" w:name="_Toc54862207"/>
      <w:bookmarkStart w:id="150" w:name="_Ref531951594"/>
      <w:bookmarkStart w:id="151" w:name="_Ref531951597"/>
      <w:r>
        <w:rPr>
          <w:rFonts w:hint="eastAsia" w:ascii="宋体" w:hAnsi="宋体" w:eastAsia="宋体"/>
          <w:b w:val="0"/>
          <w:bCs/>
          <w:sz w:val="30"/>
          <w:szCs w:val="30"/>
        </w:rPr>
        <w:t>3</w:t>
      </w:r>
      <w:r>
        <w:rPr>
          <w:rFonts w:ascii="宋体" w:hAnsi="宋体" w:eastAsia="宋体"/>
          <w:b w:val="0"/>
          <w:bCs/>
          <w:sz w:val="30"/>
          <w:szCs w:val="30"/>
        </w:rPr>
        <w:t xml:space="preserve">.4 </w:t>
      </w:r>
      <w:r>
        <w:rPr>
          <w:rFonts w:hint="eastAsia" w:ascii="宋体" w:hAnsi="宋体" w:eastAsia="宋体"/>
          <w:b w:val="0"/>
          <w:bCs/>
          <w:sz w:val="30"/>
          <w:szCs w:val="30"/>
        </w:rPr>
        <w:t>任命和授权</w:t>
      </w:r>
      <w:bookmarkEnd w:id="149"/>
    </w:p>
    <w:p w14:paraId="4E39F4B7">
      <w:pPr>
        <w:pStyle w:val="994"/>
        <w:numPr>
          <w:ilvl w:val="0"/>
          <w:numId w:val="0"/>
        </w:numPr>
        <w:rPr>
          <w:sz w:val="30"/>
          <w:szCs w:val="30"/>
        </w:rPr>
      </w:pPr>
      <w:r>
        <w:rPr>
          <w:rFonts w:hint="eastAsia"/>
          <w:sz w:val="30"/>
          <w:szCs w:val="30"/>
        </w:rPr>
        <w:t>3</w:t>
      </w:r>
      <w:r>
        <w:rPr>
          <w:sz w:val="30"/>
          <w:szCs w:val="30"/>
        </w:rPr>
        <w:t xml:space="preserve">.4.1 </w:t>
      </w:r>
      <w:r>
        <w:rPr>
          <w:rFonts w:hint="eastAsia"/>
          <w:sz w:val="30"/>
          <w:szCs w:val="30"/>
        </w:rPr>
        <w:t>发包人应在发出开始工作通知前将工程师的任命通知承包人。更换工程师的，发包人应提前7天以书面形式通知承包人，并在通知中写明替换者的姓名、职务、职权、权限和任命时间。工程师超过2天不能履行职责的，应委派代表代行其职责，并通知承包人。</w:t>
      </w:r>
    </w:p>
    <w:p w14:paraId="38903AB3">
      <w:pPr>
        <w:pStyle w:val="994"/>
        <w:numPr>
          <w:ilvl w:val="0"/>
          <w:numId w:val="0"/>
        </w:numPr>
        <w:rPr>
          <w:sz w:val="30"/>
          <w:szCs w:val="30"/>
        </w:rPr>
      </w:pPr>
      <w:r>
        <w:rPr>
          <w:rFonts w:hint="eastAsia"/>
          <w:sz w:val="30"/>
          <w:szCs w:val="30"/>
        </w:rPr>
        <w:t>3</w:t>
      </w:r>
      <w:r>
        <w:rPr>
          <w:sz w:val="30"/>
          <w:szCs w:val="30"/>
        </w:rPr>
        <w:t xml:space="preserve">.4.2 </w:t>
      </w:r>
      <w:r>
        <w:rPr>
          <w:rFonts w:hint="eastAsia"/>
          <w:sz w:val="30"/>
          <w:szCs w:val="30"/>
        </w:rPr>
        <w:t>工程师可以授权其他人员负责执行其指派的一项或多项工作，但第</w:t>
      </w:r>
      <w:r>
        <w:rPr>
          <w:sz w:val="30"/>
          <w:szCs w:val="30"/>
        </w:rPr>
        <w:t>3.6</w:t>
      </w:r>
      <w:r>
        <w:rPr>
          <w:rFonts w:hint="eastAsia"/>
          <w:sz w:val="30"/>
          <w:szCs w:val="30"/>
        </w:rPr>
        <w:t>款[商定或确定]下的权利除外。工程师应将被授权人员的姓名及其授权范围通知承包人。被授权的人员在授权范围内发出的指示视为已得到工程师的同意，与工程师发出的指示具有同等效力。工程师撤销某项授权时，应将撤销授权的决定及时通知承包人。</w:t>
      </w:r>
    </w:p>
    <w:p w14:paraId="769DEA04">
      <w:pPr>
        <w:pStyle w:val="969"/>
        <w:widowControl/>
        <w:numPr>
          <w:ilvl w:val="0"/>
          <w:numId w:val="0"/>
        </w:numPr>
        <w:rPr>
          <w:rFonts w:ascii="宋体" w:hAnsi="宋体" w:eastAsia="宋体"/>
          <w:b w:val="0"/>
          <w:bCs/>
          <w:sz w:val="30"/>
          <w:szCs w:val="30"/>
        </w:rPr>
      </w:pPr>
      <w:bookmarkStart w:id="152" w:name="_Ref20165400"/>
      <w:bookmarkStart w:id="153" w:name="_Toc54862208"/>
      <w:r>
        <w:rPr>
          <w:rFonts w:hint="eastAsia" w:ascii="宋体" w:hAnsi="宋体" w:eastAsia="宋体"/>
          <w:b w:val="0"/>
          <w:bCs/>
          <w:sz w:val="30"/>
          <w:szCs w:val="30"/>
        </w:rPr>
        <w:t>3</w:t>
      </w:r>
      <w:r>
        <w:rPr>
          <w:rFonts w:ascii="宋体" w:hAnsi="宋体" w:eastAsia="宋体"/>
          <w:b w:val="0"/>
          <w:bCs/>
          <w:sz w:val="30"/>
          <w:szCs w:val="30"/>
        </w:rPr>
        <w:t>.5 指示</w:t>
      </w:r>
      <w:bookmarkEnd w:id="150"/>
      <w:bookmarkEnd w:id="151"/>
      <w:bookmarkEnd w:id="152"/>
      <w:bookmarkEnd w:id="153"/>
    </w:p>
    <w:p w14:paraId="4750CF7E">
      <w:pPr>
        <w:pStyle w:val="994"/>
        <w:numPr>
          <w:ilvl w:val="0"/>
          <w:numId w:val="0"/>
        </w:numPr>
        <w:rPr>
          <w:sz w:val="30"/>
          <w:szCs w:val="30"/>
        </w:rPr>
      </w:pPr>
      <w:r>
        <w:rPr>
          <w:rFonts w:hint="eastAsia"/>
          <w:sz w:val="30"/>
          <w:szCs w:val="30"/>
        </w:rPr>
        <w:t>3</w:t>
      </w:r>
      <w:r>
        <w:rPr>
          <w:sz w:val="30"/>
          <w:szCs w:val="30"/>
        </w:rPr>
        <w:t xml:space="preserve">.5.1 </w:t>
      </w:r>
      <w:r>
        <w:rPr>
          <w:rFonts w:hint="eastAsia"/>
          <w:sz w:val="30"/>
          <w:szCs w:val="30"/>
        </w:rPr>
        <w:t>工程师应按照发包人的授权发出指示。工程师的指示应采用书面形式，盖有工程师授权的项目管理机构章，并由工程师的授权人员签字。在紧急情况下，工程师的授权人员可以口头形式发出指示或当场签发临时书面指示，承包人应遵照执行。工程师应在授权人员发出口头指示或临时书面指示后24小时内发出书面确认函，在24小时内未发出书面确认函的，该口头指示或临时书面指示应被视为工程师的正式指示。</w:t>
      </w:r>
    </w:p>
    <w:p w14:paraId="7243A69D">
      <w:pPr>
        <w:pStyle w:val="994"/>
        <w:numPr>
          <w:ilvl w:val="0"/>
          <w:numId w:val="0"/>
        </w:numPr>
        <w:rPr>
          <w:sz w:val="30"/>
          <w:szCs w:val="30"/>
        </w:rPr>
      </w:pPr>
      <w:r>
        <w:rPr>
          <w:rFonts w:hint="eastAsia"/>
          <w:sz w:val="30"/>
          <w:szCs w:val="30"/>
        </w:rPr>
        <w:t>3</w:t>
      </w:r>
      <w:r>
        <w:rPr>
          <w:sz w:val="30"/>
          <w:szCs w:val="30"/>
        </w:rPr>
        <w:t xml:space="preserve">.5.2 </w:t>
      </w:r>
      <w:r>
        <w:rPr>
          <w:rFonts w:hint="eastAsia"/>
          <w:sz w:val="30"/>
          <w:szCs w:val="30"/>
        </w:rPr>
        <w:t>承包人收到工程师作出的指示后应遵照执行。如果任何此类指示构成一项变更时，应按照第</w:t>
      </w:r>
      <w:r>
        <w:rPr>
          <w:sz w:val="30"/>
          <w:szCs w:val="30"/>
        </w:rPr>
        <w:t>13条</w:t>
      </w:r>
      <w:r>
        <w:rPr>
          <w:rFonts w:hint="eastAsia"/>
          <w:sz w:val="30"/>
          <w:szCs w:val="30"/>
        </w:rPr>
        <w:t>[变更与调整]的约定办理。</w:t>
      </w:r>
    </w:p>
    <w:p w14:paraId="5BF0B88B">
      <w:pPr>
        <w:pStyle w:val="994"/>
        <w:numPr>
          <w:ilvl w:val="0"/>
          <w:numId w:val="0"/>
        </w:numPr>
        <w:rPr>
          <w:sz w:val="30"/>
          <w:szCs w:val="30"/>
        </w:rPr>
      </w:pPr>
      <w:r>
        <w:rPr>
          <w:rFonts w:hint="eastAsia"/>
          <w:sz w:val="30"/>
          <w:szCs w:val="30"/>
        </w:rPr>
        <w:t>3</w:t>
      </w:r>
      <w:r>
        <w:rPr>
          <w:sz w:val="30"/>
          <w:szCs w:val="30"/>
        </w:rPr>
        <w:t xml:space="preserve">.5.3 </w:t>
      </w:r>
      <w:r>
        <w:rPr>
          <w:rFonts w:hint="eastAsia"/>
          <w:sz w:val="30"/>
          <w:szCs w:val="30"/>
        </w:rPr>
        <w:t>由于工程师未能按合同约定发出指示、指示延误或指示错误而导致承包人费用增加和（或）工期延误的，发包人应承担由此增加的费用和（或）工期延误，并向承包人支付合理利润。</w:t>
      </w:r>
    </w:p>
    <w:p w14:paraId="31F43E0A">
      <w:pPr>
        <w:pStyle w:val="969"/>
        <w:widowControl/>
        <w:numPr>
          <w:ilvl w:val="0"/>
          <w:numId w:val="0"/>
        </w:numPr>
        <w:rPr>
          <w:rFonts w:ascii="宋体" w:hAnsi="宋体" w:eastAsia="宋体"/>
          <w:b w:val="0"/>
          <w:bCs/>
          <w:sz w:val="30"/>
          <w:szCs w:val="30"/>
        </w:rPr>
      </w:pPr>
      <w:bookmarkStart w:id="154" w:name="_Ref531951611"/>
      <w:bookmarkStart w:id="155" w:name="_Ref531951609"/>
      <w:bookmarkStart w:id="156" w:name="_Toc54862209"/>
      <w:r>
        <w:rPr>
          <w:rFonts w:hint="eastAsia" w:ascii="宋体" w:hAnsi="宋体" w:eastAsia="宋体"/>
          <w:b w:val="0"/>
          <w:bCs/>
          <w:sz w:val="30"/>
          <w:szCs w:val="30"/>
        </w:rPr>
        <w:t>3</w:t>
      </w:r>
      <w:r>
        <w:rPr>
          <w:rFonts w:ascii="宋体" w:hAnsi="宋体" w:eastAsia="宋体"/>
          <w:b w:val="0"/>
          <w:bCs/>
          <w:sz w:val="30"/>
          <w:szCs w:val="30"/>
        </w:rPr>
        <w:t>.6 商定或确定</w:t>
      </w:r>
      <w:bookmarkEnd w:id="154"/>
      <w:bookmarkEnd w:id="155"/>
      <w:bookmarkEnd w:id="156"/>
    </w:p>
    <w:p w14:paraId="4D2210B8">
      <w:pPr>
        <w:pStyle w:val="994"/>
        <w:numPr>
          <w:ilvl w:val="0"/>
          <w:numId w:val="0"/>
        </w:numPr>
        <w:rPr>
          <w:sz w:val="30"/>
          <w:szCs w:val="30"/>
        </w:rPr>
      </w:pPr>
      <w:r>
        <w:rPr>
          <w:rFonts w:hint="eastAsia"/>
          <w:sz w:val="30"/>
          <w:szCs w:val="30"/>
        </w:rPr>
        <w:t>3</w:t>
      </w:r>
      <w:r>
        <w:rPr>
          <w:sz w:val="30"/>
          <w:szCs w:val="30"/>
        </w:rPr>
        <w:t xml:space="preserve">.6.1 </w:t>
      </w:r>
      <w:r>
        <w:rPr>
          <w:rFonts w:hint="eastAsia"/>
          <w:sz w:val="30"/>
          <w:szCs w:val="30"/>
        </w:rPr>
        <w:t>合同约定工程师应按照本款对任何事项进行商定或确定时，工程师应及时与合同当事人协商，尽量达成一致。工程师应将商定的结果以书面形式通知发包人和承包人，并由双方签署确认。</w:t>
      </w:r>
    </w:p>
    <w:p w14:paraId="1D3664C7">
      <w:pPr>
        <w:pStyle w:val="994"/>
        <w:numPr>
          <w:ilvl w:val="0"/>
          <w:numId w:val="0"/>
        </w:numPr>
        <w:rPr>
          <w:sz w:val="30"/>
          <w:szCs w:val="30"/>
        </w:rPr>
      </w:pPr>
      <w:r>
        <w:rPr>
          <w:rFonts w:hint="eastAsia"/>
          <w:sz w:val="30"/>
          <w:szCs w:val="30"/>
        </w:rPr>
        <w:t>3</w:t>
      </w:r>
      <w:r>
        <w:rPr>
          <w:sz w:val="30"/>
          <w:szCs w:val="30"/>
        </w:rPr>
        <w:t xml:space="preserve">.6.2 </w:t>
      </w:r>
      <w:r>
        <w:rPr>
          <w:rFonts w:hint="eastAsia"/>
          <w:sz w:val="30"/>
          <w:szCs w:val="30"/>
        </w:rPr>
        <w:t>除专用合同条件另有约定外，商定的期限应为工程师收到任何一方就商定事由发出的通知后42天内或工程师提出并经双方同意的其他期限。未能在该期限内达成一致的，由工程师按照合同约定审慎做出公正的确定。确定的期限应为商定的期限届满后42天内或工程师提出并经双方同意的其他期限。工程师应将确定的结果以书面形式通知发包人和承包人，并附详细依据。</w:t>
      </w:r>
    </w:p>
    <w:p w14:paraId="7C691F78">
      <w:pPr>
        <w:pStyle w:val="994"/>
        <w:numPr>
          <w:ilvl w:val="0"/>
          <w:numId w:val="0"/>
        </w:numPr>
        <w:rPr>
          <w:sz w:val="30"/>
          <w:szCs w:val="30"/>
        </w:rPr>
      </w:pPr>
      <w:bookmarkStart w:id="157" w:name="_Ref532287856"/>
      <w:r>
        <w:rPr>
          <w:rFonts w:hint="eastAsia"/>
          <w:sz w:val="30"/>
          <w:szCs w:val="30"/>
        </w:rPr>
        <w:t>3</w:t>
      </w:r>
      <w:r>
        <w:rPr>
          <w:sz w:val="30"/>
          <w:szCs w:val="30"/>
        </w:rPr>
        <w:t xml:space="preserve">.6.3 </w:t>
      </w:r>
      <w:r>
        <w:rPr>
          <w:rFonts w:hint="eastAsia"/>
          <w:sz w:val="30"/>
          <w:szCs w:val="30"/>
        </w:rPr>
        <w:t>任何一方对工程师的确定有异议的，应在收到确定的结果后28天内向另一方发出书面异议通知并抄送工程师。除第</w:t>
      </w:r>
      <w:r>
        <w:rPr>
          <w:sz w:val="30"/>
          <w:szCs w:val="30"/>
        </w:rPr>
        <w:t>19.2</w:t>
      </w:r>
      <w:r>
        <w:rPr>
          <w:rFonts w:hint="eastAsia"/>
          <w:sz w:val="30"/>
          <w:szCs w:val="30"/>
        </w:rPr>
        <w:t>款[</w:t>
      </w:r>
      <w:r>
        <w:rPr>
          <w:sz w:val="30"/>
          <w:szCs w:val="30"/>
        </w:rPr>
        <w:t>承包人索赔的处理程序</w:t>
      </w:r>
      <w:r>
        <w:rPr>
          <w:rFonts w:hint="eastAsia"/>
          <w:sz w:val="30"/>
          <w:szCs w:val="30"/>
        </w:rPr>
        <w:t>]另有约定外，工程师未能在确定的期限内发出确定的结果通知的，或者任何一方发出对确定的结果有异议的通知的，则构成争议并应按照第</w:t>
      </w:r>
      <w:r>
        <w:rPr>
          <w:sz w:val="30"/>
          <w:szCs w:val="30"/>
        </w:rPr>
        <w:t>20条</w:t>
      </w:r>
      <w:r>
        <w:rPr>
          <w:rFonts w:hint="eastAsia"/>
          <w:sz w:val="30"/>
          <w:szCs w:val="30"/>
        </w:rPr>
        <w:t>[争议解决]的约定处理。如未在28天内发出上述通知的，工程师的确定应被视为已被双方接受并对双方具有约束力，但专用合同条件另有约定的除外。</w:t>
      </w:r>
      <w:bookmarkEnd w:id="157"/>
    </w:p>
    <w:p w14:paraId="56A2AFF1">
      <w:pPr>
        <w:pStyle w:val="994"/>
        <w:numPr>
          <w:ilvl w:val="0"/>
          <w:numId w:val="0"/>
        </w:numPr>
        <w:rPr>
          <w:sz w:val="30"/>
          <w:szCs w:val="30"/>
        </w:rPr>
      </w:pPr>
      <w:r>
        <w:rPr>
          <w:rFonts w:hint="eastAsia"/>
          <w:sz w:val="30"/>
          <w:szCs w:val="30"/>
        </w:rPr>
        <w:t>3</w:t>
      </w:r>
      <w:r>
        <w:rPr>
          <w:sz w:val="30"/>
          <w:szCs w:val="30"/>
        </w:rPr>
        <w:t xml:space="preserve">.6.4 </w:t>
      </w:r>
      <w:r>
        <w:rPr>
          <w:rFonts w:hint="eastAsia"/>
          <w:sz w:val="30"/>
          <w:szCs w:val="30"/>
        </w:rPr>
        <w:t>在该争议解决前，双方应暂按工程师的确定执行。按照第</w:t>
      </w:r>
      <w:r>
        <w:rPr>
          <w:sz w:val="30"/>
          <w:szCs w:val="30"/>
        </w:rPr>
        <w:t>20条</w:t>
      </w:r>
      <w:r>
        <w:rPr>
          <w:rFonts w:hint="eastAsia"/>
          <w:sz w:val="30"/>
          <w:szCs w:val="30"/>
        </w:rPr>
        <w:t>[争议解决]的约定对工程师的确定作出修改的，按修改后的结果执行，由此导致承包人增加的费用和延误的工期由责任方承担。</w:t>
      </w:r>
    </w:p>
    <w:p w14:paraId="2D171A08">
      <w:pPr>
        <w:pStyle w:val="969"/>
        <w:widowControl/>
        <w:numPr>
          <w:ilvl w:val="0"/>
          <w:numId w:val="0"/>
        </w:numPr>
        <w:rPr>
          <w:rFonts w:ascii="宋体" w:hAnsi="宋体" w:eastAsia="宋体"/>
          <w:b w:val="0"/>
          <w:bCs/>
          <w:sz w:val="30"/>
          <w:szCs w:val="30"/>
        </w:rPr>
      </w:pPr>
      <w:bookmarkStart w:id="158" w:name="_Ref531951747"/>
      <w:bookmarkStart w:id="159" w:name="_Ref531951749"/>
      <w:bookmarkStart w:id="160" w:name="_Toc54862210"/>
      <w:r>
        <w:rPr>
          <w:rFonts w:hint="eastAsia" w:ascii="宋体" w:hAnsi="宋体" w:eastAsia="宋体"/>
          <w:b w:val="0"/>
          <w:bCs/>
          <w:sz w:val="30"/>
          <w:szCs w:val="30"/>
        </w:rPr>
        <w:t>3</w:t>
      </w:r>
      <w:r>
        <w:rPr>
          <w:rFonts w:ascii="宋体" w:hAnsi="宋体" w:eastAsia="宋体"/>
          <w:b w:val="0"/>
          <w:bCs/>
          <w:sz w:val="30"/>
          <w:szCs w:val="30"/>
        </w:rPr>
        <w:t xml:space="preserve">.7 </w:t>
      </w:r>
      <w:r>
        <w:rPr>
          <w:rFonts w:hint="eastAsia" w:ascii="宋体" w:hAnsi="宋体" w:eastAsia="宋体"/>
          <w:b w:val="0"/>
          <w:bCs/>
          <w:sz w:val="30"/>
          <w:szCs w:val="30"/>
        </w:rPr>
        <w:t>会议</w:t>
      </w:r>
      <w:bookmarkEnd w:id="158"/>
      <w:bookmarkEnd w:id="159"/>
      <w:bookmarkEnd w:id="160"/>
    </w:p>
    <w:p w14:paraId="75D6BD4D">
      <w:pPr>
        <w:pStyle w:val="994"/>
        <w:numPr>
          <w:ilvl w:val="0"/>
          <w:numId w:val="0"/>
        </w:numPr>
        <w:rPr>
          <w:sz w:val="30"/>
          <w:szCs w:val="30"/>
        </w:rPr>
      </w:pPr>
      <w:r>
        <w:rPr>
          <w:rFonts w:hint="eastAsia"/>
          <w:sz w:val="30"/>
          <w:szCs w:val="30"/>
        </w:rPr>
        <w:t>3</w:t>
      </w:r>
      <w:r>
        <w:rPr>
          <w:sz w:val="30"/>
          <w:szCs w:val="30"/>
        </w:rPr>
        <w:t xml:space="preserve">.7.1 </w:t>
      </w:r>
      <w:r>
        <w:rPr>
          <w:rFonts w:hint="eastAsia"/>
          <w:sz w:val="30"/>
          <w:szCs w:val="30"/>
        </w:rPr>
        <w:t>除专用合同条件另有约定外，任何一方可向另一方发出通知，要求另一方出席会议，讨论工程的实施安排或与本合同履行有关的其他事项。发包人的其他承包人、承包人的分包人和其他第三方可应任何一方的请求出席任何此类会议。</w:t>
      </w:r>
    </w:p>
    <w:p w14:paraId="778EA216">
      <w:pPr>
        <w:pStyle w:val="994"/>
        <w:numPr>
          <w:ilvl w:val="0"/>
          <w:numId w:val="0"/>
        </w:numPr>
        <w:rPr>
          <w:sz w:val="30"/>
          <w:szCs w:val="30"/>
        </w:rPr>
      </w:pPr>
      <w:r>
        <w:rPr>
          <w:rFonts w:hint="eastAsia"/>
          <w:sz w:val="30"/>
          <w:szCs w:val="30"/>
        </w:rPr>
        <w:t>3</w:t>
      </w:r>
      <w:r>
        <w:rPr>
          <w:sz w:val="30"/>
          <w:szCs w:val="30"/>
        </w:rPr>
        <w:t xml:space="preserve">.7.2 </w:t>
      </w:r>
      <w:r>
        <w:rPr>
          <w:rFonts w:hint="eastAsia"/>
          <w:sz w:val="30"/>
          <w:szCs w:val="30"/>
        </w:rPr>
        <w:t>除专用合同条件另有约定外，发包人应保存每次会议参加人签名的记录，并将会议纪要提供给出席会议的人员。任何根据此类会议以及会议纪要采取的行动应符合本合同的约定。</w:t>
      </w:r>
    </w:p>
    <w:p w14:paraId="509D94E5">
      <w:pPr>
        <w:pStyle w:val="991"/>
        <w:numPr>
          <w:ilvl w:val="0"/>
          <w:numId w:val="0"/>
        </w:numPr>
        <w:wordWrap/>
        <w:topLinePunct w:val="0"/>
        <w:rPr>
          <w:rFonts w:ascii="宋体" w:hAnsi="宋体" w:eastAsia="宋体"/>
          <w:b w:val="0"/>
          <w:bCs/>
          <w:sz w:val="32"/>
          <w:szCs w:val="21"/>
        </w:rPr>
      </w:pPr>
      <w:bookmarkStart w:id="161" w:name="_Ref531952805"/>
      <w:bookmarkStart w:id="162" w:name="_Toc54862211"/>
      <w:r>
        <w:rPr>
          <w:rFonts w:hint="eastAsia" w:ascii="宋体" w:hAnsi="宋体" w:eastAsia="宋体"/>
          <w:b w:val="0"/>
          <w:bCs/>
          <w:sz w:val="32"/>
          <w:szCs w:val="21"/>
        </w:rPr>
        <w:t>第4条 承包人</w:t>
      </w:r>
      <w:bookmarkEnd w:id="161"/>
      <w:bookmarkEnd w:id="162"/>
    </w:p>
    <w:p w14:paraId="6C5E61E8">
      <w:pPr>
        <w:pStyle w:val="969"/>
        <w:widowControl/>
        <w:numPr>
          <w:ilvl w:val="0"/>
          <w:numId w:val="0"/>
        </w:numPr>
        <w:rPr>
          <w:rFonts w:ascii="宋体" w:hAnsi="宋体" w:eastAsia="宋体"/>
          <w:b w:val="0"/>
          <w:bCs/>
          <w:sz w:val="30"/>
          <w:szCs w:val="30"/>
        </w:rPr>
      </w:pPr>
      <w:bookmarkStart w:id="163" w:name="_Toc54862212"/>
      <w:bookmarkStart w:id="164" w:name="_Ref531951941"/>
      <w:bookmarkStart w:id="165" w:name="_Ref531951975"/>
      <w:bookmarkStart w:id="166" w:name="_Ref531951961"/>
      <w:bookmarkStart w:id="167" w:name="_Ref531951958"/>
      <w:bookmarkStart w:id="168" w:name="_Ref531951945"/>
      <w:r>
        <w:rPr>
          <w:rFonts w:hint="eastAsia" w:ascii="宋体" w:hAnsi="宋体" w:eastAsia="宋体"/>
          <w:b w:val="0"/>
          <w:bCs/>
          <w:sz w:val="30"/>
          <w:szCs w:val="30"/>
        </w:rPr>
        <w:t>4</w:t>
      </w:r>
      <w:r>
        <w:rPr>
          <w:rFonts w:ascii="宋体" w:hAnsi="宋体" w:eastAsia="宋体"/>
          <w:b w:val="0"/>
          <w:bCs/>
          <w:sz w:val="30"/>
          <w:szCs w:val="30"/>
        </w:rPr>
        <w:t>.1 承包人的一般义务</w:t>
      </w:r>
      <w:bookmarkEnd w:id="163"/>
      <w:bookmarkEnd w:id="164"/>
      <w:bookmarkEnd w:id="165"/>
      <w:bookmarkEnd w:id="166"/>
      <w:bookmarkEnd w:id="167"/>
      <w:bookmarkEnd w:id="168"/>
      <w:r>
        <w:rPr>
          <w:rFonts w:hint="eastAsia" w:ascii="宋体" w:hAnsi="宋体" w:eastAsia="宋体"/>
          <w:b w:val="0"/>
          <w:bCs/>
          <w:sz w:val="30"/>
          <w:szCs w:val="30"/>
        </w:rPr>
        <w:t xml:space="preserve"> </w:t>
      </w:r>
    </w:p>
    <w:p w14:paraId="59E8D541">
      <w:pPr>
        <w:ind w:firstLine="600"/>
        <w:rPr>
          <w:rFonts w:ascii="宋体" w:hAnsi="宋体"/>
          <w:sz w:val="30"/>
          <w:szCs w:val="30"/>
        </w:rPr>
      </w:pPr>
      <w:bookmarkStart w:id="169" w:name="_Ref509046929"/>
      <w:r>
        <w:rPr>
          <w:rFonts w:hint="eastAsia" w:ascii="宋体" w:hAnsi="宋体"/>
          <w:sz w:val="30"/>
          <w:szCs w:val="30"/>
        </w:rPr>
        <w:t>除专用合同条件另有约定外，承包人在履行合同过程中应遵守法律和工程建设标准规范，并履行以下义务：</w:t>
      </w:r>
    </w:p>
    <w:p w14:paraId="5773B8E7">
      <w:pPr>
        <w:ind w:firstLine="600"/>
        <w:rPr>
          <w:rFonts w:ascii="宋体" w:hAnsi="宋体"/>
          <w:sz w:val="30"/>
          <w:szCs w:val="30"/>
        </w:rPr>
      </w:pPr>
      <w:r>
        <w:rPr>
          <w:rFonts w:hint="eastAsia" w:ascii="宋体" w:hAnsi="宋体"/>
          <w:sz w:val="30"/>
          <w:szCs w:val="30"/>
        </w:rPr>
        <w:t>（1） 办理法律规定和合同约定由承包人办理的许可和批准，将办理结果书面报送发包人留存，并承担因承包人违反法律或合同约定给发包人造成的任何费用和损失；</w:t>
      </w:r>
    </w:p>
    <w:p w14:paraId="762F1CAD">
      <w:pPr>
        <w:ind w:firstLine="600"/>
        <w:rPr>
          <w:rFonts w:ascii="宋体" w:hAnsi="宋体"/>
          <w:sz w:val="30"/>
          <w:szCs w:val="30"/>
        </w:rPr>
      </w:pPr>
      <w:r>
        <w:rPr>
          <w:rFonts w:hint="eastAsia" w:ascii="宋体" w:hAnsi="宋体"/>
          <w:sz w:val="30"/>
          <w:szCs w:val="30"/>
        </w:rPr>
        <w:t>（2） 按合同约定完成全部工作并在缺陷责任期和保修期内承担缺陷保证责任和保修义务，对工作中的任何缺陷进行整改、完善和修补，使其满足合同约定的目的；</w:t>
      </w:r>
    </w:p>
    <w:p w14:paraId="1EC70E4D">
      <w:pPr>
        <w:ind w:firstLine="600"/>
        <w:rPr>
          <w:rFonts w:ascii="宋体" w:hAnsi="宋体"/>
          <w:sz w:val="30"/>
          <w:szCs w:val="30"/>
        </w:rPr>
      </w:pPr>
      <w:r>
        <w:rPr>
          <w:rFonts w:hint="eastAsia" w:ascii="宋体" w:hAnsi="宋体"/>
          <w:sz w:val="30"/>
          <w:szCs w:val="30"/>
        </w:rPr>
        <w:t>（3） 提供合同约定的工程设备和承包人文件，以及为完成合同工作所需的劳务、材料、施工设备和其他物品，并按合同约定负责临时设施的设计、施工、运行、维护、管理和拆除；</w:t>
      </w:r>
    </w:p>
    <w:p w14:paraId="6A672696">
      <w:pPr>
        <w:ind w:firstLine="600"/>
        <w:rPr>
          <w:rFonts w:ascii="宋体" w:hAnsi="宋体"/>
          <w:sz w:val="30"/>
          <w:szCs w:val="30"/>
        </w:rPr>
      </w:pPr>
      <w:r>
        <w:rPr>
          <w:rFonts w:hint="eastAsia" w:ascii="宋体" w:hAnsi="宋体"/>
          <w:sz w:val="30"/>
          <w:szCs w:val="30"/>
        </w:rPr>
        <w:t>（4） 按合同约定的工作内容和进度要求，编制设计、施工的组织和实施计划，保证项目进度计划的实现，并对所有设计、施工作业和施工方法，以及全部工程的完备性和安全可靠性负责；</w:t>
      </w:r>
    </w:p>
    <w:p w14:paraId="4C4D4E54">
      <w:pPr>
        <w:ind w:firstLine="600"/>
        <w:rPr>
          <w:rFonts w:ascii="宋体" w:hAnsi="宋体"/>
          <w:sz w:val="30"/>
          <w:szCs w:val="30"/>
        </w:rPr>
      </w:pPr>
      <w:r>
        <w:rPr>
          <w:rFonts w:hint="eastAsia" w:ascii="宋体" w:hAnsi="宋体"/>
          <w:sz w:val="30"/>
          <w:szCs w:val="30"/>
        </w:rPr>
        <w:t>（5） 按法律规定和合同约定采取安全文明施工、职业健康和环境保护措施，办理员工工伤保险等相关保险，确保工程及人员、材料、设备和设施的安全，防止因工程实施造成的人身伤害和财产损失；</w:t>
      </w:r>
    </w:p>
    <w:p w14:paraId="37567E1B">
      <w:pPr>
        <w:ind w:firstLine="600"/>
        <w:rPr>
          <w:rFonts w:ascii="宋体" w:hAnsi="宋体"/>
          <w:sz w:val="30"/>
          <w:szCs w:val="30"/>
        </w:rPr>
      </w:pPr>
      <w:r>
        <w:rPr>
          <w:rFonts w:hint="eastAsia" w:ascii="宋体" w:hAnsi="宋体"/>
          <w:sz w:val="30"/>
          <w:szCs w:val="30"/>
        </w:rPr>
        <w:t>（6） 将发包人按合同约定支付的各项价款专用于合同工程，且应及时支付其雇用人员（包括建筑工人）工资，并及时向分包人支付合同价款；</w:t>
      </w:r>
    </w:p>
    <w:p w14:paraId="73CA990F">
      <w:pPr>
        <w:ind w:firstLine="600"/>
        <w:rPr>
          <w:rFonts w:ascii="宋体" w:hAnsi="宋体"/>
          <w:sz w:val="30"/>
          <w:szCs w:val="30"/>
        </w:rPr>
      </w:pPr>
      <w:r>
        <w:rPr>
          <w:rFonts w:hint="eastAsia" w:ascii="宋体" w:hAnsi="宋体"/>
          <w:sz w:val="30"/>
          <w:szCs w:val="30"/>
        </w:rPr>
        <w:t>（7） 在进行合同约定的各项工作时，不得侵害发包人与他人使用公用道路、水源、市政管网等公共设施的权利，避免对邻近的公共设施产生干扰。</w:t>
      </w:r>
    </w:p>
    <w:p w14:paraId="68B90A0C">
      <w:pPr>
        <w:pStyle w:val="969"/>
        <w:widowControl/>
        <w:numPr>
          <w:ilvl w:val="0"/>
          <w:numId w:val="0"/>
        </w:numPr>
        <w:rPr>
          <w:rFonts w:ascii="宋体" w:hAnsi="宋体" w:eastAsia="宋体"/>
          <w:b w:val="0"/>
          <w:bCs/>
          <w:sz w:val="30"/>
          <w:szCs w:val="30"/>
        </w:rPr>
      </w:pPr>
      <w:bookmarkStart w:id="170" w:name="_Toc54862213"/>
      <w:bookmarkStart w:id="171" w:name="_Ref4426803"/>
      <w:bookmarkStart w:id="172" w:name="_Ref4428418"/>
      <w:r>
        <w:rPr>
          <w:rFonts w:hint="eastAsia" w:ascii="宋体" w:hAnsi="宋体" w:eastAsia="宋体"/>
          <w:b w:val="0"/>
          <w:bCs/>
          <w:sz w:val="30"/>
          <w:szCs w:val="30"/>
        </w:rPr>
        <w:t>4</w:t>
      </w:r>
      <w:r>
        <w:rPr>
          <w:rFonts w:ascii="宋体" w:hAnsi="宋体" w:eastAsia="宋体"/>
          <w:b w:val="0"/>
          <w:bCs/>
          <w:sz w:val="30"/>
          <w:szCs w:val="30"/>
        </w:rPr>
        <w:t xml:space="preserve">.2 </w:t>
      </w:r>
      <w:r>
        <w:rPr>
          <w:rFonts w:hint="eastAsia" w:ascii="宋体" w:hAnsi="宋体" w:eastAsia="宋体"/>
          <w:b w:val="0"/>
          <w:bCs/>
          <w:sz w:val="30"/>
          <w:szCs w:val="30"/>
        </w:rPr>
        <w:t>履约担保</w:t>
      </w:r>
      <w:bookmarkEnd w:id="170"/>
      <w:bookmarkEnd w:id="171"/>
    </w:p>
    <w:p w14:paraId="40150F33">
      <w:pPr>
        <w:ind w:firstLine="600"/>
        <w:rPr>
          <w:rFonts w:ascii="宋体" w:hAnsi="宋体"/>
          <w:sz w:val="30"/>
          <w:szCs w:val="30"/>
        </w:rPr>
      </w:pPr>
      <w:r>
        <w:rPr>
          <w:rFonts w:hint="eastAsia" w:ascii="宋体" w:hAnsi="宋体"/>
          <w:sz w:val="30"/>
          <w:szCs w:val="30"/>
        </w:rPr>
        <w:t>发包人需要承包人提供履约担保的，由合同当事人在专用合同条件中约定履约担保的方式、金额及提交的时间等，并应符合第</w:t>
      </w:r>
      <w:r>
        <w:rPr>
          <w:rFonts w:ascii="宋体" w:hAnsi="宋体"/>
          <w:sz w:val="30"/>
          <w:szCs w:val="30"/>
        </w:rPr>
        <w:t>2.5</w:t>
      </w:r>
      <w:r>
        <w:rPr>
          <w:rFonts w:hint="eastAsia" w:ascii="宋体" w:hAnsi="宋体"/>
          <w:sz w:val="30"/>
          <w:szCs w:val="30"/>
        </w:rPr>
        <w:t>款[支付合同价款]的规定。履约担保可以采用银行保函或担保公司担保等形式，承包人为联合体的，其履约担保由联合体各方或者联合体中牵头人的名义代表联合体提交，具体由合同当事人在专用合同条件中约定。</w:t>
      </w:r>
    </w:p>
    <w:p w14:paraId="6B5DB57A">
      <w:pPr>
        <w:ind w:firstLine="600"/>
        <w:rPr>
          <w:rFonts w:ascii="宋体" w:hAnsi="宋体"/>
          <w:sz w:val="30"/>
          <w:szCs w:val="30"/>
        </w:rPr>
      </w:pPr>
      <w:r>
        <w:rPr>
          <w:rFonts w:hint="eastAsia" w:ascii="宋体" w:hAnsi="宋体"/>
          <w:sz w:val="30"/>
          <w:szCs w:val="30"/>
        </w:rPr>
        <w:t>承包人应保证其履约担保在发包人竣工验收前一直有效，发包人应在竣工验收合格后</w:t>
      </w:r>
      <w:r>
        <w:rPr>
          <w:rFonts w:ascii="宋体" w:hAnsi="宋体"/>
          <w:sz w:val="30"/>
          <w:szCs w:val="30"/>
        </w:rPr>
        <w:t>7</w:t>
      </w:r>
      <w:r>
        <w:rPr>
          <w:rFonts w:hint="eastAsia" w:ascii="宋体" w:hAnsi="宋体"/>
          <w:sz w:val="30"/>
          <w:szCs w:val="30"/>
        </w:rPr>
        <w:t>天内将履约担保款项退还给承包人或者解除履约担保。</w:t>
      </w:r>
    </w:p>
    <w:p w14:paraId="0AF74DBE">
      <w:pPr>
        <w:ind w:firstLine="600"/>
        <w:rPr>
          <w:rFonts w:ascii="宋体" w:hAnsi="宋体"/>
          <w:sz w:val="30"/>
          <w:szCs w:val="30"/>
        </w:rPr>
      </w:pPr>
      <w:r>
        <w:rPr>
          <w:rFonts w:hint="eastAsia" w:ascii="宋体" w:hAnsi="宋体"/>
          <w:sz w:val="30"/>
          <w:szCs w:val="30"/>
        </w:rPr>
        <w:t>因承包人原因导致工期延长的，继续提供履约担保所增加的费用由承包人承担；非因承包人原因导致工期延长的，继续提供履约担保所增加的费用由发包人承担。</w:t>
      </w:r>
    </w:p>
    <w:bookmarkEnd w:id="169"/>
    <w:bookmarkEnd w:id="172"/>
    <w:p w14:paraId="049C888E">
      <w:pPr>
        <w:pStyle w:val="969"/>
        <w:widowControl/>
        <w:numPr>
          <w:ilvl w:val="0"/>
          <w:numId w:val="0"/>
        </w:numPr>
        <w:rPr>
          <w:rFonts w:ascii="宋体" w:hAnsi="宋体" w:eastAsia="宋体"/>
          <w:b w:val="0"/>
          <w:bCs/>
          <w:sz w:val="30"/>
          <w:szCs w:val="30"/>
        </w:rPr>
      </w:pPr>
      <w:bookmarkStart w:id="173" w:name="_Ref532689105"/>
      <w:bookmarkStart w:id="174" w:name="_Ref532689108"/>
      <w:bookmarkStart w:id="175" w:name="_Toc54862214"/>
      <w:r>
        <w:rPr>
          <w:rFonts w:hint="eastAsia" w:ascii="宋体" w:hAnsi="宋体" w:eastAsia="宋体"/>
          <w:b w:val="0"/>
          <w:bCs/>
          <w:sz w:val="30"/>
          <w:szCs w:val="30"/>
        </w:rPr>
        <w:t>4</w:t>
      </w:r>
      <w:r>
        <w:rPr>
          <w:rFonts w:ascii="宋体" w:hAnsi="宋体" w:eastAsia="宋体"/>
          <w:b w:val="0"/>
          <w:bCs/>
          <w:sz w:val="30"/>
          <w:szCs w:val="30"/>
        </w:rPr>
        <w:t xml:space="preserve">.3 </w:t>
      </w:r>
      <w:r>
        <w:rPr>
          <w:rFonts w:hint="eastAsia" w:ascii="宋体" w:hAnsi="宋体" w:eastAsia="宋体"/>
          <w:b w:val="0"/>
          <w:bCs/>
          <w:sz w:val="30"/>
          <w:szCs w:val="30"/>
        </w:rPr>
        <w:t>工程总承包项目经理</w:t>
      </w:r>
      <w:bookmarkEnd w:id="173"/>
      <w:bookmarkEnd w:id="174"/>
      <w:bookmarkEnd w:id="175"/>
    </w:p>
    <w:p w14:paraId="58A029FF">
      <w:pPr>
        <w:pStyle w:val="994"/>
        <w:numPr>
          <w:ilvl w:val="0"/>
          <w:numId w:val="0"/>
        </w:numPr>
        <w:rPr>
          <w:sz w:val="30"/>
          <w:szCs w:val="30"/>
        </w:rPr>
      </w:pPr>
      <w:bookmarkStart w:id="176" w:name="_Ref532351726"/>
      <w:r>
        <w:rPr>
          <w:rFonts w:hint="eastAsia"/>
          <w:sz w:val="30"/>
          <w:szCs w:val="30"/>
        </w:rPr>
        <w:t>4</w:t>
      </w:r>
      <w:r>
        <w:rPr>
          <w:sz w:val="30"/>
          <w:szCs w:val="30"/>
        </w:rPr>
        <w:t xml:space="preserve">.3.1 </w:t>
      </w:r>
      <w:r>
        <w:rPr>
          <w:rFonts w:hint="eastAsia"/>
          <w:sz w:val="30"/>
          <w:szCs w:val="30"/>
        </w:rPr>
        <w:t>工程总承包项目经理应为合同当事人所确认的人选，并在专用合同条件中明确工程总承包项目经理的姓名、注册执业资格或职称、联系方式及授权范围等事项。工程总承包项目经理应具备履行其职责所需的资格、经验和能力，并为承包人正式聘用的员工，承包人应向发包人提交工程总承包项目经理与承包人之间的劳动合同，以及承包人为工程总承包项目经理缴纳社会保险的有效证明。承包人不提交上述文件的，工程总承包项目经理无权履行职责，发包人有权要求更换工程总承包项目经理，由此增加的费用和（或）延误的工期由承包人承担。同时，发包人有权根据专用合同条件约定要求承包人承担违约责任。</w:t>
      </w:r>
      <w:bookmarkEnd w:id="176"/>
    </w:p>
    <w:p w14:paraId="4567B7DA">
      <w:pPr>
        <w:pStyle w:val="994"/>
        <w:numPr>
          <w:ilvl w:val="0"/>
          <w:numId w:val="0"/>
        </w:numPr>
        <w:rPr>
          <w:sz w:val="30"/>
          <w:szCs w:val="30"/>
        </w:rPr>
      </w:pPr>
      <w:bookmarkStart w:id="177" w:name="_Ref532689263"/>
      <w:r>
        <w:rPr>
          <w:rFonts w:hint="eastAsia"/>
          <w:sz w:val="30"/>
          <w:szCs w:val="30"/>
        </w:rPr>
        <w:t>4</w:t>
      </w:r>
      <w:r>
        <w:rPr>
          <w:sz w:val="30"/>
          <w:szCs w:val="30"/>
        </w:rPr>
        <w:t xml:space="preserve">.3.2 </w:t>
      </w:r>
      <w:r>
        <w:rPr>
          <w:rFonts w:hint="eastAsia"/>
          <w:sz w:val="30"/>
          <w:szCs w:val="30"/>
        </w:rPr>
        <w:t>承包人应按合同协议书的约定指派工程总承包项目经理，并在约定的期限内到职。工程总承包项目经理不得同时担任其他工程项目的工程总承包项目经理或施工工程总承包项目经理（含施工总承包工程、专业承包工程）。工程在现场实施的全部时间内，工程总承包项目经理每月在施工现场时间不得少于专用合同条件约定的天数。工程总承包项目经理确需离开施工现场时，应事先通知工程师，并取得发包人的书面同意。工程总承包项目经理未经批准擅自离开施工现场的，承包人应按照专用合同条件的约定承担违约责任。工程总承包项目经理的通知中应当载明临时代行其职责的人员的注册执业资格、管理经验等资料，该人员应具备履行相应职责的资格、经验和能力。</w:t>
      </w:r>
      <w:bookmarkEnd w:id="177"/>
    </w:p>
    <w:p w14:paraId="0C729D7B">
      <w:pPr>
        <w:pStyle w:val="994"/>
        <w:numPr>
          <w:ilvl w:val="0"/>
          <w:numId w:val="0"/>
        </w:numPr>
        <w:rPr>
          <w:sz w:val="30"/>
          <w:szCs w:val="30"/>
        </w:rPr>
      </w:pPr>
      <w:bookmarkStart w:id="178" w:name="_Ref532689178"/>
      <w:bookmarkStart w:id="179" w:name="_Ref531952112"/>
      <w:r>
        <w:rPr>
          <w:rFonts w:hint="eastAsia"/>
          <w:sz w:val="30"/>
          <w:szCs w:val="30"/>
        </w:rPr>
        <w:t>4</w:t>
      </w:r>
      <w:r>
        <w:rPr>
          <w:sz w:val="30"/>
          <w:szCs w:val="30"/>
        </w:rPr>
        <w:t xml:space="preserve">.3.3 </w:t>
      </w:r>
      <w:r>
        <w:rPr>
          <w:rFonts w:hint="eastAsia"/>
          <w:sz w:val="30"/>
          <w:szCs w:val="30"/>
        </w:rPr>
        <w:t>承包人应根据本合同的约定授予工程总承包项目经理代表承包人履行合同所需的权利，工程总承包项目经理权限以专用合同条件中约定的权限为准。经承包人授权后，工程总承包项目经理应按合同约定以及工程师按第</w:t>
      </w:r>
      <w:r>
        <w:rPr>
          <w:sz w:val="30"/>
          <w:szCs w:val="30"/>
        </w:rPr>
        <w:t>3.5</w:t>
      </w:r>
      <w:r>
        <w:rPr>
          <w:rFonts w:hint="eastAsia"/>
          <w:sz w:val="30"/>
          <w:szCs w:val="30"/>
        </w:rPr>
        <w:t>款[指示]作出的指示，代表承包人负责组织合同的实施。在紧急情况下，且无法与发包人和工程师取得联系时，工程总承包项目经理有权采取必要的措施保证人身、工程和财产的安全，但须在事后48小时内向工程师送交书面报告。</w:t>
      </w:r>
      <w:bookmarkEnd w:id="178"/>
    </w:p>
    <w:bookmarkEnd w:id="179"/>
    <w:p w14:paraId="3B96F990">
      <w:pPr>
        <w:pStyle w:val="994"/>
        <w:numPr>
          <w:ilvl w:val="0"/>
          <w:numId w:val="0"/>
        </w:numPr>
        <w:rPr>
          <w:sz w:val="30"/>
          <w:szCs w:val="30"/>
        </w:rPr>
      </w:pPr>
      <w:bookmarkStart w:id="180" w:name="_Ref4426412"/>
      <w:r>
        <w:rPr>
          <w:rFonts w:hint="eastAsia"/>
          <w:sz w:val="30"/>
          <w:szCs w:val="30"/>
        </w:rPr>
        <w:t>4</w:t>
      </w:r>
      <w:r>
        <w:rPr>
          <w:sz w:val="30"/>
          <w:szCs w:val="30"/>
        </w:rPr>
        <w:t xml:space="preserve">.3.4 </w:t>
      </w:r>
      <w:r>
        <w:rPr>
          <w:rFonts w:hint="eastAsia"/>
          <w:sz w:val="30"/>
          <w:szCs w:val="30"/>
        </w:rPr>
        <w:t>承包人需要更换工程总承包项目经理的，应提前14天书面通知发包人并抄送工程师，征得发包人书面同意。通知中应当载明继任工程总承包项目经理的注册执业资格、管理经验等资料，继任工程总承包项目经理继续履行本合同约定的职责。未经发包人书面同意，承包人不得擅自更换工程总承包项目经理，在发包人未予以书面回复期间内，工程总承包项目经理将继续履行其职责。工程总承包项目经理突发丧失履行职务能力的，承包人应当及时委派一位具有相应资格能力的人员担任临时工程总承包项目经理，履行工程总承包项目经理的职责，临时工程总承包项目经理将履行职责直至发包人同意新的工程总承包项目经理的任命之日止。承包人擅自更换工程总承包项目经理的，</w:t>
      </w:r>
      <w:bookmarkStart w:id="181" w:name="_Hlk55056591"/>
      <w:r>
        <w:rPr>
          <w:rFonts w:hint="eastAsia"/>
          <w:sz w:val="30"/>
          <w:szCs w:val="30"/>
        </w:rPr>
        <w:t>应按照专用合同条件的约定承担违约责任。</w:t>
      </w:r>
      <w:bookmarkEnd w:id="180"/>
      <w:bookmarkEnd w:id="181"/>
    </w:p>
    <w:p w14:paraId="7A076524">
      <w:pPr>
        <w:pStyle w:val="994"/>
        <w:numPr>
          <w:ilvl w:val="0"/>
          <w:numId w:val="0"/>
        </w:numPr>
        <w:rPr>
          <w:sz w:val="30"/>
          <w:szCs w:val="30"/>
        </w:rPr>
      </w:pPr>
      <w:bookmarkStart w:id="182" w:name="_Ref531952137"/>
      <w:r>
        <w:rPr>
          <w:rFonts w:hint="eastAsia"/>
          <w:sz w:val="30"/>
          <w:szCs w:val="30"/>
        </w:rPr>
        <w:t>4</w:t>
      </w:r>
      <w:r>
        <w:rPr>
          <w:sz w:val="30"/>
          <w:szCs w:val="30"/>
        </w:rPr>
        <w:t xml:space="preserve">.3.5 </w:t>
      </w:r>
      <w:r>
        <w:rPr>
          <w:rFonts w:hint="eastAsia"/>
          <w:sz w:val="30"/>
          <w:szCs w:val="30"/>
        </w:rPr>
        <w:t>发包人有权书面通知承包人要求更换其认为不称职的工程总承包项目经理，通知中应当载明要求更换的理由。承包人应在接到更换通知后14天内向发包人提出书面的改进报告。如承包人没有提出改进报告，应在收到更换通知后</w:t>
      </w:r>
      <w:r>
        <w:rPr>
          <w:sz w:val="30"/>
          <w:szCs w:val="30"/>
        </w:rPr>
        <w:t>28天内更换项目经理。</w:t>
      </w:r>
      <w:r>
        <w:rPr>
          <w:rFonts w:hint="eastAsia"/>
          <w:sz w:val="30"/>
          <w:szCs w:val="30"/>
        </w:rPr>
        <w:t>发包人收到改进报告后仍要求更换的，承包人应在接到第二次更换通知的28天内进行更换，并将新任命的工程总承包项目经理的注册执业资格、管理经验等资料书面通知发包人。继任工程总承包项目经理继续履行本合同约定的职责。承包人无正当理由拒绝更换工程总承包项目经理的，应按照专用合同条件的约定承担违约责任。</w:t>
      </w:r>
      <w:bookmarkEnd w:id="182"/>
    </w:p>
    <w:p w14:paraId="3E6E8B90">
      <w:pPr>
        <w:pStyle w:val="994"/>
        <w:numPr>
          <w:ilvl w:val="0"/>
          <w:numId w:val="0"/>
        </w:numPr>
        <w:rPr>
          <w:sz w:val="30"/>
          <w:szCs w:val="30"/>
        </w:rPr>
      </w:pPr>
      <w:bookmarkStart w:id="183" w:name="_Ref122620"/>
      <w:r>
        <w:rPr>
          <w:rFonts w:hint="eastAsia"/>
          <w:sz w:val="30"/>
          <w:szCs w:val="30"/>
        </w:rPr>
        <w:t>4</w:t>
      </w:r>
      <w:r>
        <w:rPr>
          <w:sz w:val="30"/>
          <w:szCs w:val="30"/>
        </w:rPr>
        <w:t xml:space="preserve">.3.6 </w:t>
      </w:r>
      <w:r>
        <w:rPr>
          <w:rFonts w:hint="eastAsia"/>
          <w:sz w:val="30"/>
          <w:szCs w:val="30"/>
        </w:rPr>
        <w:t>工程总承包项目经理因特殊情况授权其下属人员履行其某项工作职责的，该下属人员应具备履行相应职责的能力，并应事先将上述人员的姓名、注册执业资格、管理经验等信息和授权范围书面通知发包人并抄送工程师，征得发包人书面同意。</w:t>
      </w:r>
      <w:bookmarkEnd w:id="183"/>
    </w:p>
    <w:p w14:paraId="123CAE15">
      <w:pPr>
        <w:pStyle w:val="969"/>
        <w:widowControl/>
        <w:numPr>
          <w:ilvl w:val="0"/>
          <w:numId w:val="0"/>
        </w:numPr>
        <w:rPr>
          <w:rFonts w:ascii="宋体" w:hAnsi="宋体" w:eastAsia="宋体"/>
          <w:b w:val="0"/>
          <w:bCs/>
          <w:sz w:val="30"/>
          <w:szCs w:val="30"/>
        </w:rPr>
      </w:pPr>
      <w:bookmarkStart w:id="184" w:name="_Ref531952172"/>
      <w:bookmarkStart w:id="185" w:name="_Ref531952175"/>
      <w:bookmarkStart w:id="186" w:name="_Toc54862215"/>
      <w:r>
        <w:rPr>
          <w:rFonts w:hint="eastAsia" w:ascii="宋体" w:hAnsi="宋体" w:eastAsia="宋体"/>
          <w:b w:val="0"/>
          <w:bCs/>
          <w:sz w:val="30"/>
          <w:szCs w:val="30"/>
        </w:rPr>
        <w:t>4</w:t>
      </w:r>
      <w:r>
        <w:rPr>
          <w:rFonts w:ascii="宋体" w:hAnsi="宋体" w:eastAsia="宋体"/>
          <w:b w:val="0"/>
          <w:bCs/>
          <w:sz w:val="30"/>
          <w:szCs w:val="30"/>
        </w:rPr>
        <w:t xml:space="preserve">.4 </w:t>
      </w:r>
      <w:r>
        <w:rPr>
          <w:rFonts w:hint="eastAsia" w:ascii="宋体" w:hAnsi="宋体" w:eastAsia="宋体"/>
          <w:b w:val="0"/>
          <w:bCs/>
          <w:sz w:val="30"/>
          <w:szCs w:val="30"/>
        </w:rPr>
        <w:t>承包人人员</w:t>
      </w:r>
      <w:bookmarkEnd w:id="184"/>
      <w:bookmarkEnd w:id="185"/>
      <w:bookmarkEnd w:id="186"/>
    </w:p>
    <w:p w14:paraId="7D5361CC">
      <w:pPr>
        <w:pStyle w:val="994"/>
        <w:numPr>
          <w:ilvl w:val="0"/>
          <w:numId w:val="0"/>
        </w:numPr>
        <w:rPr>
          <w:sz w:val="30"/>
          <w:szCs w:val="30"/>
        </w:rPr>
      </w:pPr>
      <w:bookmarkStart w:id="187" w:name="_Ref531952185"/>
      <w:r>
        <w:rPr>
          <w:rFonts w:hint="eastAsia"/>
          <w:sz w:val="30"/>
          <w:szCs w:val="30"/>
        </w:rPr>
        <w:t>4</w:t>
      </w:r>
      <w:r>
        <w:rPr>
          <w:sz w:val="30"/>
          <w:szCs w:val="30"/>
        </w:rPr>
        <w:t xml:space="preserve">.4.1 </w:t>
      </w:r>
      <w:r>
        <w:rPr>
          <w:rFonts w:hint="eastAsia"/>
          <w:sz w:val="30"/>
          <w:szCs w:val="30"/>
        </w:rPr>
        <w:t>人员安排</w:t>
      </w:r>
      <w:bookmarkEnd w:id="187"/>
    </w:p>
    <w:p w14:paraId="49DBB3CD">
      <w:pPr>
        <w:ind w:firstLine="600"/>
        <w:rPr>
          <w:rFonts w:ascii="宋体" w:hAnsi="宋体"/>
          <w:sz w:val="30"/>
          <w:szCs w:val="30"/>
        </w:rPr>
      </w:pPr>
      <w:r>
        <w:rPr>
          <w:rFonts w:hint="eastAsia" w:ascii="宋体" w:hAnsi="宋体"/>
          <w:sz w:val="30"/>
          <w:szCs w:val="30"/>
        </w:rPr>
        <w:t>承包人人员的资质、数量、配置和管理应能满足工程实施的需要。除专用合同条件另有约定外，承包人应在接到开始工作通知之日起14天内，向工程师提交承包人的项目管理机构以及人员安排的报告，其内容应包括管理机构的设置、各主要岗位的关键人员名单及注册执业资格等证明其具备担任关键人员能力的相关文件，以及设计人员和各工种技术负责人的安排状况。</w:t>
      </w:r>
    </w:p>
    <w:p w14:paraId="1350DA7C">
      <w:pPr>
        <w:ind w:firstLine="600"/>
        <w:rPr>
          <w:rFonts w:ascii="宋体" w:hAnsi="宋体"/>
          <w:sz w:val="30"/>
          <w:szCs w:val="30"/>
        </w:rPr>
      </w:pPr>
      <w:r>
        <w:rPr>
          <w:rFonts w:hint="eastAsia" w:ascii="宋体" w:hAnsi="宋体"/>
          <w:sz w:val="30"/>
          <w:szCs w:val="30"/>
        </w:rPr>
        <w:t>关键人员</w:t>
      </w:r>
      <w:bookmarkStart w:id="188" w:name="_Hlk16210335"/>
      <w:r>
        <w:rPr>
          <w:rFonts w:hint="eastAsia" w:ascii="宋体" w:hAnsi="宋体"/>
          <w:sz w:val="30"/>
          <w:szCs w:val="30"/>
        </w:rPr>
        <w:t>是发包人及承包人一致认为对工程建设起重要作用的承包人主要管理人员或技术人员。关键人员的具体范围由发包人及承包人在附件</w:t>
      </w:r>
      <w:r>
        <w:rPr>
          <w:rFonts w:ascii="宋体" w:hAnsi="宋体"/>
          <w:sz w:val="30"/>
          <w:szCs w:val="30"/>
        </w:rPr>
        <w:t>5[承包人主要管理人员表]</w:t>
      </w:r>
      <w:r>
        <w:rPr>
          <w:rFonts w:hint="eastAsia" w:ascii="宋体" w:hAnsi="宋体"/>
          <w:sz w:val="30"/>
          <w:szCs w:val="30"/>
        </w:rPr>
        <w:t>中另行约定。</w:t>
      </w:r>
    </w:p>
    <w:bookmarkEnd w:id="188"/>
    <w:p w14:paraId="6A347C28">
      <w:pPr>
        <w:pStyle w:val="994"/>
        <w:numPr>
          <w:ilvl w:val="0"/>
          <w:numId w:val="0"/>
        </w:numPr>
        <w:rPr>
          <w:sz w:val="30"/>
          <w:szCs w:val="30"/>
        </w:rPr>
      </w:pPr>
      <w:bookmarkStart w:id="189" w:name="_Ref531952211"/>
      <w:bookmarkStart w:id="190" w:name="_Ref4426641"/>
      <w:r>
        <w:rPr>
          <w:rFonts w:hint="eastAsia"/>
          <w:sz w:val="30"/>
          <w:szCs w:val="30"/>
        </w:rPr>
        <w:t>4</w:t>
      </w:r>
      <w:r>
        <w:rPr>
          <w:sz w:val="30"/>
          <w:szCs w:val="30"/>
        </w:rPr>
        <w:t xml:space="preserve">.4.2 </w:t>
      </w:r>
      <w:r>
        <w:rPr>
          <w:rFonts w:hint="eastAsia"/>
          <w:sz w:val="30"/>
          <w:szCs w:val="30"/>
        </w:rPr>
        <w:t>关键人员更换</w:t>
      </w:r>
      <w:bookmarkEnd w:id="189"/>
      <w:bookmarkEnd w:id="190"/>
    </w:p>
    <w:p w14:paraId="086BEC01">
      <w:pPr>
        <w:ind w:firstLine="600"/>
        <w:rPr>
          <w:rFonts w:ascii="宋体" w:hAnsi="宋体"/>
          <w:sz w:val="30"/>
          <w:szCs w:val="30"/>
        </w:rPr>
      </w:pPr>
      <w:r>
        <w:rPr>
          <w:rFonts w:hint="eastAsia" w:ascii="宋体" w:hAnsi="宋体"/>
          <w:sz w:val="30"/>
          <w:szCs w:val="30"/>
        </w:rPr>
        <w:t>承包人派驻到施工现场的关键人员应相对稳定。承包人更换关键人员时，应提前14天将继任关键人员信息及相关证明文件提交给工程师，并由工程师报发包人征求同意。在发包人未予以书面回复期间内，关键人员将继续履行其职务。关键人员突发丧失履行职务能力的，承包人应当及时委派一位具有相应资格能力的人员临时继任该关键人员职位，履行该关键人员职责，临时继任关键人员将履行职责直至发包人同意新的关键人员任命之日止。承包人擅自更换关键人员，应按照专用合同条件约定承担违约责任。</w:t>
      </w:r>
    </w:p>
    <w:p w14:paraId="71A2FA58">
      <w:pPr>
        <w:ind w:firstLine="600"/>
        <w:rPr>
          <w:rFonts w:ascii="宋体" w:hAnsi="宋体"/>
          <w:sz w:val="30"/>
          <w:szCs w:val="30"/>
        </w:rPr>
      </w:pPr>
      <w:r>
        <w:rPr>
          <w:rFonts w:hint="eastAsia" w:ascii="宋体" w:hAnsi="宋体"/>
          <w:sz w:val="30"/>
          <w:szCs w:val="30"/>
        </w:rPr>
        <w:t>工程师对于承包人关键人员的资格或能力有异议的，承包人应提供资料证明被质疑人员有能力完成其岗位工作或不存在工程师所质疑的情形。工程师指示撤换不能按照合同约定履行职责及义务的主要施工管理人员的，承包人应当撤换。承包人无正当理由拒绝撤换的，应按照专用合同条件的约定承担违约责任。</w:t>
      </w:r>
    </w:p>
    <w:p w14:paraId="7C212F32">
      <w:pPr>
        <w:pStyle w:val="994"/>
        <w:numPr>
          <w:ilvl w:val="0"/>
          <w:numId w:val="0"/>
        </w:numPr>
        <w:rPr>
          <w:sz w:val="30"/>
          <w:szCs w:val="30"/>
        </w:rPr>
      </w:pPr>
      <w:bookmarkStart w:id="191" w:name="_Ref531952227"/>
      <w:r>
        <w:rPr>
          <w:rFonts w:hint="eastAsia"/>
          <w:sz w:val="30"/>
          <w:szCs w:val="30"/>
        </w:rPr>
        <w:t>4</w:t>
      </w:r>
      <w:r>
        <w:rPr>
          <w:sz w:val="30"/>
          <w:szCs w:val="30"/>
        </w:rPr>
        <w:t xml:space="preserve">.4.3 </w:t>
      </w:r>
      <w:r>
        <w:rPr>
          <w:rFonts w:hint="eastAsia"/>
          <w:sz w:val="30"/>
          <w:szCs w:val="30"/>
        </w:rPr>
        <w:t>现场管理关键人员在岗要求</w:t>
      </w:r>
      <w:bookmarkEnd w:id="191"/>
    </w:p>
    <w:p w14:paraId="577560FA">
      <w:pPr>
        <w:ind w:firstLine="600"/>
        <w:rPr>
          <w:rFonts w:ascii="宋体" w:hAnsi="宋体"/>
          <w:sz w:val="30"/>
          <w:szCs w:val="30"/>
        </w:rPr>
      </w:pPr>
      <w:r>
        <w:rPr>
          <w:rFonts w:hint="eastAsia" w:ascii="宋体" w:hAnsi="宋体"/>
          <w:sz w:val="30"/>
          <w:szCs w:val="30"/>
        </w:rPr>
        <w:t>除专用合同条件另有约定外，承包人的现场管理关键人员离开施工现场每月累计不超过7天的，应报工程师同意；离开施工现场每月累计超过7天的，应书面通知发包人并抄送工程师，征得发包人书面同意。现场管理关键人员因故离开施工现场的，可授权有经验的人员临时代行其职责，但承包人应将被授权人员信息及授权范围书面通知发包人并取得其同意。现场管理关键人员未经工程师或发包人同意擅自离开施工现场的，应按照专用合同条件约定承担违约责任。</w:t>
      </w:r>
    </w:p>
    <w:p w14:paraId="0CF1E4DE">
      <w:pPr>
        <w:pStyle w:val="969"/>
        <w:widowControl/>
        <w:numPr>
          <w:ilvl w:val="0"/>
          <w:numId w:val="0"/>
        </w:numPr>
        <w:rPr>
          <w:rFonts w:ascii="宋体" w:hAnsi="宋体" w:eastAsia="宋体"/>
          <w:b w:val="0"/>
          <w:bCs/>
          <w:sz w:val="30"/>
          <w:szCs w:val="30"/>
        </w:rPr>
      </w:pPr>
      <w:bookmarkStart w:id="192" w:name="_Ref531952259"/>
      <w:bookmarkStart w:id="193" w:name="_Ref531952262"/>
      <w:bookmarkStart w:id="194" w:name="_Toc54862216"/>
      <w:r>
        <w:rPr>
          <w:rFonts w:hint="eastAsia" w:ascii="宋体" w:hAnsi="宋体" w:eastAsia="宋体"/>
          <w:b w:val="0"/>
          <w:bCs/>
          <w:sz w:val="30"/>
          <w:szCs w:val="30"/>
        </w:rPr>
        <w:t>4</w:t>
      </w:r>
      <w:r>
        <w:rPr>
          <w:rFonts w:ascii="宋体" w:hAnsi="宋体" w:eastAsia="宋体"/>
          <w:b w:val="0"/>
          <w:bCs/>
          <w:sz w:val="30"/>
          <w:szCs w:val="30"/>
        </w:rPr>
        <w:t xml:space="preserve">.5 </w:t>
      </w:r>
      <w:r>
        <w:rPr>
          <w:rFonts w:hint="eastAsia" w:ascii="宋体" w:hAnsi="宋体" w:eastAsia="宋体"/>
          <w:b w:val="0"/>
          <w:bCs/>
          <w:sz w:val="30"/>
          <w:szCs w:val="30"/>
        </w:rPr>
        <w:t>分包</w:t>
      </w:r>
      <w:bookmarkEnd w:id="192"/>
      <w:bookmarkEnd w:id="193"/>
      <w:bookmarkEnd w:id="194"/>
      <w:r>
        <w:rPr>
          <w:rFonts w:hint="eastAsia" w:ascii="宋体" w:hAnsi="宋体" w:eastAsia="宋体"/>
          <w:b w:val="0"/>
          <w:bCs/>
          <w:sz w:val="30"/>
          <w:szCs w:val="30"/>
        </w:rPr>
        <w:t xml:space="preserve"> </w:t>
      </w:r>
    </w:p>
    <w:p w14:paraId="17C052D9">
      <w:pPr>
        <w:pStyle w:val="994"/>
        <w:numPr>
          <w:ilvl w:val="0"/>
          <w:numId w:val="0"/>
        </w:numPr>
        <w:rPr>
          <w:sz w:val="30"/>
          <w:szCs w:val="30"/>
        </w:rPr>
      </w:pPr>
      <w:bookmarkStart w:id="195" w:name="_Ref531952273"/>
      <w:r>
        <w:rPr>
          <w:rFonts w:hint="eastAsia"/>
          <w:sz w:val="30"/>
          <w:szCs w:val="30"/>
        </w:rPr>
        <w:t>4</w:t>
      </w:r>
      <w:r>
        <w:rPr>
          <w:sz w:val="30"/>
          <w:szCs w:val="30"/>
        </w:rPr>
        <w:t xml:space="preserve">.5.1 </w:t>
      </w:r>
      <w:r>
        <w:rPr>
          <w:rFonts w:hint="eastAsia"/>
          <w:sz w:val="30"/>
          <w:szCs w:val="30"/>
        </w:rPr>
        <w:t>一般约定</w:t>
      </w:r>
      <w:bookmarkEnd w:id="195"/>
    </w:p>
    <w:p w14:paraId="14714CB9">
      <w:pPr>
        <w:ind w:firstLine="600"/>
        <w:rPr>
          <w:rFonts w:ascii="宋体" w:hAnsi="宋体"/>
          <w:sz w:val="30"/>
          <w:szCs w:val="30"/>
        </w:rPr>
      </w:pPr>
      <w:r>
        <w:rPr>
          <w:rFonts w:hint="eastAsia" w:ascii="宋体" w:hAnsi="宋体"/>
          <w:sz w:val="30"/>
          <w:szCs w:val="30"/>
        </w:rPr>
        <w:t>承包人不得将其承包的全部工程转包给第三人，或将其承包的全部工程支解后以分包的名义转包给第三人。承包人不得将法律或专用合同条件中禁止分包的工作事项分包给第三人，不得以劳务分包的名义转包或违法分包工程。</w:t>
      </w:r>
    </w:p>
    <w:p w14:paraId="6C4DFC0F">
      <w:pPr>
        <w:pStyle w:val="994"/>
        <w:numPr>
          <w:ilvl w:val="0"/>
          <w:numId w:val="0"/>
        </w:numPr>
        <w:rPr>
          <w:sz w:val="30"/>
          <w:szCs w:val="30"/>
        </w:rPr>
      </w:pPr>
      <w:bookmarkStart w:id="196" w:name="_Ref531952286"/>
      <w:r>
        <w:rPr>
          <w:rFonts w:hint="eastAsia"/>
          <w:sz w:val="30"/>
          <w:szCs w:val="30"/>
        </w:rPr>
        <w:t>4</w:t>
      </w:r>
      <w:r>
        <w:rPr>
          <w:sz w:val="30"/>
          <w:szCs w:val="30"/>
        </w:rPr>
        <w:t xml:space="preserve">.5.2 </w:t>
      </w:r>
      <w:r>
        <w:rPr>
          <w:rFonts w:hint="eastAsia"/>
          <w:sz w:val="30"/>
          <w:szCs w:val="30"/>
        </w:rPr>
        <w:t>分包的确定</w:t>
      </w:r>
      <w:bookmarkEnd w:id="196"/>
    </w:p>
    <w:p w14:paraId="5AE65C06">
      <w:pPr>
        <w:ind w:firstLine="600"/>
        <w:rPr>
          <w:rFonts w:ascii="宋体" w:hAnsi="宋体"/>
          <w:sz w:val="30"/>
          <w:szCs w:val="30"/>
        </w:rPr>
      </w:pPr>
      <w:r>
        <w:rPr>
          <w:rFonts w:hint="eastAsia" w:ascii="宋体" w:hAnsi="宋体"/>
          <w:sz w:val="30"/>
          <w:szCs w:val="30"/>
        </w:rPr>
        <w:t>承包人应按照专用合同条件约定对工作事项进行分包，确定分包人。</w:t>
      </w:r>
    </w:p>
    <w:p w14:paraId="1AE2BE2B">
      <w:pPr>
        <w:ind w:firstLine="600"/>
        <w:rPr>
          <w:rFonts w:ascii="宋体" w:hAnsi="宋体"/>
          <w:sz w:val="30"/>
          <w:szCs w:val="30"/>
        </w:rPr>
      </w:pPr>
      <w:r>
        <w:rPr>
          <w:rFonts w:hint="eastAsia" w:ascii="宋体" w:hAnsi="宋体"/>
          <w:sz w:val="30"/>
          <w:szCs w:val="30"/>
        </w:rPr>
        <w:t>专用合同条件未列出的分包事项，承包人可在工程实施阶段分批分期就分包事项向发包人提交申请，发包人在接到分包事项申请后的14天内，予以批准或提出意见。未经发包人同意，承包人不得将提出的拟分包事项对外分包。发包人未能在14天内批准亦未提出意见的，承包人有权将提出的拟分包事项对外分包，但应在分包人确定后通知发包人。</w:t>
      </w:r>
    </w:p>
    <w:p w14:paraId="00936746">
      <w:pPr>
        <w:pStyle w:val="994"/>
        <w:numPr>
          <w:ilvl w:val="0"/>
          <w:numId w:val="0"/>
        </w:numPr>
        <w:rPr>
          <w:sz w:val="30"/>
          <w:szCs w:val="30"/>
        </w:rPr>
      </w:pPr>
      <w:r>
        <w:rPr>
          <w:rFonts w:hint="eastAsia"/>
          <w:sz w:val="30"/>
          <w:szCs w:val="30"/>
        </w:rPr>
        <w:t>4</w:t>
      </w:r>
      <w:r>
        <w:rPr>
          <w:sz w:val="30"/>
          <w:szCs w:val="30"/>
        </w:rPr>
        <w:t xml:space="preserve">.5.3 </w:t>
      </w:r>
      <w:r>
        <w:rPr>
          <w:rFonts w:hint="eastAsia"/>
          <w:sz w:val="30"/>
          <w:szCs w:val="30"/>
        </w:rPr>
        <w:t>分包人资质</w:t>
      </w:r>
    </w:p>
    <w:p w14:paraId="163F41F1">
      <w:pPr>
        <w:ind w:firstLine="600"/>
        <w:rPr>
          <w:rFonts w:ascii="宋体" w:hAnsi="宋体"/>
          <w:sz w:val="30"/>
          <w:szCs w:val="30"/>
        </w:rPr>
      </w:pPr>
      <w:r>
        <w:rPr>
          <w:rFonts w:hint="eastAsia" w:ascii="宋体" w:hAnsi="宋体"/>
          <w:sz w:val="30"/>
          <w:szCs w:val="30"/>
        </w:rPr>
        <w:t>分包人应符合国家法律规定的资质等级，否则不能作为分包人。承包人有义务对分包人的资质进行审查。</w:t>
      </w:r>
    </w:p>
    <w:p w14:paraId="42ABE2C5">
      <w:pPr>
        <w:pStyle w:val="994"/>
        <w:numPr>
          <w:ilvl w:val="0"/>
          <w:numId w:val="0"/>
        </w:numPr>
        <w:rPr>
          <w:sz w:val="30"/>
          <w:szCs w:val="30"/>
        </w:rPr>
      </w:pPr>
      <w:r>
        <w:rPr>
          <w:rFonts w:hint="eastAsia"/>
          <w:sz w:val="30"/>
          <w:szCs w:val="30"/>
        </w:rPr>
        <w:t>4</w:t>
      </w:r>
      <w:r>
        <w:rPr>
          <w:sz w:val="30"/>
          <w:szCs w:val="30"/>
        </w:rPr>
        <w:t xml:space="preserve">.5.4 </w:t>
      </w:r>
      <w:r>
        <w:rPr>
          <w:rFonts w:hint="eastAsia"/>
          <w:sz w:val="30"/>
          <w:szCs w:val="30"/>
        </w:rPr>
        <w:t>分包管理</w:t>
      </w:r>
    </w:p>
    <w:p w14:paraId="78537EB0">
      <w:pPr>
        <w:ind w:firstLine="600"/>
        <w:rPr>
          <w:rFonts w:ascii="宋体" w:hAnsi="宋体"/>
          <w:sz w:val="30"/>
          <w:szCs w:val="30"/>
        </w:rPr>
      </w:pPr>
      <w:r>
        <w:rPr>
          <w:rFonts w:hint="eastAsia" w:ascii="宋体" w:hAnsi="宋体"/>
          <w:sz w:val="30"/>
          <w:szCs w:val="30"/>
        </w:rPr>
        <w:t>承包人应当对分包人的工作进行必要的协调与管理，确保分包人严格执行国家有关分包事项的管理规定。承包人应向工程师提交分包人的主要管理人员表，并对分包人的工作人员进行实名制管理，包括但不限于进出场管理、登记造册以及各种证照的办理。</w:t>
      </w:r>
    </w:p>
    <w:p w14:paraId="55E71FA5">
      <w:pPr>
        <w:pStyle w:val="994"/>
        <w:numPr>
          <w:ilvl w:val="0"/>
          <w:numId w:val="0"/>
        </w:numPr>
        <w:rPr>
          <w:sz w:val="30"/>
          <w:szCs w:val="30"/>
        </w:rPr>
      </w:pPr>
      <w:bookmarkStart w:id="197" w:name="_Ref531952298"/>
      <w:r>
        <w:rPr>
          <w:rFonts w:hint="eastAsia"/>
          <w:sz w:val="30"/>
          <w:szCs w:val="30"/>
        </w:rPr>
        <w:t>4</w:t>
      </w:r>
      <w:r>
        <w:rPr>
          <w:sz w:val="30"/>
          <w:szCs w:val="30"/>
        </w:rPr>
        <w:t xml:space="preserve">.5.5 </w:t>
      </w:r>
      <w:r>
        <w:rPr>
          <w:rFonts w:hint="eastAsia"/>
          <w:sz w:val="30"/>
          <w:szCs w:val="30"/>
        </w:rPr>
        <w:t>分包合同价款支付</w:t>
      </w:r>
      <w:bookmarkEnd w:id="197"/>
    </w:p>
    <w:p w14:paraId="6CC2FC35">
      <w:pPr>
        <w:ind w:firstLine="600"/>
        <w:rPr>
          <w:rFonts w:ascii="宋体" w:hAnsi="宋体"/>
          <w:sz w:val="30"/>
          <w:szCs w:val="30"/>
        </w:rPr>
      </w:pPr>
      <w:r>
        <w:rPr>
          <w:rFonts w:hint="eastAsia" w:ascii="宋体" w:hAnsi="宋体"/>
          <w:sz w:val="30"/>
          <w:szCs w:val="30"/>
        </w:rPr>
        <w:t>（1） 除本项第（2）目约定的情况或专用合同条件另有约定外，分包合同价款由承包人与分包人结算，未经承包人同意，发包人不得向分包人支付分包合同价款；</w:t>
      </w:r>
    </w:p>
    <w:p w14:paraId="51FD173C">
      <w:pPr>
        <w:ind w:firstLine="600"/>
        <w:rPr>
          <w:rFonts w:ascii="宋体" w:hAnsi="宋体"/>
          <w:sz w:val="30"/>
          <w:szCs w:val="30"/>
        </w:rPr>
      </w:pPr>
      <w:bookmarkStart w:id="198" w:name="_Ref4613798"/>
      <w:r>
        <w:rPr>
          <w:rFonts w:hint="eastAsia" w:ascii="宋体" w:hAnsi="宋体"/>
          <w:sz w:val="30"/>
          <w:szCs w:val="30"/>
        </w:rPr>
        <w:t>（2） 生效法律文书要求发包人向分包人支付分包合同价款的，发包人有权从应付承包人工程款中扣除该部分款项</w:t>
      </w:r>
      <w:bookmarkEnd w:id="198"/>
      <w:r>
        <w:rPr>
          <w:rFonts w:hint="eastAsia" w:ascii="宋体" w:hAnsi="宋体"/>
          <w:sz w:val="30"/>
          <w:szCs w:val="30"/>
        </w:rPr>
        <w:t>，将扣款直接支付给分包人，并书面通知承包人。</w:t>
      </w:r>
    </w:p>
    <w:p w14:paraId="1175E580">
      <w:pPr>
        <w:pStyle w:val="994"/>
        <w:numPr>
          <w:ilvl w:val="0"/>
          <w:numId w:val="0"/>
        </w:numPr>
        <w:rPr>
          <w:sz w:val="30"/>
          <w:szCs w:val="30"/>
        </w:rPr>
      </w:pPr>
      <w:r>
        <w:rPr>
          <w:rFonts w:hint="eastAsia"/>
          <w:sz w:val="30"/>
          <w:szCs w:val="30"/>
        </w:rPr>
        <w:t>4</w:t>
      </w:r>
      <w:r>
        <w:rPr>
          <w:sz w:val="30"/>
          <w:szCs w:val="30"/>
        </w:rPr>
        <w:t xml:space="preserve">.5.6 </w:t>
      </w:r>
      <w:r>
        <w:rPr>
          <w:rFonts w:hint="eastAsia"/>
          <w:sz w:val="30"/>
          <w:szCs w:val="30"/>
        </w:rPr>
        <w:t>责任承担</w:t>
      </w:r>
    </w:p>
    <w:p w14:paraId="2D97D7EA">
      <w:pPr>
        <w:ind w:firstLine="600"/>
        <w:rPr>
          <w:rFonts w:ascii="宋体" w:hAnsi="宋体"/>
          <w:sz w:val="30"/>
          <w:szCs w:val="30"/>
        </w:rPr>
      </w:pPr>
      <w:r>
        <w:rPr>
          <w:rFonts w:hint="eastAsia" w:ascii="宋体" w:hAnsi="宋体"/>
          <w:sz w:val="30"/>
          <w:szCs w:val="30"/>
        </w:rPr>
        <w:t>承包人对分包人的行为向发包人负责，承包人和分包人就分包工作向发包人承担连带责任。</w:t>
      </w:r>
    </w:p>
    <w:p w14:paraId="0AB2FDD9">
      <w:pPr>
        <w:pStyle w:val="969"/>
        <w:widowControl/>
        <w:numPr>
          <w:ilvl w:val="0"/>
          <w:numId w:val="0"/>
        </w:numPr>
        <w:rPr>
          <w:rFonts w:ascii="宋体" w:hAnsi="宋体" w:eastAsia="宋体"/>
          <w:b w:val="0"/>
          <w:bCs/>
          <w:sz w:val="30"/>
          <w:szCs w:val="30"/>
        </w:rPr>
      </w:pPr>
      <w:bookmarkStart w:id="199" w:name="_Toc54862217"/>
      <w:bookmarkStart w:id="200" w:name="_Ref4426916"/>
      <w:bookmarkStart w:id="201" w:name="_Ref531952317"/>
      <w:bookmarkStart w:id="202" w:name="_Ref4768805"/>
      <w:bookmarkStart w:id="203" w:name="_Ref531952321"/>
      <w:r>
        <w:rPr>
          <w:rFonts w:hint="eastAsia" w:ascii="宋体" w:hAnsi="宋体" w:eastAsia="宋体"/>
          <w:b w:val="0"/>
          <w:bCs/>
          <w:sz w:val="30"/>
          <w:szCs w:val="30"/>
        </w:rPr>
        <w:t>4</w:t>
      </w:r>
      <w:r>
        <w:rPr>
          <w:rFonts w:ascii="宋体" w:hAnsi="宋体" w:eastAsia="宋体"/>
          <w:b w:val="0"/>
          <w:bCs/>
          <w:sz w:val="30"/>
          <w:szCs w:val="30"/>
        </w:rPr>
        <w:t xml:space="preserve">.6 </w:t>
      </w:r>
      <w:r>
        <w:rPr>
          <w:rFonts w:hint="eastAsia" w:ascii="宋体" w:hAnsi="宋体" w:eastAsia="宋体"/>
          <w:b w:val="0"/>
          <w:bCs/>
          <w:sz w:val="30"/>
          <w:szCs w:val="30"/>
        </w:rPr>
        <w:t>联合体</w:t>
      </w:r>
      <w:bookmarkEnd w:id="199"/>
      <w:bookmarkEnd w:id="200"/>
    </w:p>
    <w:p w14:paraId="62CE3EF0">
      <w:pPr>
        <w:pStyle w:val="994"/>
        <w:numPr>
          <w:ilvl w:val="0"/>
          <w:numId w:val="0"/>
        </w:numPr>
        <w:rPr>
          <w:sz w:val="30"/>
          <w:szCs w:val="30"/>
        </w:rPr>
      </w:pPr>
      <w:bookmarkStart w:id="204" w:name="_Hlk16235129"/>
      <w:r>
        <w:rPr>
          <w:rFonts w:hint="eastAsia"/>
          <w:sz w:val="30"/>
          <w:szCs w:val="30"/>
        </w:rPr>
        <w:t>4</w:t>
      </w:r>
      <w:r>
        <w:rPr>
          <w:sz w:val="30"/>
          <w:szCs w:val="30"/>
        </w:rPr>
        <w:t xml:space="preserve">.6.1 </w:t>
      </w:r>
      <w:r>
        <w:rPr>
          <w:rFonts w:hint="eastAsia"/>
          <w:sz w:val="30"/>
          <w:szCs w:val="30"/>
        </w:rPr>
        <w:t>经发包人同意，</w:t>
      </w:r>
      <w:bookmarkEnd w:id="204"/>
      <w:r>
        <w:rPr>
          <w:rFonts w:hint="eastAsia"/>
          <w:sz w:val="30"/>
          <w:szCs w:val="30"/>
        </w:rPr>
        <w:t>以联合体方式承包工程的，联合体各方应共同与发包人订立合同协议书。联合体各方应为履行合同向发包人承担连带责任。</w:t>
      </w:r>
    </w:p>
    <w:p w14:paraId="627F3BB4">
      <w:pPr>
        <w:pStyle w:val="994"/>
        <w:numPr>
          <w:ilvl w:val="0"/>
          <w:numId w:val="0"/>
        </w:numPr>
        <w:rPr>
          <w:sz w:val="30"/>
          <w:szCs w:val="30"/>
        </w:rPr>
      </w:pPr>
      <w:r>
        <w:rPr>
          <w:rFonts w:hint="eastAsia"/>
          <w:sz w:val="30"/>
          <w:szCs w:val="30"/>
        </w:rPr>
        <w:t>4</w:t>
      </w:r>
      <w:r>
        <w:rPr>
          <w:sz w:val="30"/>
          <w:szCs w:val="30"/>
        </w:rPr>
        <w:t xml:space="preserve">.6.2 </w:t>
      </w:r>
      <w:r>
        <w:rPr>
          <w:rFonts w:hint="eastAsia"/>
          <w:sz w:val="30"/>
          <w:szCs w:val="30"/>
        </w:rPr>
        <w:t>承包人应在专用合同条件中明确联合体各成员的分工、费用收取、发票开具等事项。联合体各成员分工承担的工作内容必须与适用法律规定的该成员的资质资格相适应，并应具有相应的项目管理体系和项目管理能力，且不应根据其就承包工作的分工而减免对发包人的任何合同责任。</w:t>
      </w:r>
    </w:p>
    <w:p w14:paraId="34F2D1B0">
      <w:pPr>
        <w:pStyle w:val="994"/>
        <w:numPr>
          <w:ilvl w:val="0"/>
          <w:numId w:val="0"/>
        </w:numPr>
        <w:rPr>
          <w:sz w:val="30"/>
          <w:szCs w:val="30"/>
        </w:rPr>
      </w:pPr>
      <w:r>
        <w:rPr>
          <w:rFonts w:hint="eastAsia"/>
          <w:sz w:val="30"/>
          <w:szCs w:val="30"/>
        </w:rPr>
        <w:t>4</w:t>
      </w:r>
      <w:r>
        <w:rPr>
          <w:sz w:val="30"/>
          <w:szCs w:val="30"/>
        </w:rPr>
        <w:t xml:space="preserve">.6.3 </w:t>
      </w:r>
      <w:r>
        <w:rPr>
          <w:rFonts w:hint="eastAsia"/>
          <w:sz w:val="30"/>
          <w:szCs w:val="30"/>
        </w:rPr>
        <w:t>联合体协议经发包人确认后作为合同附件。在履行合同过程中，未经发包人同意，不得变更联合体成员和其负责的工作范围，或者修改联合体协议中与本合同履行相关的内容。</w:t>
      </w:r>
    </w:p>
    <w:p w14:paraId="600BA911">
      <w:pPr>
        <w:pStyle w:val="969"/>
        <w:widowControl/>
        <w:numPr>
          <w:ilvl w:val="0"/>
          <w:numId w:val="0"/>
        </w:numPr>
        <w:rPr>
          <w:rFonts w:ascii="宋体" w:hAnsi="宋体" w:eastAsia="宋体"/>
          <w:b w:val="0"/>
          <w:bCs/>
          <w:sz w:val="30"/>
          <w:szCs w:val="30"/>
        </w:rPr>
      </w:pPr>
      <w:bookmarkStart w:id="205" w:name="_Ref11926631"/>
      <w:bookmarkStart w:id="206" w:name="_Toc54862218"/>
      <w:bookmarkStart w:id="207" w:name="_Ref11926629"/>
      <w:r>
        <w:rPr>
          <w:rFonts w:hint="eastAsia" w:ascii="宋体" w:hAnsi="宋体" w:eastAsia="宋体"/>
          <w:b w:val="0"/>
          <w:bCs/>
          <w:sz w:val="30"/>
          <w:szCs w:val="30"/>
        </w:rPr>
        <w:t>4</w:t>
      </w:r>
      <w:r>
        <w:rPr>
          <w:rFonts w:ascii="宋体" w:hAnsi="宋体" w:eastAsia="宋体"/>
          <w:b w:val="0"/>
          <w:bCs/>
          <w:sz w:val="30"/>
          <w:szCs w:val="30"/>
        </w:rPr>
        <w:t xml:space="preserve">.7 </w:t>
      </w:r>
      <w:r>
        <w:rPr>
          <w:rFonts w:hint="eastAsia" w:ascii="宋体" w:hAnsi="宋体" w:eastAsia="宋体"/>
          <w:b w:val="0"/>
          <w:bCs/>
          <w:sz w:val="30"/>
          <w:szCs w:val="30"/>
        </w:rPr>
        <w:t>承包人现场查勘</w:t>
      </w:r>
      <w:bookmarkEnd w:id="205"/>
      <w:bookmarkEnd w:id="206"/>
      <w:bookmarkEnd w:id="207"/>
    </w:p>
    <w:p w14:paraId="2DD914D8">
      <w:pPr>
        <w:pStyle w:val="994"/>
        <w:numPr>
          <w:ilvl w:val="0"/>
          <w:numId w:val="0"/>
        </w:numPr>
        <w:rPr>
          <w:sz w:val="30"/>
          <w:szCs w:val="30"/>
        </w:rPr>
      </w:pPr>
      <w:r>
        <w:rPr>
          <w:rFonts w:hint="eastAsia"/>
          <w:sz w:val="30"/>
          <w:szCs w:val="30"/>
        </w:rPr>
        <w:t>4</w:t>
      </w:r>
      <w:r>
        <w:rPr>
          <w:sz w:val="30"/>
          <w:szCs w:val="30"/>
        </w:rPr>
        <w:t xml:space="preserve">.7.1 </w:t>
      </w:r>
      <w:r>
        <w:rPr>
          <w:rFonts w:hint="eastAsia"/>
          <w:sz w:val="30"/>
          <w:szCs w:val="30"/>
        </w:rPr>
        <w:t>除专用合同条件另有约定外，承包人应对基于发包人提交的基础资料所做出的解释和推断负责，因基础资料存在错误、遗漏导致承包人解释或推断失实的，按照第</w:t>
      </w:r>
      <w:r>
        <w:rPr>
          <w:sz w:val="30"/>
          <w:szCs w:val="30"/>
        </w:rPr>
        <w:t>2.3</w:t>
      </w:r>
      <w:r>
        <w:rPr>
          <w:rFonts w:hint="eastAsia"/>
          <w:sz w:val="30"/>
          <w:szCs w:val="30"/>
        </w:rPr>
        <w:t>项[</w:t>
      </w:r>
      <w:r>
        <w:rPr>
          <w:sz w:val="30"/>
          <w:szCs w:val="30"/>
        </w:rPr>
        <w:t>提供基础资料</w:t>
      </w:r>
      <w:r>
        <w:rPr>
          <w:rFonts w:hint="eastAsia"/>
          <w:sz w:val="30"/>
          <w:szCs w:val="30"/>
        </w:rPr>
        <w:t>]的规定承担责任。承包人发现基础资料中存在明显错误或疏忽的，应及时书面通知发包人。</w:t>
      </w:r>
    </w:p>
    <w:p w14:paraId="4F26D8EA">
      <w:pPr>
        <w:pStyle w:val="994"/>
        <w:numPr>
          <w:ilvl w:val="0"/>
          <w:numId w:val="0"/>
        </w:numPr>
        <w:rPr>
          <w:sz w:val="30"/>
          <w:szCs w:val="30"/>
        </w:rPr>
      </w:pPr>
      <w:r>
        <w:rPr>
          <w:rFonts w:hint="eastAsia"/>
          <w:sz w:val="30"/>
          <w:szCs w:val="30"/>
        </w:rPr>
        <w:t>4</w:t>
      </w:r>
      <w:r>
        <w:rPr>
          <w:sz w:val="30"/>
          <w:szCs w:val="30"/>
        </w:rPr>
        <w:t xml:space="preserve">.7.2 </w:t>
      </w:r>
      <w:r>
        <w:rPr>
          <w:rFonts w:hint="eastAsia"/>
          <w:sz w:val="30"/>
          <w:szCs w:val="30"/>
        </w:rPr>
        <w:t>承包人应对现场和工程实施条件进行查勘，并充分了解工程所在地的气象条件、交通条件、风俗习惯以及其他与完成合同工作有关的其他资料。承包人提交投标文件，视为承包人已对施工现场及周围环境进行了踏勘，并已充分了解评估施工现场及周围环境对工程可能产生的影响，自愿承担相应风险与责任。在全部合同工作中，视为承包人已充分估计了应承担的责任和风险，但属于</w:t>
      </w:r>
      <w:r>
        <w:rPr>
          <w:sz w:val="30"/>
          <w:szCs w:val="30"/>
        </w:rPr>
        <w:t>4.8</w:t>
      </w:r>
      <w:r>
        <w:rPr>
          <w:rFonts w:hint="eastAsia"/>
          <w:sz w:val="30"/>
          <w:szCs w:val="30"/>
        </w:rPr>
        <w:t>款</w:t>
      </w:r>
      <w:r>
        <w:rPr>
          <w:sz w:val="30"/>
          <w:szCs w:val="30"/>
        </w:rPr>
        <w:t>[</w:t>
      </w:r>
      <w:r>
        <w:rPr>
          <w:rFonts w:hint="eastAsia"/>
          <w:sz w:val="30"/>
          <w:szCs w:val="30"/>
        </w:rPr>
        <w:t>不可预见的困难</w:t>
      </w:r>
      <w:r>
        <w:rPr>
          <w:sz w:val="30"/>
          <w:szCs w:val="30"/>
        </w:rPr>
        <w:t>]约定的情形除外</w:t>
      </w:r>
      <w:r>
        <w:rPr>
          <w:rFonts w:hint="eastAsia"/>
          <w:sz w:val="30"/>
          <w:szCs w:val="30"/>
        </w:rPr>
        <w:t>。</w:t>
      </w:r>
    </w:p>
    <w:p w14:paraId="1E2E99AE">
      <w:pPr>
        <w:pStyle w:val="969"/>
        <w:widowControl/>
        <w:numPr>
          <w:ilvl w:val="0"/>
          <w:numId w:val="0"/>
        </w:numPr>
        <w:rPr>
          <w:rFonts w:ascii="宋体" w:hAnsi="宋体" w:eastAsia="宋体"/>
          <w:b w:val="0"/>
          <w:bCs/>
          <w:sz w:val="30"/>
          <w:szCs w:val="30"/>
        </w:rPr>
      </w:pPr>
      <w:bookmarkStart w:id="208" w:name="_Toc54862219"/>
      <w:bookmarkStart w:id="209" w:name="_Ref11918789"/>
      <w:bookmarkStart w:id="210" w:name="_Ref11918693"/>
      <w:bookmarkStart w:id="211" w:name="不可预见的困难"/>
      <w:bookmarkStart w:id="212" w:name="_Ref11918626"/>
      <w:r>
        <w:rPr>
          <w:rFonts w:hint="eastAsia" w:ascii="宋体" w:hAnsi="宋体" w:eastAsia="宋体"/>
          <w:b w:val="0"/>
          <w:bCs/>
          <w:sz w:val="30"/>
          <w:szCs w:val="30"/>
        </w:rPr>
        <w:t>4</w:t>
      </w:r>
      <w:r>
        <w:rPr>
          <w:rFonts w:ascii="宋体" w:hAnsi="宋体" w:eastAsia="宋体"/>
          <w:b w:val="0"/>
          <w:bCs/>
          <w:sz w:val="30"/>
          <w:szCs w:val="30"/>
        </w:rPr>
        <w:t xml:space="preserve">.8 </w:t>
      </w:r>
      <w:r>
        <w:rPr>
          <w:rFonts w:hint="eastAsia" w:ascii="宋体" w:hAnsi="宋体" w:eastAsia="宋体"/>
          <w:b w:val="0"/>
          <w:bCs/>
          <w:sz w:val="30"/>
          <w:szCs w:val="30"/>
        </w:rPr>
        <w:t>不可预见的困难</w:t>
      </w:r>
      <w:bookmarkEnd w:id="201"/>
      <w:bookmarkEnd w:id="202"/>
      <w:bookmarkEnd w:id="203"/>
      <w:bookmarkEnd w:id="208"/>
      <w:bookmarkEnd w:id="209"/>
      <w:bookmarkEnd w:id="210"/>
      <w:bookmarkEnd w:id="211"/>
      <w:bookmarkEnd w:id="212"/>
      <w:r>
        <w:rPr>
          <w:rFonts w:ascii="宋体" w:hAnsi="宋体" w:eastAsia="宋体"/>
          <w:b w:val="0"/>
          <w:bCs/>
          <w:sz w:val="30"/>
          <w:szCs w:val="30"/>
        </w:rPr>
        <w:t xml:space="preserve"> </w:t>
      </w:r>
    </w:p>
    <w:p w14:paraId="73E135B7">
      <w:pPr>
        <w:ind w:firstLine="600"/>
        <w:rPr>
          <w:rFonts w:ascii="宋体" w:hAnsi="宋体"/>
          <w:sz w:val="30"/>
          <w:szCs w:val="30"/>
        </w:rPr>
      </w:pPr>
      <w:r>
        <w:rPr>
          <w:rFonts w:hint="eastAsia" w:ascii="宋体" w:hAnsi="宋体"/>
          <w:sz w:val="30"/>
          <w:szCs w:val="30"/>
        </w:rPr>
        <w:t>不可预见的困难是指有经验的承包人在施工现场遇到的不可预见的自然物质条件、非自然的物质障碍和污染物，包括地表以下物质条件和水文条件以及专用合同条件约定的其他情形，但不包括气候条件。</w:t>
      </w:r>
    </w:p>
    <w:p w14:paraId="4F94450D">
      <w:pPr>
        <w:ind w:firstLine="600"/>
        <w:rPr>
          <w:rFonts w:ascii="宋体" w:hAnsi="宋体"/>
          <w:sz w:val="30"/>
          <w:szCs w:val="30"/>
        </w:rPr>
      </w:pPr>
      <w:r>
        <w:rPr>
          <w:rFonts w:hint="eastAsia" w:ascii="宋体" w:hAnsi="宋体"/>
          <w:sz w:val="30"/>
          <w:szCs w:val="30"/>
        </w:rPr>
        <w:t>承包人遇到不可预见的困难时，应采取克服不可预见的困难的合理措施继续施工，并及时通知工程师并抄送发包人。通知应载明不可预见的困难的内容、承包人认为不可预见的理由以及承包人制定的处理方案。工程师应当及时发出指示，指示构成变更的，按第</w:t>
      </w:r>
      <w:r>
        <w:rPr>
          <w:rFonts w:ascii="宋体" w:hAnsi="宋体"/>
          <w:sz w:val="30"/>
          <w:szCs w:val="30"/>
        </w:rPr>
        <w:t>13条</w:t>
      </w:r>
      <w:r>
        <w:rPr>
          <w:rFonts w:hint="eastAsia" w:ascii="宋体" w:hAnsi="宋体"/>
          <w:sz w:val="30"/>
          <w:szCs w:val="30"/>
        </w:rPr>
        <w:t>[变更与调整]约定执行。承包人因采取合理措施而增加的费用和（或）延误的工期由发包人承担。</w:t>
      </w:r>
    </w:p>
    <w:p w14:paraId="329C0557">
      <w:pPr>
        <w:pStyle w:val="969"/>
        <w:widowControl/>
        <w:numPr>
          <w:ilvl w:val="0"/>
          <w:numId w:val="0"/>
        </w:numPr>
        <w:rPr>
          <w:rFonts w:ascii="宋体" w:hAnsi="宋体" w:eastAsia="宋体"/>
          <w:b w:val="0"/>
          <w:bCs/>
          <w:sz w:val="30"/>
          <w:szCs w:val="30"/>
        </w:rPr>
      </w:pPr>
      <w:bookmarkStart w:id="213" w:name="_Ref11926566"/>
      <w:bookmarkStart w:id="214" w:name="_Toc54862220"/>
      <w:bookmarkStart w:id="215" w:name="_Ref11926570"/>
      <w:r>
        <w:rPr>
          <w:rFonts w:hint="eastAsia" w:ascii="宋体" w:hAnsi="宋体" w:eastAsia="宋体"/>
          <w:b w:val="0"/>
          <w:bCs/>
          <w:sz w:val="30"/>
          <w:szCs w:val="30"/>
        </w:rPr>
        <w:t>4</w:t>
      </w:r>
      <w:r>
        <w:rPr>
          <w:rFonts w:ascii="宋体" w:hAnsi="宋体" w:eastAsia="宋体"/>
          <w:b w:val="0"/>
          <w:bCs/>
          <w:sz w:val="30"/>
          <w:szCs w:val="30"/>
        </w:rPr>
        <w:t xml:space="preserve">.9 </w:t>
      </w:r>
      <w:r>
        <w:rPr>
          <w:rFonts w:hint="eastAsia" w:ascii="宋体" w:hAnsi="宋体" w:eastAsia="宋体"/>
          <w:b w:val="0"/>
          <w:bCs/>
          <w:sz w:val="30"/>
          <w:szCs w:val="30"/>
        </w:rPr>
        <w:t>工程质量管理</w:t>
      </w:r>
      <w:bookmarkEnd w:id="213"/>
      <w:bookmarkEnd w:id="214"/>
      <w:bookmarkEnd w:id="215"/>
    </w:p>
    <w:p w14:paraId="5FCE30AA">
      <w:pPr>
        <w:pStyle w:val="994"/>
        <w:numPr>
          <w:ilvl w:val="0"/>
          <w:numId w:val="0"/>
        </w:numPr>
        <w:rPr>
          <w:sz w:val="30"/>
          <w:szCs w:val="30"/>
        </w:rPr>
      </w:pPr>
      <w:r>
        <w:rPr>
          <w:rFonts w:hint="eastAsia"/>
          <w:sz w:val="30"/>
          <w:szCs w:val="30"/>
        </w:rPr>
        <w:t>4</w:t>
      </w:r>
      <w:r>
        <w:rPr>
          <w:sz w:val="30"/>
          <w:szCs w:val="30"/>
        </w:rPr>
        <w:t xml:space="preserve">.9.1 </w:t>
      </w:r>
      <w:r>
        <w:rPr>
          <w:rFonts w:hint="eastAsia"/>
          <w:sz w:val="30"/>
          <w:szCs w:val="30"/>
        </w:rPr>
        <w:t>承包人应按合同约定的质量标准规范，建立有效的质量管理系统，确保设计、采购、加工制造、施工、竣工试验等各项工作的质量，并按照国家有关规定，通过质量保修责任书的形式约定保修范围、保修期限和保修责任。</w:t>
      </w:r>
    </w:p>
    <w:p w14:paraId="051BC78C">
      <w:pPr>
        <w:pStyle w:val="994"/>
        <w:numPr>
          <w:ilvl w:val="0"/>
          <w:numId w:val="0"/>
        </w:numPr>
        <w:rPr>
          <w:sz w:val="30"/>
          <w:szCs w:val="30"/>
        </w:rPr>
      </w:pPr>
      <w:r>
        <w:rPr>
          <w:sz w:val="30"/>
          <w:szCs w:val="30"/>
        </w:rPr>
        <w:t xml:space="preserve">4.9.2 </w:t>
      </w:r>
      <w:r>
        <w:rPr>
          <w:rFonts w:hint="eastAsia"/>
          <w:sz w:val="30"/>
          <w:szCs w:val="30"/>
        </w:rPr>
        <w:t>承包人按照第</w:t>
      </w:r>
      <w:r>
        <w:rPr>
          <w:sz w:val="30"/>
          <w:szCs w:val="30"/>
        </w:rPr>
        <w:t>8.4</w:t>
      </w:r>
      <w:r>
        <w:rPr>
          <w:rFonts w:hint="eastAsia"/>
          <w:sz w:val="30"/>
          <w:szCs w:val="30"/>
        </w:rPr>
        <w:t>款[项目进度计划]约定向工程师提交工程质量保证体系及措施文件，建立完善的质量检查制度，并提交相应的工程质量文件。对于发包人和工程师违反法律规定和合同约定的错误指示，承包人有权拒绝实施。</w:t>
      </w:r>
    </w:p>
    <w:p w14:paraId="1D08E6AD">
      <w:pPr>
        <w:pStyle w:val="994"/>
        <w:numPr>
          <w:ilvl w:val="0"/>
          <w:numId w:val="0"/>
        </w:numPr>
        <w:rPr>
          <w:sz w:val="30"/>
          <w:szCs w:val="30"/>
        </w:rPr>
      </w:pPr>
      <w:r>
        <w:rPr>
          <w:rFonts w:hint="eastAsia"/>
          <w:sz w:val="30"/>
          <w:szCs w:val="30"/>
        </w:rPr>
        <w:t>4</w:t>
      </w:r>
      <w:r>
        <w:rPr>
          <w:sz w:val="30"/>
          <w:szCs w:val="30"/>
        </w:rPr>
        <w:t xml:space="preserve">.9.3 </w:t>
      </w:r>
      <w:r>
        <w:rPr>
          <w:rFonts w:hint="eastAsia"/>
          <w:sz w:val="30"/>
          <w:szCs w:val="30"/>
        </w:rPr>
        <w:t>承包人应对其人员进行质量教育和技术培训，定期考核人员的劳动技能，严格执行相关规范和操作规程。</w:t>
      </w:r>
    </w:p>
    <w:p w14:paraId="0CCE7FFB">
      <w:pPr>
        <w:pStyle w:val="994"/>
        <w:numPr>
          <w:ilvl w:val="0"/>
          <w:numId w:val="0"/>
        </w:numPr>
        <w:rPr>
          <w:sz w:val="30"/>
          <w:szCs w:val="30"/>
        </w:rPr>
      </w:pPr>
      <w:r>
        <w:rPr>
          <w:rFonts w:hint="eastAsia"/>
          <w:sz w:val="30"/>
          <w:szCs w:val="30"/>
        </w:rPr>
        <w:t>4</w:t>
      </w:r>
      <w:r>
        <w:rPr>
          <w:sz w:val="30"/>
          <w:szCs w:val="30"/>
        </w:rPr>
        <w:t xml:space="preserve">.9.4 </w:t>
      </w:r>
      <w:r>
        <w:rPr>
          <w:rFonts w:hint="eastAsia"/>
          <w:sz w:val="30"/>
          <w:szCs w:val="30"/>
        </w:rPr>
        <w:t>承包人应按照法律规定和合同约定，对设计、材料、工程设备以及全部工程内容及其施工工艺进行全过程的质量检查和检验，并作详细记录，编制工程质量报表，报送工程师审查。此外，承包人还应按照法律规定和合同约定，进行施工现场取样试验、工程复核测量和设备性能检测，提供试验样品、提交试验报告和测量成果以及其他工作。</w:t>
      </w:r>
    </w:p>
    <w:p w14:paraId="116E7B3D">
      <w:pPr>
        <w:pStyle w:val="991"/>
        <w:numPr>
          <w:ilvl w:val="0"/>
          <w:numId w:val="0"/>
        </w:numPr>
        <w:wordWrap/>
        <w:topLinePunct w:val="0"/>
        <w:rPr>
          <w:rFonts w:ascii="宋体" w:hAnsi="宋体" w:eastAsia="宋体"/>
          <w:b w:val="0"/>
          <w:bCs/>
          <w:sz w:val="32"/>
          <w:szCs w:val="21"/>
        </w:rPr>
      </w:pPr>
      <w:bookmarkStart w:id="216" w:name="_Ref531952837"/>
      <w:bookmarkStart w:id="217" w:name="_Toc54862221"/>
      <w:r>
        <w:rPr>
          <w:rFonts w:hint="eastAsia" w:ascii="宋体" w:hAnsi="宋体" w:eastAsia="宋体"/>
          <w:b w:val="0"/>
          <w:bCs/>
          <w:sz w:val="32"/>
          <w:szCs w:val="21"/>
        </w:rPr>
        <w:t>第5条 设计</w:t>
      </w:r>
      <w:bookmarkEnd w:id="216"/>
      <w:bookmarkEnd w:id="217"/>
    </w:p>
    <w:p w14:paraId="0DD5986A">
      <w:pPr>
        <w:pStyle w:val="969"/>
        <w:widowControl/>
        <w:numPr>
          <w:ilvl w:val="0"/>
          <w:numId w:val="0"/>
        </w:numPr>
        <w:rPr>
          <w:rFonts w:ascii="宋体" w:hAnsi="宋体" w:eastAsia="宋体"/>
          <w:b w:val="0"/>
          <w:bCs/>
          <w:sz w:val="30"/>
          <w:szCs w:val="30"/>
        </w:rPr>
      </w:pPr>
      <w:bookmarkStart w:id="218" w:name="_Ref531952863"/>
      <w:bookmarkStart w:id="219" w:name="_Toc54862222"/>
      <w:bookmarkStart w:id="220" w:name="_Ref531952860"/>
      <w:r>
        <w:rPr>
          <w:rFonts w:hint="eastAsia" w:ascii="宋体" w:hAnsi="宋体" w:eastAsia="宋体"/>
          <w:b w:val="0"/>
          <w:bCs/>
          <w:sz w:val="30"/>
          <w:szCs w:val="30"/>
        </w:rPr>
        <w:t>5</w:t>
      </w:r>
      <w:r>
        <w:rPr>
          <w:rFonts w:ascii="宋体" w:hAnsi="宋体" w:eastAsia="宋体"/>
          <w:b w:val="0"/>
          <w:bCs/>
          <w:sz w:val="30"/>
          <w:szCs w:val="30"/>
        </w:rPr>
        <w:t xml:space="preserve">.1 </w:t>
      </w:r>
      <w:r>
        <w:rPr>
          <w:rFonts w:hint="eastAsia" w:ascii="宋体" w:hAnsi="宋体" w:eastAsia="宋体"/>
          <w:b w:val="0"/>
          <w:bCs/>
          <w:sz w:val="30"/>
          <w:szCs w:val="30"/>
        </w:rPr>
        <w:t>承包人的设计义务</w:t>
      </w:r>
      <w:bookmarkEnd w:id="218"/>
      <w:bookmarkEnd w:id="219"/>
      <w:bookmarkEnd w:id="220"/>
      <w:r>
        <w:rPr>
          <w:rFonts w:hint="eastAsia" w:ascii="宋体" w:hAnsi="宋体" w:eastAsia="宋体"/>
          <w:b w:val="0"/>
          <w:bCs/>
          <w:sz w:val="30"/>
          <w:szCs w:val="30"/>
        </w:rPr>
        <w:t xml:space="preserve"> </w:t>
      </w:r>
    </w:p>
    <w:p w14:paraId="0BD9CD4A">
      <w:pPr>
        <w:pStyle w:val="994"/>
        <w:numPr>
          <w:ilvl w:val="0"/>
          <w:numId w:val="0"/>
        </w:numPr>
        <w:rPr>
          <w:sz w:val="30"/>
          <w:szCs w:val="30"/>
        </w:rPr>
      </w:pPr>
      <w:bookmarkStart w:id="221" w:name="_Ref531952881"/>
      <w:r>
        <w:rPr>
          <w:rFonts w:hint="eastAsia"/>
          <w:sz w:val="30"/>
          <w:szCs w:val="30"/>
        </w:rPr>
        <w:t>5</w:t>
      </w:r>
      <w:r>
        <w:rPr>
          <w:sz w:val="30"/>
          <w:szCs w:val="30"/>
        </w:rPr>
        <w:t xml:space="preserve">.1.1 </w:t>
      </w:r>
      <w:r>
        <w:rPr>
          <w:rFonts w:hint="eastAsia"/>
          <w:sz w:val="30"/>
          <w:szCs w:val="30"/>
        </w:rPr>
        <w:t>设计义务的一般要求</w:t>
      </w:r>
      <w:bookmarkEnd w:id="221"/>
    </w:p>
    <w:p w14:paraId="72E553C3">
      <w:pPr>
        <w:ind w:firstLine="600"/>
        <w:rPr>
          <w:rFonts w:ascii="宋体" w:hAnsi="宋体"/>
          <w:sz w:val="30"/>
          <w:szCs w:val="30"/>
        </w:rPr>
      </w:pPr>
      <w:r>
        <w:rPr>
          <w:rFonts w:hint="eastAsia" w:ascii="宋体" w:hAnsi="宋体"/>
          <w:sz w:val="30"/>
          <w:szCs w:val="30"/>
        </w:rPr>
        <w:t>承包人应当按照法律规定，国家、行业和地方的规范和标准，以及《发包人要求》和合同约定完成设计工作和设计相关的其他服务，并对工程的设计负责。承包人应根据工程实施的需要及时向发包人和工程师说明设计文件的意图，解释设计文件。</w:t>
      </w:r>
    </w:p>
    <w:p w14:paraId="01E9B083">
      <w:pPr>
        <w:pStyle w:val="994"/>
        <w:numPr>
          <w:ilvl w:val="0"/>
          <w:numId w:val="0"/>
        </w:numPr>
        <w:rPr>
          <w:sz w:val="30"/>
          <w:szCs w:val="30"/>
        </w:rPr>
      </w:pPr>
      <w:bookmarkStart w:id="222" w:name="_Ref531952952"/>
      <w:bookmarkStart w:id="223" w:name="_Ref531952899"/>
      <w:r>
        <w:rPr>
          <w:rFonts w:hint="eastAsia"/>
          <w:sz w:val="30"/>
          <w:szCs w:val="30"/>
        </w:rPr>
        <w:t>5</w:t>
      </w:r>
      <w:r>
        <w:rPr>
          <w:sz w:val="30"/>
          <w:szCs w:val="30"/>
        </w:rPr>
        <w:t xml:space="preserve">.1.2 </w:t>
      </w:r>
      <w:r>
        <w:rPr>
          <w:rFonts w:hint="eastAsia"/>
          <w:sz w:val="30"/>
          <w:szCs w:val="30"/>
        </w:rPr>
        <w:t>对设计人员的要求</w:t>
      </w:r>
      <w:bookmarkEnd w:id="222"/>
    </w:p>
    <w:p w14:paraId="4C2119CD">
      <w:pPr>
        <w:ind w:firstLine="600"/>
        <w:rPr>
          <w:rFonts w:ascii="宋体" w:hAnsi="宋体"/>
          <w:sz w:val="30"/>
          <w:szCs w:val="30"/>
        </w:rPr>
      </w:pPr>
      <w:r>
        <w:rPr>
          <w:rFonts w:hint="eastAsia" w:ascii="宋体" w:hAnsi="宋体"/>
          <w:sz w:val="30"/>
          <w:szCs w:val="30"/>
        </w:rPr>
        <w:t>承包人应保证其或其设计分包人的设计资质在合同有效期内满足法律法规、行业标准或合同约定的相关要求，并指派符合法律法规、行业标准或合同约定的资质要求并具有从事设计所必需的经验与能力的的设计人员完成设计工作。承包人应保证其设计人员（包括分包人的设计人员）在合同期限内，都能按时参加发包人或工程师组织的工作会议。</w:t>
      </w:r>
    </w:p>
    <w:bookmarkEnd w:id="223"/>
    <w:p w14:paraId="0BD92923">
      <w:pPr>
        <w:pStyle w:val="994"/>
        <w:numPr>
          <w:ilvl w:val="0"/>
          <w:numId w:val="0"/>
        </w:numPr>
        <w:rPr>
          <w:sz w:val="30"/>
          <w:szCs w:val="30"/>
        </w:rPr>
      </w:pPr>
      <w:r>
        <w:rPr>
          <w:rFonts w:hint="eastAsia"/>
          <w:sz w:val="30"/>
          <w:szCs w:val="30"/>
        </w:rPr>
        <w:t>5</w:t>
      </w:r>
      <w:r>
        <w:rPr>
          <w:sz w:val="30"/>
          <w:szCs w:val="30"/>
        </w:rPr>
        <w:t xml:space="preserve">.1.3 </w:t>
      </w:r>
      <w:r>
        <w:rPr>
          <w:rFonts w:hint="eastAsia"/>
          <w:sz w:val="30"/>
          <w:szCs w:val="30"/>
        </w:rPr>
        <w:t>法律和标准的变化</w:t>
      </w:r>
    </w:p>
    <w:p w14:paraId="16C86603">
      <w:pPr>
        <w:ind w:firstLine="600"/>
        <w:rPr>
          <w:rFonts w:ascii="宋体" w:hAnsi="宋体"/>
          <w:sz w:val="30"/>
          <w:szCs w:val="30"/>
        </w:rPr>
      </w:pPr>
      <w:r>
        <w:rPr>
          <w:rFonts w:hint="eastAsia" w:ascii="宋体" w:hAnsi="宋体"/>
          <w:sz w:val="30"/>
          <w:szCs w:val="30"/>
        </w:rPr>
        <w:t>除合同另有约定外，承包人完成设计工作所应遵守的法律规定，以及国家、行业和地方的规范和标准，均应视为在基准日期适用的版本。基准日期之后，前述版本发生重大变化，或者有新的法律，以及国家、行业和地方的规范和标准实施的，承包人应向工程师提出遵守新规定的建议。发包人或其委托的工程师应在收到建议后7天内发出是否遵守新规定的指示。如果该项建议构成变更的，按照第</w:t>
      </w:r>
      <w:r>
        <w:rPr>
          <w:rFonts w:ascii="宋体" w:hAnsi="宋体"/>
          <w:sz w:val="30"/>
          <w:szCs w:val="30"/>
        </w:rPr>
        <w:t>13.2</w:t>
      </w:r>
      <w:r>
        <w:rPr>
          <w:rFonts w:hint="eastAsia" w:ascii="宋体" w:hAnsi="宋体"/>
          <w:sz w:val="30"/>
          <w:szCs w:val="30"/>
        </w:rPr>
        <w:t>款[承包人的合理化建议]的约定执行。</w:t>
      </w:r>
    </w:p>
    <w:p w14:paraId="410AD383">
      <w:pPr>
        <w:ind w:firstLine="600"/>
        <w:rPr>
          <w:rFonts w:ascii="宋体" w:hAnsi="宋体"/>
          <w:sz w:val="30"/>
          <w:szCs w:val="30"/>
        </w:rPr>
      </w:pPr>
      <w:r>
        <w:rPr>
          <w:rFonts w:hint="eastAsia" w:ascii="宋体" w:hAnsi="宋体"/>
          <w:sz w:val="30"/>
          <w:szCs w:val="30"/>
        </w:rPr>
        <w:t>在基准日期之后，因国家颁布新的强制性规范、标准导致承包人的费用变化的，发包人应合理调整合同价格；导致工期延误的，发包人应合理延长工期。</w:t>
      </w:r>
    </w:p>
    <w:p w14:paraId="5E494CF8">
      <w:pPr>
        <w:pStyle w:val="969"/>
        <w:widowControl/>
        <w:numPr>
          <w:ilvl w:val="0"/>
          <w:numId w:val="0"/>
        </w:numPr>
        <w:rPr>
          <w:rFonts w:ascii="宋体" w:hAnsi="宋体" w:eastAsia="宋体"/>
          <w:b w:val="0"/>
          <w:bCs/>
          <w:sz w:val="30"/>
          <w:szCs w:val="30"/>
        </w:rPr>
      </w:pPr>
      <w:bookmarkStart w:id="224" w:name="_Toc54862223"/>
      <w:bookmarkStart w:id="225" w:name="_Ref531953054"/>
      <w:bookmarkStart w:id="226" w:name="_Ref531953051"/>
      <w:r>
        <w:rPr>
          <w:rFonts w:hint="eastAsia" w:ascii="宋体" w:hAnsi="宋体" w:eastAsia="宋体"/>
          <w:b w:val="0"/>
          <w:bCs/>
          <w:sz w:val="30"/>
          <w:szCs w:val="30"/>
        </w:rPr>
        <w:t>5</w:t>
      </w:r>
      <w:r>
        <w:rPr>
          <w:rFonts w:ascii="宋体" w:hAnsi="宋体" w:eastAsia="宋体"/>
          <w:b w:val="0"/>
          <w:bCs/>
          <w:sz w:val="30"/>
          <w:szCs w:val="30"/>
        </w:rPr>
        <w:t xml:space="preserve">.2 </w:t>
      </w:r>
      <w:r>
        <w:rPr>
          <w:rFonts w:hint="eastAsia" w:ascii="宋体" w:hAnsi="宋体" w:eastAsia="宋体"/>
          <w:b w:val="0"/>
          <w:bCs/>
          <w:sz w:val="30"/>
          <w:szCs w:val="30"/>
        </w:rPr>
        <w:t>承包人文件审查</w:t>
      </w:r>
      <w:bookmarkEnd w:id="224"/>
      <w:bookmarkEnd w:id="225"/>
      <w:bookmarkEnd w:id="226"/>
      <w:r>
        <w:rPr>
          <w:rFonts w:hint="eastAsia" w:ascii="宋体" w:hAnsi="宋体" w:eastAsia="宋体"/>
          <w:b w:val="0"/>
          <w:bCs/>
          <w:sz w:val="30"/>
          <w:szCs w:val="30"/>
        </w:rPr>
        <w:t xml:space="preserve"> </w:t>
      </w:r>
    </w:p>
    <w:p w14:paraId="64BA8F7A">
      <w:pPr>
        <w:pStyle w:val="994"/>
        <w:numPr>
          <w:ilvl w:val="0"/>
          <w:numId w:val="0"/>
        </w:numPr>
        <w:rPr>
          <w:sz w:val="30"/>
          <w:szCs w:val="30"/>
        </w:rPr>
      </w:pPr>
      <w:bookmarkStart w:id="227" w:name="_Ref531953064"/>
      <w:r>
        <w:rPr>
          <w:rFonts w:hint="eastAsia"/>
          <w:sz w:val="30"/>
          <w:szCs w:val="30"/>
        </w:rPr>
        <w:t>5</w:t>
      </w:r>
      <w:r>
        <w:rPr>
          <w:sz w:val="30"/>
          <w:szCs w:val="30"/>
        </w:rPr>
        <w:t xml:space="preserve">.2.1 </w:t>
      </w:r>
      <w:r>
        <w:rPr>
          <w:rFonts w:hint="eastAsia"/>
          <w:sz w:val="30"/>
          <w:szCs w:val="30"/>
        </w:rPr>
        <w:t>根据《发包人要求》应当通过工程师报发包人审查同意的承包人文件，承包人应当按照《发包人要求》约定的范围和内容及时报送审查。</w:t>
      </w:r>
      <w:bookmarkEnd w:id="227"/>
    </w:p>
    <w:p w14:paraId="5BC966A9">
      <w:pPr>
        <w:ind w:firstLine="600"/>
        <w:rPr>
          <w:rFonts w:ascii="宋体" w:hAnsi="宋体"/>
          <w:sz w:val="30"/>
          <w:szCs w:val="30"/>
        </w:rPr>
      </w:pPr>
      <w:r>
        <w:rPr>
          <w:rFonts w:hint="eastAsia" w:ascii="宋体" w:hAnsi="宋体"/>
          <w:sz w:val="30"/>
          <w:szCs w:val="30"/>
        </w:rPr>
        <w:t>除专用合同条件另有约定外，自工程师收到承包人文件以及承包人的通知之日起，发包人对承包人文件审查期不超过21天。承包人的设计文件对于合同约定有偏离的，应在通知中说明。承包人需要修改已提交的承包人文件的，应立即通知工程师，并向工程师提交修改后的承包人文件，审查期重新起算。</w:t>
      </w:r>
    </w:p>
    <w:p w14:paraId="115682EC">
      <w:pPr>
        <w:ind w:firstLine="600"/>
        <w:rPr>
          <w:rFonts w:ascii="宋体" w:hAnsi="宋体"/>
          <w:sz w:val="30"/>
          <w:szCs w:val="30"/>
        </w:rPr>
      </w:pPr>
      <w:r>
        <w:rPr>
          <w:rFonts w:hint="eastAsia" w:ascii="宋体" w:hAnsi="宋体"/>
          <w:sz w:val="30"/>
          <w:szCs w:val="30"/>
        </w:rPr>
        <w:t>发包人同意承包人文件的，应及时通知承包人，发包人不同意承包人文件的，应在审查期限内通过工程师以书面形式通知承包人，并说明不同意的具体内容和理由。</w:t>
      </w:r>
    </w:p>
    <w:p w14:paraId="6B7D573C">
      <w:pPr>
        <w:ind w:firstLine="600"/>
        <w:rPr>
          <w:rFonts w:ascii="宋体" w:hAnsi="宋体"/>
          <w:sz w:val="30"/>
          <w:szCs w:val="30"/>
        </w:rPr>
      </w:pPr>
      <w:r>
        <w:rPr>
          <w:rFonts w:hint="eastAsia" w:ascii="宋体" w:hAnsi="宋体"/>
          <w:sz w:val="30"/>
          <w:szCs w:val="30"/>
        </w:rPr>
        <w:t>承包人对发包人的意见按以下方式处理：</w:t>
      </w:r>
    </w:p>
    <w:p w14:paraId="44B6E5CE">
      <w:pPr>
        <w:ind w:firstLine="600"/>
        <w:rPr>
          <w:rFonts w:ascii="宋体" w:hAnsi="宋体"/>
          <w:sz w:val="30"/>
          <w:szCs w:val="30"/>
        </w:rPr>
      </w:pPr>
      <w:r>
        <w:rPr>
          <w:rFonts w:hint="eastAsia" w:ascii="宋体" w:hAnsi="宋体"/>
          <w:sz w:val="30"/>
          <w:szCs w:val="30"/>
        </w:rPr>
        <w:t>（1） 发包人的意见构成变更的，承包人应在7天内通知发包人按照第1</w:t>
      </w:r>
      <w:r>
        <w:rPr>
          <w:rFonts w:ascii="宋体" w:hAnsi="宋体"/>
          <w:sz w:val="30"/>
          <w:szCs w:val="30"/>
        </w:rPr>
        <w:t>3</w:t>
      </w:r>
      <w:r>
        <w:rPr>
          <w:rFonts w:hint="eastAsia" w:ascii="宋体" w:hAnsi="宋体"/>
          <w:sz w:val="30"/>
          <w:szCs w:val="30"/>
        </w:rPr>
        <w:t>条</w:t>
      </w:r>
      <w:r>
        <w:rPr>
          <w:rFonts w:ascii="宋体" w:hAnsi="宋体"/>
          <w:sz w:val="30"/>
          <w:szCs w:val="30"/>
        </w:rPr>
        <w:t>[</w:t>
      </w:r>
      <w:r>
        <w:rPr>
          <w:rFonts w:hint="eastAsia" w:ascii="宋体" w:hAnsi="宋体"/>
          <w:sz w:val="30"/>
          <w:szCs w:val="30"/>
        </w:rPr>
        <w:t>变更与调整</w:t>
      </w:r>
      <w:r>
        <w:rPr>
          <w:rFonts w:ascii="宋体" w:hAnsi="宋体"/>
          <w:sz w:val="30"/>
          <w:szCs w:val="30"/>
        </w:rPr>
        <w:t>]</w:t>
      </w:r>
      <w:r>
        <w:rPr>
          <w:rFonts w:hint="eastAsia" w:ascii="宋体" w:hAnsi="宋体"/>
          <w:sz w:val="30"/>
          <w:szCs w:val="30"/>
        </w:rPr>
        <w:t>中关于发包人指示变更的约定执行，双方对是否构成变更无法达成一致的，按照第</w:t>
      </w:r>
      <w:r>
        <w:rPr>
          <w:rFonts w:ascii="宋体" w:hAnsi="宋体"/>
          <w:sz w:val="30"/>
          <w:szCs w:val="30"/>
        </w:rPr>
        <w:t>20条[</w:t>
      </w:r>
      <w:r>
        <w:rPr>
          <w:rFonts w:hint="eastAsia" w:ascii="宋体" w:hAnsi="宋体"/>
          <w:sz w:val="30"/>
          <w:szCs w:val="30"/>
        </w:rPr>
        <w:t>争议解决</w:t>
      </w:r>
      <w:r>
        <w:rPr>
          <w:rFonts w:ascii="宋体" w:hAnsi="宋体"/>
          <w:sz w:val="30"/>
          <w:szCs w:val="30"/>
        </w:rPr>
        <w:t>]</w:t>
      </w:r>
      <w:r>
        <w:rPr>
          <w:rFonts w:hint="eastAsia" w:ascii="宋体" w:hAnsi="宋体"/>
          <w:sz w:val="30"/>
          <w:szCs w:val="30"/>
        </w:rPr>
        <w:t>的约定执行；</w:t>
      </w:r>
    </w:p>
    <w:p w14:paraId="671EB0FF">
      <w:pPr>
        <w:ind w:firstLine="600"/>
        <w:rPr>
          <w:rFonts w:ascii="宋体" w:hAnsi="宋体"/>
          <w:sz w:val="30"/>
          <w:szCs w:val="30"/>
        </w:rPr>
      </w:pPr>
      <w:r>
        <w:rPr>
          <w:rFonts w:hint="eastAsia" w:ascii="宋体" w:hAnsi="宋体"/>
          <w:sz w:val="30"/>
          <w:szCs w:val="30"/>
        </w:rPr>
        <w:t>（2） 因承包人原因导致无法通过审查的，承包人应根据发包人的书面说明，对承包人文件进行修改后重新报送发包人审查，审查期重新起算。因此引起的工期延长和必要的工程费用增加，由承包人负责。</w:t>
      </w:r>
    </w:p>
    <w:p w14:paraId="42C7211A">
      <w:pPr>
        <w:ind w:firstLine="600"/>
        <w:rPr>
          <w:rFonts w:ascii="宋体" w:hAnsi="宋体"/>
          <w:sz w:val="30"/>
          <w:szCs w:val="30"/>
        </w:rPr>
      </w:pPr>
      <w:r>
        <w:rPr>
          <w:rFonts w:hint="eastAsia" w:ascii="宋体" w:hAnsi="宋体"/>
          <w:sz w:val="30"/>
          <w:szCs w:val="30"/>
        </w:rPr>
        <w:t>合同约定的审查期满，发包人没有做出审查结论也没有提出异议的，视为承包人文件已获发包人同意。</w:t>
      </w:r>
    </w:p>
    <w:p w14:paraId="4BECEBAD">
      <w:pPr>
        <w:ind w:firstLine="600"/>
        <w:rPr>
          <w:rFonts w:ascii="宋体" w:hAnsi="宋体"/>
          <w:sz w:val="30"/>
          <w:szCs w:val="30"/>
        </w:rPr>
      </w:pPr>
      <w:r>
        <w:rPr>
          <w:rFonts w:hint="eastAsia" w:ascii="宋体" w:hAnsi="宋体"/>
          <w:sz w:val="30"/>
          <w:szCs w:val="30"/>
        </w:rPr>
        <w:t>发包人对承包人文件的审查和同意不得被理解为对合同的修改或改变，也并不减轻或免除承包人任何的责任和义务。</w:t>
      </w:r>
    </w:p>
    <w:p w14:paraId="068DB794">
      <w:pPr>
        <w:pStyle w:val="994"/>
        <w:numPr>
          <w:ilvl w:val="0"/>
          <w:numId w:val="0"/>
        </w:numPr>
        <w:rPr>
          <w:sz w:val="30"/>
          <w:szCs w:val="30"/>
        </w:rPr>
      </w:pPr>
      <w:r>
        <w:rPr>
          <w:rFonts w:hint="eastAsia"/>
          <w:sz w:val="30"/>
          <w:szCs w:val="30"/>
        </w:rPr>
        <w:t>5</w:t>
      </w:r>
      <w:r>
        <w:rPr>
          <w:sz w:val="30"/>
          <w:szCs w:val="30"/>
        </w:rPr>
        <w:t xml:space="preserve">.2.2 </w:t>
      </w:r>
      <w:r>
        <w:rPr>
          <w:rFonts w:hint="eastAsia"/>
          <w:sz w:val="30"/>
          <w:szCs w:val="30"/>
        </w:rPr>
        <w:t>承包人文件不需要政府有关部门或专用合同条件约定的第三方审查单位审查或批准的，承包人应当严格按照经发包人审查同意的承包人文件设计和实施工程。</w:t>
      </w:r>
    </w:p>
    <w:p w14:paraId="350CC1BB">
      <w:pPr>
        <w:ind w:firstLine="600"/>
        <w:rPr>
          <w:rFonts w:ascii="宋体" w:hAnsi="宋体"/>
          <w:sz w:val="30"/>
          <w:szCs w:val="30"/>
        </w:rPr>
      </w:pPr>
      <w:r>
        <w:rPr>
          <w:rFonts w:hint="eastAsia" w:ascii="宋体" w:hAnsi="宋体"/>
          <w:sz w:val="30"/>
          <w:szCs w:val="30"/>
        </w:rPr>
        <w:t>发包人需要组织审查会议对承包人文件进行审查的，审查会议的审查形式、时间安排、费用承担，在专用合同条件中约定。发包人负责组织承包人文件审查会议，承包人有义务参加发包人组织的审查会议，向审查者介绍、解答、解释承包人文件，并提供有关补充资料。</w:t>
      </w:r>
    </w:p>
    <w:p w14:paraId="5D3384D1">
      <w:pPr>
        <w:ind w:firstLine="600"/>
        <w:rPr>
          <w:rFonts w:ascii="宋体" w:hAnsi="宋体"/>
          <w:sz w:val="30"/>
          <w:szCs w:val="30"/>
        </w:rPr>
      </w:pPr>
      <w:r>
        <w:rPr>
          <w:rFonts w:hint="eastAsia" w:ascii="宋体" w:hAnsi="宋体"/>
          <w:sz w:val="30"/>
          <w:szCs w:val="30"/>
        </w:rPr>
        <w:t>发包人有义务向承包人提供审查会议的批准文件和纪要。承包人有义务按照相关审查会议批准的文件和纪要，并依据合同约定及相关技术标准，对承包人文件进行修改、补充和完善。</w:t>
      </w:r>
    </w:p>
    <w:p w14:paraId="7065FFFA">
      <w:pPr>
        <w:pStyle w:val="994"/>
        <w:numPr>
          <w:ilvl w:val="0"/>
          <w:numId w:val="0"/>
        </w:numPr>
        <w:rPr>
          <w:sz w:val="30"/>
          <w:szCs w:val="30"/>
        </w:rPr>
      </w:pPr>
      <w:bookmarkStart w:id="228" w:name="_Ref531953074"/>
      <w:r>
        <w:rPr>
          <w:rFonts w:hint="eastAsia"/>
          <w:sz w:val="30"/>
          <w:szCs w:val="30"/>
        </w:rPr>
        <w:t>5</w:t>
      </w:r>
      <w:r>
        <w:rPr>
          <w:sz w:val="30"/>
          <w:szCs w:val="30"/>
        </w:rPr>
        <w:t xml:space="preserve">.2.3 </w:t>
      </w:r>
      <w:r>
        <w:rPr>
          <w:rFonts w:hint="eastAsia"/>
          <w:sz w:val="30"/>
          <w:szCs w:val="30"/>
        </w:rPr>
        <w:t>承包人文件需政府有关部门或专用合同条件约定的第三方审查单位审查或批准的，发包人应在发包人审查同意承包人文件后7天内，向政府有关部门或第三方报送承包人文件，承包人应予以协助。</w:t>
      </w:r>
      <w:bookmarkEnd w:id="228"/>
    </w:p>
    <w:p w14:paraId="27919F8B">
      <w:pPr>
        <w:ind w:firstLine="600"/>
        <w:rPr>
          <w:rFonts w:ascii="宋体" w:hAnsi="宋体"/>
          <w:sz w:val="30"/>
          <w:szCs w:val="30"/>
        </w:rPr>
      </w:pPr>
      <w:r>
        <w:rPr>
          <w:rFonts w:hint="eastAsia" w:ascii="宋体" w:hAnsi="宋体"/>
          <w:sz w:val="30"/>
          <w:szCs w:val="30"/>
        </w:rPr>
        <w:t>对于政府有关部门或第三方审查单位的审查意见，不需要修改《发包人要求》的，承包人需按该审查意见修改承包人的设计文件；需要修改《发包人要求》的，承包人应按第</w:t>
      </w:r>
      <w:r>
        <w:rPr>
          <w:rFonts w:ascii="宋体" w:hAnsi="宋体"/>
          <w:sz w:val="30"/>
          <w:szCs w:val="30"/>
        </w:rPr>
        <w:t>13.2</w:t>
      </w:r>
      <w:r>
        <w:rPr>
          <w:rFonts w:hint="eastAsia" w:ascii="宋体" w:hAnsi="宋体"/>
          <w:sz w:val="30"/>
          <w:szCs w:val="30"/>
        </w:rPr>
        <w:t>款[承包人的合理化建议]的约定执行。上述情形还应适用第</w:t>
      </w:r>
      <w:r>
        <w:rPr>
          <w:rFonts w:ascii="宋体" w:hAnsi="宋体"/>
          <w:sz w:val="30"/>
          <w:szCs w:val="30"/>
        </w:rPr>
        <w:t>5.1</w:t>
      </w:r>
      <w:r>
        <w:rPr>
          <w:rFonts w:hint="eastAsia" w:ascii="宋体" w:hAnsi="宋体"/>
          <w:sz w:val="30"/>
          <w:szCs w:val="30"/>
        </w:rPr>
        <w:t>款[承包人的设计义务]和第</w:t>
      </w:r>
      <w:r>
        <w:rPr>
          <w:rFonts w:ascii="宋体" w:hAnsi="宋体"/>
          <w:sz w:val="30"/>
          <w:szCs w:val="30"/>
        </w:rPr>
        <w:t>13条</w:t>
      </w:r>
      <w:r>
        <w:rPr>
          <w:rFonts w:hint="eastAsia" w:ascii="宋体" w:hAnsi="宋体"/>
          <w:sz w:val="30"/>
          <w:szCs w:val="30"/>
        </w:rPr>
        <w:t>[变更与调整]的有关约定。</w:t>
      </w:r>
    </w:p>
    <w:p w14:paraId="0CE6C9B6">
      <w:pPr>
        <w:ind w:firstLine="600"/>
        <w:rPr>
          <w:rFonts w:ascii="宋体" w:hAnsi="宋体"/>
          <w:sz w:val="30"/>
          <w:szCs w:val="30"/>
        </w:rPr>
      </w:pPr>
      <w:r>
        <w:rPr>
          <w:rFonts w:hint="eastAsia" w:ascii="宋体" w:hAnsi="宋体"/>
          <w:sz w:val="30"/>
          <w:szCs w:val="30"/>
        </w:rPr>
        <w:t>政府有关部门或第三方审查单位审查批准后，承包人应当严格按照批准后的承包人文件实施工程。政府有关部门或第三方审查单位批准时间较合同约定时间延长的，竣工日期相应顺延。因此给双方带来的费用增加，由双方在负责的范围内各自承担。</w:t>
      </w:r>
    </w:p>
    <w:p w14:paraId="20C3E16E">
      <w:pPr>
        <w:pStyle w:val="969"/>
        <w:widowControl/>
        <w:numPr>
          <w:ilvl w:val="0"/>
          <w:numId w:val="0"/>
        </w:numPr>
        <w:rPr>
          <w:rFonts w:ascii="宋体" w:hAnsi="宋体" w:eastAsia="宋体"/>
          <w:b w:val="0"/>
          <w:bCs/>
          <w:sz w:val="30"/>
          <w:szCs w:val="30"/>
        </w:rPr>
      </w:pPr>
      <w:bookmarkStart w:id="229" w:name="_Ref531953095"/>
      <w:bookmarkStart w:id="230" w:name="_Toc54862224"/>
      <w:bookmarkStart w:id="231" w:name="_Ref531953097"/>
      <w:r>
        <w:rPr>
          <w:rFonts w:hint="eastAsia" w:ascii="宋体" w:hAnsi="宋体" w:eastAsia="宋体"/>
          <w:b w:val="0"/>
          <w:bCs/>
          <w:sz w:val="30"/>
          <w:szCs w:val="30"/>
        </w:rPr>
        <w:t>5</w:t>
      </w:r>
      <w:r>
        <w:rPr>
          <w:rFonts w:ascii="宋体" w:hAnsi="宋体" w:eastAsia="宋体"/>
          <w:b w:val="0"/>
          <w:bCs/>
          <w:sz w:val="30"/>
          <w:szCs w:val="30"/>
        </w:rPr>
        <w:t xml:space="preserve">.3 </w:t>
      </w:r>
      <w:r>
        <w:rPr>
          <w:rFonts w:hint="eastAsia" w:ascii="宋体" w:hAnsi="宋体" w:eastAsia="宋体"/>
          <w:b w:val="0"/>
          <w:bCs/>
          <w:sz w:val="30"/>
          <w:szCs w:val="30"/>
        </w:rPr>
        <w:t>培训</w:t>
      </w:r>
      <w:bookmarkEnd w:id="229"/>
      <w:bookmarkEnd w:id="230"/>
      <w:bookmarkEnd w:id="231"/>
    </w:p>
    <w:p w14:paraId="7365E8A4">
      <w:pPr>
        <w:ind w:firstLine="600"/>
        <w:rPr>
          <w:rFonts w:ascii="宋体" w:hAnsi="宋体"/>
          <w:sz w:val="30"/>
          <w:szCs w:val="30"/>
        </w:rPr>
      </w:pPr>
      <w:r>
        <w:rPr>
          <w:rFonts w:hint="eastAsia" w:ascii="宋体" w:hAnsi="宋体"/>
          <w:sz w:val="30"/>
          <w:szCs w:val="30"/>
        </w:rPr>
        <w:t>承包人应按照《发包人要求》，对发包人的雇员或其它发包人指定的人员进行工程操作、维修或其它合同中约定的培训。合同约定接收之前进行培训的，应在第</w:t>
      </w:r>
      <w:r>
        <w:rPr>
          <w:rFonts w:ascii="宋体" w:hAnsi="宋体"/>
          <w:sz w:val="30"/>
          <w:szCs w:val="30"/>
        </w:rPr>
        <w:t>10.1</w:t>
      </w:r>
      <w:r>
        <w:rPr>
          <w:rFonts w:hint="eastAsia" w:ascii="宋体" w:hAnsi="宋体"/>
          <w:sz w:val="30"/>
          <w:szCs w:val="30"/>
        </w:rPr>
        <w:t>款[</w:t>
      </w:r>
      <w:r>
        <w:rPr>
          <w:rFonts w:ascii="宋体" w:hAnsi="宋体"/>
          <w:sz w:val="30"/>
          <w:szCs w:val="30"/>
        </w:rPr>
        <w:t>竣工验收</w:t>
      </w:r>
      <w:r>
        <w:rPr>
          <w:rFonts w:hint="eastAsia" w:ascii="宋体" w:hAnsi="宋体"/>
          <w:sz w:val="30"/>
          <w:szCs w:val="30"/>
        </w:rPr>
        <w:t>]约定的竣工验收前或试运行结束前完成培训。</w:t>
      </w:r>
    </w:p>
    <w:p w14:paraId="72A5C525">
      <w:pPr>
        <w:ind w:firstLine="600"/>
        <w:rPr>
          <w:rFonts w:ascii="宋体" w:hAnsi="宋体"/>
          <w:sz w:val="30"/>
          <w:szCs w:val="30"/>
        </w:rPr>
      </w:pPr>
      <w:r>
        <w:rPr>
          <w:rFonts w:hint="eastAsia" w:ascii="宋体" w:hAnsi="宋体"/>
          <w:sz w:val="30"/>
          <w:szCs w:val="30"/>
        </w:rPr>
        <w:t>培训的时长应由双方在专用合同条件中约定，承包人应为培训提供有经验的人员、设施和其它必要条件。</w:t>
      </w:r>
    </w:p>
    <w:p w14:paraId="55295265">
      <w:pPr>
        <w:pStyle w:val="969"/>
        <w:widowControl/>
        <w:numPr>
          <w:ilvl w:val="0"/>
          <w:numId w:val="0"/>
        </w:numPr>
        <w:rPr>
          <w:rFonts w:ascii="宋体" w:hAnsi="宋体" w:eastAsia="宋体"/>
          <w:b w:val="0"/>
          <w:bCs/>
          <w:sz w:val="30"/>
          <w:szCs w:val="30"/>
        </w:rPr>
      </w:pPr>
      <w:bookmarkStart w:id="232" w:name="_Ref531953108"/>
      <w:bookmarkStart w:id="233" w:name="_Toc54862225"/>
      <w:bookmarkStart w:id="234" w:name="_Ref531953105"/>
      <w:r>
        <w:rPr>
          <w:rFonts w:hint="eastAsia" w:ascii="宋体" w:hAnsi="宋体" w:eastAsia="宋体"/>
          <w:b w:val="0"/>
          <w:bCs/>
          <w:sz w:val="30"/>
          <w:szCs w:val="30"/>
        </w:rPr>
        <w:t>5</w:t>
      </w:r>
      <w:r>
        <w:rPr>
          <w:rFonts w:ascii="宋体" w:hAnsi="宋体" w:eastAsia="宋体"/>
          <w:b w:val="0"/>
          <w:bCs/>
          <w:sz w:val="30"/>
          <w:szCs w:val="30"/>
        </w:rPr>
        <w:t xml:space="preserve">.4 </w:t>
      </w:r>
      <w:r>
        <w:rPr>
          <w:rFonts w:hint="eastAsia" w:ascii="宋体" w:hAnsi="宋体" w:eastAsia="宋体"/>
          <w:b w:val="0"/>
          <w:bCs/>
          <w:sz w:val="30"/>
          <w:szCs w:val="30"/>
        </w:rPr>
        <w:t>竣工文件</w:t>
      </w:r>
      <w:bookmarkEnd w:id="232"/>
      <w:bookmarkEnd w:id="233"/>
      <w:bookmarkEnd w:id="234"/>
    </w:p>
    <w:p w14:paraId="25E1C0BD">
      <w:pPr>
        <w:pStyle w:val="994"/>
        <w:numPr>
          <w:ilvl w:val="0"/>
          <w:numId w:val="0"/>
        </w:numPr>
        <w:rPr>
          <w:sz w:val="30"/>
          <w:szCs w:val="30"/>
        </w:rPr>
      </w:pPr>
      <w:bookmarkStart w:id="235" w:name="_Ref531953134"/>
      <w:r>
        <w:rPr>
          <w:rFonts w:hint="eastAsia"/>
          <w:sz w:val="30"/>
          <w:szCs w:val="30"/>
        </w:rPr>
        <w:t>5</w:t>
      </w:r>
      <w:r>
        <w:rPr>
          <w:sz w:val="30"/>
          <w:szCs w:val="30"/>
        </w:rPr>
        <w:t xml:space="preserve">.4.1 </w:t>
      </w:r>
      <w:r>
        <w:rPr>
          <w:rFonts w:hint="eastAsia"/>
          <w:sz w:val="30"/>
          <w:szCs w:val="30"/>
        </w:rPr>
        <w:t>承包人应编制并及时更新反映工程实施结果的竣工记录，如实记载竣工工程的确切位置、尺寸和已实施工作的详细说明。竣工文件的形式、技术标准以及其它相关内容应按照相关法律法规、行业标准与《发包人要求》执行。竣工记录应保存在施工现场，并在竣工试验开始前，按照专用合同条件约定的份数提交给工程师。</w:t>
      </w:r>
      <w:bookmarkEnd w:id="235"/>
    </w:p>
    <w:p w14:paraId="483C0AD5">
      <w:pPr>
        <w:pStyle w:val="994"/>
        <w:numPr>
          <w:ilvl w:val="0"/>
          <w:numId w:val="0"/>
        </w:numPr>
        <w:rPr>
          <w:sz w:val="30"/>
          <w:szCs w:val="30"/>
        </w:rPr>
      </w:pPr>
      <w:r>
        <w:rPr>
          <w:rFonts w:hint="eastAsia"/>
          <w:sz w:val="30"/>
          <w:szCs w:val="30"/>
        </w:rPr>
        <w:t>5</w:t>
      </w:r>
      <w:r>
        <w:rPr>
          <w:sz w:val="30"/>
          <w:szCs w:val="30"/>
        </w:rPr>
        <w:t xml:space="preserve">.4.2 </w:t>
      </w:r>
      <w:r>
        <w:rPr>
          <w:rFonts w:hint="eastAsia"/>
          <w:sz w:val="30"/>
          <w:szCs w:val="30"/>
        </w:rPr>
        <w:t>在颁发工程接收证书之前，承包人应按照《发包人要求》的份数和形式向工程师提交相应竣工图纸，并取得工程师对尺寸、参照系统及其他有关细节的认可。工程师应按照第</w:t>
      </w:r>
      <w:r>
        <w:rPr>
          <w:sz w:val="30"/>
          <w:szCs w:val="30"/>
        </w:rPr>
        <w:t>5.2</w:t>
      </w:r>
      <w:r>
        <w:rPr>
          <w:rFonts w:hint="eastAsia"/>
          <w:sz w:val="30"/>
          <w:szCs w:val="30"/>
        </w:rPr>
        <w:t>款[</w:t>
      </w:r>
      <w:r>
        <w:rPr>
          <w:sz w:val="30"/>
          <w:szCs w:val="30"/>
        </w:rPr>
        <w:t>承包人文件审查</w:t>
      </w:r>
      <w:r>
        <w:rPr>
          <w:rFonts w:hint="eastAsia"/>
          <w:sz w:val="30"/>
          <w:szCs w:val="30"/>
        </w:rPr>
        <w:t>]的约定进行审查。</w:t>
      </w:r>
    </w:p>
    <w:p w14:paraId="4B2E971E">
      <w:pPr>
        <w:pStyle w:val="994"/>
        <w:numPr>
          <w:ilvl w:val="0"/>
          <w:numId w:val="0"/>
        </w:numPr>
        <w:rPr>
          <w:sz w:val="30"/>
          <w:szCs w:val="30"/>
        </w:rPr>
      </w:pPr>
      <w:r>
        <w:rPr>
          <w:rFonts w:hint="eastAsia"/>
          <w:sz w:val="30"/>
          <w:szCs w:val="30"/>
        </w:rPr>
        <w:t>5</w:t>
      </w:r>
      <w:r>
        <w:rPr>
          <w:sz w:val="30"/>
          <w:szCs w:val="30"/>
        </w:rPr>
        <w:t xml:space="preserve">.4.3 </w:t>
      </w:r>
      <w:r>
        <w:rPr>
          <w:rFonts w:hint="eastAsia"/>
          <w:sz w:val="30"/>
          <w:szCs w:val="30"/>
        </w:rPr>
        <w:t>除专用合同条件另有约定外，在工程师收到本款下的文件前，不应认为工程已根据第</w:t>
      </w:r>
      <w:r>
        <w:rPr>
          <w:sz w:val="30"/>
          <w:szCs w:val="30"/>
        </w:rPr>
        <w:t>10.1</w:t>
      </w:r>
      <w:r>
        <w:rPr>
          <w:rFonts w:hint="eastAsia"/>
          <w:sz w:val="30"/>
          <w:szCs w:val="30"/>
        </w:rPr>
        <w:t>款[竣工验收]和第</w:t>
      </w:r>
      <w:r>
        <w:rPr>
          <w:sz w:val="30"/>
          <w:szCs w:val="30"/>
        </w:rPr>
        <w:t>10.2</w:t>
      </w:r>
      <w:r>
        <w:rPr>
          <w:rFonts w:hint="eastAsia"/>
          <w:sz w:val="30"/>
          <w:szCs w:val="30"/>
        </w:rPr>
        <w:t>款[</w:t>
      </w:r>
      <w:r>
        <w:rPr>
          <w:sz w:val="30"/>
          <w:szCs w:val="30"/>
        </w:rPr>
        <w:t>单位/区段工程的验收</w:t>
      </w:r>
      <w:r>
        <w:rPr>
          <w:rFonts w:hint="eastAsia"/>
          <w:sz w:val="30"/>
          <w:szCs w:val="30"/>
        </w:rPr>
        <w:t>]的约定完成验收。</w:t>
      </w:r>
    </w:p>
    <w:p w14:paraId="1BD4E391">
      <w:pPr>
        <w:pStyle w:val="969"/>
        <w:widowControl/>
        <w:numPr>
          <w:ilvl w:val="0"/>
          <w:numId w:val="0"/>
        </w:numPr>
        <w:rPr>
          <w:rFonts w:ascii="宋体" w:hAnsi="宋体" w:eastAsia="宋体"/>
          <w:b w:val="0"/>
          <w:bCs/>
          <w:sz w:val="30"/>
          <w:szCs w:val="30"/>
        </w:rPr>
      </w:pPr>
      <w:bookmarkStart w:id="236" w:name="_Toc54862226"/>
      <w:bookmarkStart w:id="237" w:name="_Ref531953119"/>
      <w:bookmarkStart w:id="238" w:name="_Ref531953117"/>
      <w:r>
        <w:rPr>
          <w:rFonts w:hint="eastAsia" w:ascii="宋体" w:hAnsi="宋体" w:eastAsia="宋体"/>
          <w:b w:val="0"/>
          <w:bCs/>
          <w:sz w:val="30"/>
          <w:szCs w:val="30"/>
        </w:rPr>
        <w:t>5</w:t>
      </w:r>
      <w:r>
        <w:rPr>
          <w:rFonts w:ascii="宋体" w:hAnsi="宋体" w:eastAsia="宋体"/>
          <w:b w:val="0"/>
          <w:bCs/>
          <w:sz w:val="30"/>
          <w:szCs w:val="30"/>
        </w:rPr>
        <w:t xml:space="preserve">.5 </w:t>
      </w:r>
      <w:r>
        <w:rPr>
          <w:rFonts w:hint="eastAsia" w:ascii="宋体" w:hAnsi="宋体" w:eastAsia="宋体"/>
          <w:b w:val="0"/>
          <w:bCs/>
          <w:sz w:val="30"/>
          <w:szCs w:val="30"/>
        </w:rPr>
        <w:t>操作和维修手册</w:t>
      </w:r>
      <w:bookmarkEnd w:id="236"/>
      <w:bookmarkEnd w:id="237"/>
      <w:bookmarkEnd w:id="238"/>
    </w:p>
    <w:p w14:paraId="2116D443">
      <w:pPr>
        <w:pStyle w:val="994"/>
        <w:numPr>
          <w:ilvl w:val="0"/>
          <w:numId w:val="0"/>
        </w:numPr>
        <w:rPr>
          <w:sz w:val="30"/>
          <w:szCs w:val="30"/>
        </w:rPr>
      </w:pPr>
      <w:bookmarkStart w:id="239" w:name="_Ref531953145"/>
      <w:r>
        <w:rPr>
          <w:rFonts w:hint="eastAsia"/>
          <w:sz w:val="30"/>
          <w:szCs w:val="30"/>
        </w:rPr>
        <w:t>5</w:t>
      </w:r>
      <w:r>
        <w:rPr>
          <w:sz w:val="30"/>
          <w:szCs w:val="30"/>
        </w:rPr>
        <w:t xml:space="preserve">.5.1 </w:t>
      </w:r>
      <w:r>
        <w:rPr>
          <w:rFonts w:hint="eastAsia"/>
          <w:sz w:val="30"/>
          <w:szCs w:val="30"/>
        </w:rPr>
        <w:t>在竣工试验开始前，承包人应向工程师提交暂行的操作和维修手册并负责及时更新，该手册应足够详细，以便发包人能够对工程设备进行操作、维修、拆卸、重新安装、调整及修理，以及实现《发包人要求》。同时，手册还应包含发包人未来可能需要的备品备件清单。</w:t>
      </w:r>
      <w:bookmarkEnd w:id="239"/>
    </w:p>
    <w:p w14:paraId="33E56F8A">
      <w:pPr>
        <w:pStyle w:val="994"/>
        <w:numPr>
          <w:ilvl w:val="0"/>
          <w:numId w:val="0"/>
        </w:numPr>
        <w:rPr>
          <w:sz w:val="30"/>
          <w:szCs w:val="30"/>
        </w:rPr>
      </w:pPr>
      <w:r>
        <w:rPr>
          <w:rFonts w:hint="eastAsia"/>
          <w:sz w:val="30"/>
          <w:szCs w:val="30"/>
        </w:rPr>
        <w:t>5</w:t>
      </w:r>
      <w:r>
        <w:rPr>
          <w:sz w:val="30"/>
          <w:szCs w:val="30"/>
        </w:rPr>
        <w:t xml:space="preserve">.5.2 </w:t>
      </w:r>
      <w:r>
        <w:rPr>
          <w:rFonts w:hint="eastAsia"/>
          <w:sz w:val="30"/>
          <w:szCs w:val="30"/>
        </w:rPr>
        <w:t>工程师收到承包人提交的文件后，应依据第</w:t>
      </w:r>
      <w:r>
        <w:rPr>
          <w:sz w:val="30"/>
          <w:szCs w:val="30"/>
        </w:rPr>
        <w:t>5.2</w:t>
      </w:r>
      <w:r>
        <w:rPr>
          <w:rFonts w:hint="eastAsia"/>
          <w:sz w:val="30"/>
          <w:szCs w:val="30"/>
        </w:rPr>
        <w:t>款[</w:t>
      </w:r>
      <w:r>
        <w:rPr>
          <w:sz w:val="30"/>
          <w:szCs w:val="30"/>
        </w:rPr>
        <w:t>承包人文件审查</w:t>
      </w:r>
      <w:r>
        <w:rPr>
          <w:rFonts w:hint="eastAsia"/>
          <w:sz w:val="30"/>
          <w:szCs w:val="30"/>
        </w:rPr>
        <w:t>]的约定对操作和维修手册进行审查，竣工试验工程中，承包人应为任何因操作和维修手册错误或遗漏引起的风险或损失承担责任。</w:t>
      </w:r>
    </w:p>
    <w:p w14:paraId="2916CD9B">
      <w:pPr>
        <w:pStyle w:val="994"/>
        <w:numPr>
          <w:ilvl w:val="0"/>
          <w:numId w:val="0"/>
        </w:numPr>
        <w:rPr>
          <w:sz w:val="30"/>
          <w:szCs w:val="30"/>
        </w:rPr>
      </w:pPr>
      <w:r>
        <w:rPr>
          <w:rFonts w:hint="eastAsia"/>
          <w:sz w:val="30"/>
          <w:szCs w:val="30"/>
        </w:rPr>
        <w:t>5</w:t>
      </w:r>
      <w:r>
        <w:rPr>
          <w:sz w:val="30"/>
          <w:szCs w:val="30"/>
        </w:rPr>
        <w:t xml:space="preserve">.5.3 </w:t>
      </w:r>
      <w:r>
        <w:rPr>
          <w:rFonts w:hint="eastAsia"/>
          <w:sz w:val="30"/>
          <w:szCs w:val="30"/>
        </w:rPr>
        <w:t>除专用合同条件另有约定外，承包人应提交足够详细的最终操作和维修手册，以及在《发包人要求》中明确的相关操作和维修手册。除专用合同条件另有约定外，在工程师收到上述文件前，不应认为工程已根据第</w:t>
      </w:r>
      <w:r>
        <w:rPr>
          <w:sz w:val="30"/>
          <w:szCs w:val="30"/>
        </w:rPr>
        <w:t>10.1</w:t>
      </w:r>
      <w:r>
        <w:rPr>
          <w:rFonts w:hint="eastAsia"/>
          <w:sz w:val="30"/>
          <w:szCs w:val="30"/>
        </w:rPr>
        <w:t>款[竣工验收]和第</w:t>
      </w:r>
      <w:r>
        <w:rPr>
          <w:sz w:val="30"/>
          <w:szCs w:val="30"/>
        </w:rPr>
        <w:t>10.2</w:t>
      </w:r>
      <w:r>
        <w:rPr>
          <w:rFonts w:hint="eastAsia"/>
          <w:sz w:val="30"/>
          <w:szCs w:val="30"/>
        </w:rPr>
        <w:t>款[</w:t>
      </w:r>
      <w:r>
        <w:rPr>
          <w:sz w:val="30"/>
          <w:szCs w:val="30"/>
        </w:rPr>
        <w:t>单位/区段工程的验收</w:t>
      </w:r>
      <w:r>
        <w:rPr>
          <w:rFonts w:hint="eastAsia"/>
          <w:sz w:val="30"/>
          <w:szCs w:val="30"/>
        </w:rPr>
        <w:t>]的约定完成验收。</w:t>
      </w:r>
    </w:p>
    <w:p w14:paraId="2F85DFA2">
      <w:pPr>
        <w:pStyle w:val="969"/>
        <w:widowControl/>
        <w:numPr>
          <w:ilvl w:val="0"/>
          <w:numId w:val="0"/>
        </w:numPr>
        <w:rPr>
          <w:rFonts w:ascii="宋体" w:hAnsi="宋体" w:eastAsia="宋体"/>
          <w:b w:val="0"/>
          <w:bCs/>
          <w:sz w:val="30"/>
          <w:szCs w:val="30"/>
        </w:rPr>
      </w:pPr>
      <w:bookmarkStart w:id="240" w:name="_Toc54862227"/>
      <w:r>
        <w:rPr>
          <w:rFonts w:hint="eastAsia" w:ascii="宋体" w:hAnsi="宋体" w:eastAsia="宋体"/>
          <w:b w:val="0"/>
          <w:bCs/>
          <w:sz w:val="30"/>
          <w:szCs w:val="30"/>
        </w:rPr>
        <w:t>5</w:t>
      </w:r>
      <w:r>
        <w:rPr>
          <w:rFonts w:ascii="宋体" w:hAnsi="宋体" w:eastAsia="宋体"/>
          <w:b w:val="0"/>
          <w:bCs/>
          <w:sz w:val="30"/>
          <w:szCs w:val="30"/>
        </w:rPr>
        <w:t xml:space="preserve">.6 </w:t>
      </w:r>
      <w:r>
        <w:rPr>
          <w:rFonts w:hint="eastAsia" w:ascii="宋体" w:hAnsi="宋体" w:eastAsia="宋体"/>
          <w:b w:val="0"/>
          <w:bCs/>
          <w:sz w:val="30"/>
          <w:szCs w:val="30"/>
        </w:rPr>
        <w:t>承包人文件错误</w:t>
      </w:r>
      <w:bookmarkEnd w:id="240"/>
      <w:r>
        <w:rPr>
          <w:rFonts w:hint="eastAsia" w:ascii="宋体" w:hAnsi="宋体" w:eastAsia="宋体"/>
          <w:b w:val="0"/>
          <w:bCs/>
          <w:sz w:val="30"/>
          <w:szCs w:val="30"/>
        </w:rPr>
        <w:t xml:space="preserve"> </w:t>
      </w:r>
    </w:p>
    <w:p w14:paraId="1390B1E8">
      <w:pPr>
        <w:ind w:firstLine="600"/>
        <w:rPr>
          <w:rFonts w:ascii="宋体" w:hAnsi="宋体"/>
          <w:sz w:val="30"/>
          <w:szCs w:val="30"/>
        </w:rPr>
      </w:pPr>
      <w:r>
        <w:rPr>
          <w:rFonts w:hint="eastAsia" w:ascii="宋体" w:hAnsi="宋体"/>
          <w:sz w:val="30"/>
          <w:szCs w:val="30"/>
        </w:rPr>
        <w:t>承包人文件存在错误、遗漏、含混、矛盾、不充分之处或其他缺陷，无论承包人是否根据本款获得了同意，承包人均应自费对前述问题带来的缺陷和工程问题进行改正，并按照第</w:t>
      </w:r>
      <w:r>
        <w:rPr>
          <w:rFonts w:ascii="宋体" w:hAnsi="宋体"/>
          <w:sz w:val="30"/>
          <w:szCs w:val="30"/>
        </w:rPr>
        <w:t>5.2</w:t>
      </w:r>
      <w:r>
        <w:rPr>
          <w:rFonts w:hint="eastAsia" w:ascii="宋体" w:hAnsi="宋体"/>
          <w:sz w:val="30"/>
          <w:szCs w:val="30"/>
        </w:rPr>
        <w:t>款[承包人文件审查]的要求，重新送工程师审查，审查日期从工程师收到文件开始重新计算。因此款原因重新提交审查文件导致的工程延误和必要费用增加由承包人承担。《发包人要求》的错误导致承包人文件错误、遗漏、含混、矛盾、不充分或其他缺陷的除外。</w:t>
      </w:r>
    </w:p>
    <w:p w14:paraId="2CFB9F30">
      <w:pPr>
        <w:pStyle w:val="991"/>
        <w:numPr>
          <w:ilvl w:val="0"/>
          <w:numId w:val="0"/>
        </w:numPr>
        <w:wordWrap/>
        <w:topLinePunct w:val="0"/>
        <w:rPr>
          <w:rFonts w:ascii="宋体" w:hAnsi="宋体" w:eastAsia="宋体"/>
          <w:b w:val="0"/>
          <w:bCs/>
          <w:sz w:val="32"/>
          <w:szCs w:val="21"/>
        </w:rPr>
      </w:pPr>
      <w:bookmarkStart w:id="241" w:name="_Toc54862228"/>
      <w:bookmarkStart w:id="242" w:name="_Ref531953761"/>
      <w:bookmarkStart w:id="243" w:name="_Ref531953765"/>
      <w:r>
        <w:rPr>
          <w:rFonts w:hint="eastAsia" w:ascii="宋体" w:hAnsi="宋体" w:eastAsia="宋体"/>
          <w:b w:val="0"/>
          <w:bCs/>
          <w:sz w:val="32"/>
          <w:szCs w:val="21"/>
        </w:rPr>
        <w:t>第6条 材料、工程设备</w:t>
      </w:r>
      <w:bookmarkEnd w:id="241"/>
      <w:bookmarkEnd w:id="242"/>
      <w:bookmarkEnd w:id="243"/>
    </w:p>
    <w:p w14:paraId="084258DC">
      <w:pPr>
        <w:pStyle w:val="969"/>
        <w:widowControl/>
        <w:numPr>
          <w:ilvl w:val="0"/>
          <w:numId w:val="0"/>
        </w:numPr>
        <w:rPr>
          <w:rFonts w:ascii="宋体" w:hAnsi="宋体" w:eastAsia="宋体"/>
          <w:b w:val="0"/>
          <w:bCs/>
          <w:sz w:val="30"/>
          <w:szCs w:val="30"/>
        </w:rPr>
      </w:pPr>
      <w:bookmarkStart w:id="244" w:name="_Ref531953832"/>
      <w:bookmarkStart w:id="245" w:name="_Toc54862229"/>
      <w:bookmarkStart w:id="246" w:name="_Ref531953828"/>
      <w:r>
        <w:rPr>
          <w:rFonts w:hint="eastAsia" w:ascii="宋体" w:hAnsi="宋体" w:eastAsia="宋体"/>
          <w:b w:val="0"/>
          <w:bCs/>
          <w:sz w:val="30"/>
          <w:szCs w:val="30"/>
        </w:rPr>
        <w:t>6</w:t>
      </w:r>
      <w:r>
        <w:rPr>
          <w:rFonts w:ascii="宋体" w:hAnsi="宋体" w:eastAsia="宋体"/>
          <w:b w:val="0"/>
          <w:bCs/>
          <w:sz w:val="30"/>
          <w:szCs w:val="30"/>
        </w:rPr>
        <w:t xml:space="preserve">.1 </w:t>
      </w:r>
      <w:r>
        <w:rPr>
          <w:rFonts w:hint="eastAsia" w:ascii="宋体" w:hAnsi="宋体" w:eastAsia="宋体"/>
          <w:b w:val="0"/>
          <w:bCs/>
          <w:sz w:val="30"/>
          <w:szCs w:val="30"/>
        </w:rPr>
        <w:t>实施方法</w:t>
      </w:r>
      <w:bookmarkEnd w:id="244"/>
      <w:bookmarkEnd w:id="245"/>
      <w:bookmarkEnd w:id="246"/>
      <w:r>
        <w:rPr>
          <w:rFonts w:hint="eastAsia" w:ascii="宋体" w:hAnsi="宋体" w:eastAsia="宋体"/>
          <w:b w:val="0"/>
          <w:bCs/>
          <w:sz w:val="30"/>
          <w:szCs w:val="30"/>
        </w:rPr>
        <w:t xml:space="preserve"> </w:t>
      </w:r>
    </w:p>
    <w:p w14:paraId="6786BBD0">
      <w:pPr>
        <w:ind w:firstLine="600"/>
        <w:rPr>
          <w:rFonts w:ascii="宋体" w:hAnsi="宋体"/>
          <w:sz w:val="30"/>
          <w:szCs w:val="30"/>
        </w:rPr>
      </w:pPr>
      <w:r>
        <w:rPr>
          <w:rFonts w:hint="eastAsia" w:ascii="宋体" w:hAnsi="宋体"/>
          <w:sz w:val="30"/>
          <w:szCs w:val="30"/>
        </w:rPr>
        <w:t>承包人应按以下方法进行材料的加工、工程设备的采购、制造和安装、以及工程的所有其他实施作业：</w:t>
      </w:r>
    </w:p>
    <w:p w14:paraId="2B747EAE">
      <w:pPr>
        <w:ind w:firstLine="600"/>
        <w:rPr>
          <w:rFonts w:ascii="宋体" w:hAnsi="宋体"/>
          <w:sz w:val="30"/>
          <w:szCs w:val="30"/>
        </w:rPr>
      </w:pPr>
      <w:bookmarkStart w:id="247" w:name="_Ref531953847"/>
      <w:r>
        <w:rPr>
          <w:rFonts w:hint="eastAsia" w:ascii="宋体" w:hAnsi="宋体"/>
          <w:sz w:val="30"/>
          <w:szCs w:val="30"/>
        </w:rPr>
        <w:t>（1） 按照法律规定和合同约定的方法；</w:t>
      </w:r>
      <w:bookmarkEnd w:id="247"/>
    </w:p>
    <w:p w14:paraId="615CCEE9">
      <w:pPr>
        <w:ind w:firstLine="600"/>
        <w:rPr>
          <w:rFonts w:ascii="宋体" w:hAnsi="宋体"/>
          <w:sz w:val="30"/>
          <w:szCs w:val="30"/>
        </w:rPr>
      </w:pPr>
      <w:r>
        <w:rPr>
          <w:rFonts w:hint="eastAsia" w:ascii="宋体" w:hAnsi="宋体"/>
          <w:sz w:val="30"/>
          <w:szCs w:val="30"/>
        </w:rPr>
        <w:t>（2） 按照公认的良好行业习惯，使用恰当、审慎、先进的方法；</w:t>
      </w:r>
    </w:p>
    <w:p w14:paraId="3B834D8D">
      <w:pPr>
        <w:ind w:firstLine="600"/>
        <w:rPr>
          <w:rFonts w:ascii="宋体" w:hAnsi="宋体"/>
          <w:sz w:val="30"/>
          <w:szCs w:val="30"/>
        </w:rPr>
      </w:pPr>
      <w:r>
        <w:rPr>
          <w:rFonts w:hint="eastAsia" w:ascii="宋体" w:hAnsi="宋体"/>
          <w:sz w:val="30"/>
          <w:szCs w:val="30"/>
        </w:rPr>
        <w:t>（3） 除专用合同条件另有规定外，应使用适当配备的实施方法、设备、设施和无危险的材料。</w:t>
      </w:r>
    </w:p>
    <w:p w14:paraId="79D4FCEF">
      <w:pPr>
        <w:pStyle w:val="969"/>
        <w:widowControl/>
        <w:numPr>
          <w:ilvl w:val="0"/>
          <w:numId w:val="0"/>
        </w:numPr>
        <w:rPr>
          <w:rFonts w:ascii="宋体" w:hAnsi="宋体" w:eastAsia="宋体"/>
          <w:b w:val="0"/>
          <w:bCs/>
          <w:sz w:val="30"/>
          <w:szCs w:val="30"/>
        </w:rPr>
      </w:pPr>
      <w:bookmarkStart w:id="248" w:name="_Toc54862230"/>
      <w:bookmarkStart w:id="249" w:name="_Ref11926422"/>
      <w:bookmarkStart w:id="250" w:name="_Ref4427594"/>
      <w:r>
        <w:rPr>
          <w:rFonts w:hint="eastAsia" w:ascii="宋体" w:hAnsi="宋体" w:eastAsia="宋体"/>
          <w:b w:val="0"/>
          <w:bCs/>
          <w:sz w:val="30"/>
          <w:szCs w:val="30"/>
        </w:rPr>
        <w:t>6</w:t>
      </w:r>
      <w:r>
        <w:rPr>
          <w:rFonts w:ascii="宋体" w:hAnsi="宋体" w:eastAsia="宋体"/>
          <w:b w:val="0"/>
          <w:bCs/>
          <w:sz w:val="30"/>
          <w:szCs w:val="30"/>
        </w:rPr>
        <w:t xml:space="preserve">.2 </w:t>
      </w:r>
      <w:r>
        <w:rPr>
          <w:rFonts w:hint="eastAsia" w:ascii="宋体" w:hAnsi="宋体" w:eastAsia="宋体"/>
          <w:b w:val="0"/>
          <w:bCs/>
          <w:sz w:val="30"/>
          <w:szCs w:val="30"/>
        </w:rPr>
        <w:t>材料和工程设备</w:t>
      </w:r>
      <w:bookmarkEnd w:id="248"/>
      <w:bookmarkEnd w:id="249"/>
    </w:p>
    <w:p w14:paraId="2F0DD622">
      <w:pPr>
        <w:pStyle w:val="994"/>
        <w:numPr>
          <w:ilvl w:val="0"/>
          <w:numId w:val="0"/>
        </w:numPr>
        <w:rPr>
          <w:sz w:val="30"/>
          <w:szCs w:val="30"/>
        </w:rPr>
      </w:pPr>
      <w:bookmarkStart w:id="251" w:name="_Ref11960295"/>
      <w:r>
        <w:rPr>
          <w:rFonts w:hint="eastAsia"/>
          <w:sz w:val="30"/>
          <w:szCs w:val="30"/>
        </w:rPr>
        <w:t>6</w:t>
      </w:r>
      <w:r>
        <w:rPr>
          <w:sz w:val="30"/>
          <w:szCs w:val="30"/>
        </w:rPr>
        <w:t xml:space="preserve">.2.1 </w:t>
      </w:r>
      <w:r>
        <w:rPr>
          <w:rFonts w:hint="eastAsia"/>
          <w:sz w:val="30"/>
          <w:szCs w:val="30"/>
        </w:rPr>
        <w:t>发包人提供的材料和工程设备</w:t>
      </w:r>
      <w:bookmarkEnd w:id="250"/>
      <w:bookmarkEnd w:id="251"/>
    </w:p>
    <w:p w14:paraId="2A03D89E">
      <w:pPr>
        <w:ind w:firstLine="600"/>
        <w:rPr>
          <w:rFonts w:ascii="宋体" w:hAnsi="宋体"/>
          <w:sz w:val="30"/>
          <w:szCs w:val="30"/>
        </w:rPr>
      </w:pPr>
      <w:r>
        <w:rPr>
          <w:rFonts w:hint="eastAsia" w:ascii="宋体" w:hAnsi="宋体"/>
          <w:sz w:val="30"/>
          <w:szCs w:val="30"/>
        </w:rPr>
        <w:t>发包人自行供应材料、工程设备的，应在订立合同时在专用合同条件的附件《发包人供应材料设备一览表》中明确材料、工程设备的品种、规格、型号、主要参数、数量、单价、质量等级和交接地点等。</w:t>
      </w:r>
    </w:p>
    <w:p w14:paraId="343592E8">
      <w:pPr>
        <w:ind w:firstLine="600"/>
        <w:rPr>
          <w:rFonts w:ascii="宋体" w:hAnsi="宋体"/>
          <w:sz w:val="30"/>
          <w:szCs w:val="30"/>
        </w:rPr>
      </w:pPr>
      <w:r>
        <w:rPr>
          <w:rFonts w:hint="eastAsia" w:ascii="宋体" w:hAnsi="宋体"/>
          <w:sz w:val="30"/>
          <w:szCs w:val="30"/>
        </w:rPr>
        <w:t>承包人应根据项目进度计划的安排，提前28天以书面形式通知工程师供应材料与工程设备的进场计划。承包人按照第</w:t>
      </w:r>
      <w:r>
        <w:rPr>
          <w:rFonts w:ascii="宋体" w:hAnsi="宋体"/>
          <w:sz w:val="30"/>
          <w:szCs w:val="30"/>
        </w:rPr>
        <w:t>8.4</w:t>
      </w:r>
      <w:r>
        <w:rPr>
          <w:rFonts w:hint="eastAsia" w:ascii="宋体" w:hAnsi="宋体"/>
          <w:sz w:val="30"/>
          <w:szCs w:val="30"/>
        </w:rPr>
        <w:t>款[项目进度计划]约定修订项目进度计划时，需同时提交经修订后的发包人供应材料与工程设备的进场计划。发包人应按照上述进场计划，向承包人提交材料和工程设备。</w:t>
      </w:r>
    </w:p>
    <w:p w14:paraId="6205FF11">
      <w:pPr>
        <w:ind w:firstLine="600"/>
        <w:rPr>
          <w:rFonts w:ascii="宋体" w:hAnsi="宋体"/>
          <w:sz w:val="30"/>
          <w:szCs w:val="30"/>
        </w:rPr>
      </w:pPr>
      <w:r>
        <w:rPr>
          <w:rFonts w:hint="eastAsia" w:ascii="宋体" w:hAnsi="宋体"/>
          <w:sz w:val="30"/>
          <w:szCs w:val="30"/>
        </w:rPr>
        <w:t>发包人应在材料和工程设备到货7天前通知承包人，承包人应会同工程师在约定的时间内，赴交货地点共同进行验收。除专用合同条件另有约定外，发包人提供的材料和工程设备验收后，由承包人负责接收、运输和保管。</w:t>
      </w:r>
    </w:p>
    <w:p w14:paraId="78F5A524">
      <w:pPr>
        <w:ind w:firstLine="600"/>
        <w:rPr>
          <w:rFonts w:ascii="宋体" w:hAnsi="宋体"/>
          <w:sz w:val="30"/>
          <w:szCs w:val="30"/>
        </w:rPr>
      </w:pPr>
      <w:r>
        <w:rPr>
          <w:rFonts w:hint="eastAsia" w:ascii="宋体" w:hAnsi="宋体"/>
          <w:sz w:val="30"/>
          <w:szCs w:val="30"/>
        </w:rPr>
        <w:t>发包人需要对进场计划进行变更的，承包人不得拒绝，应根据第1</w:t>
      </w:r>
      <w:r>
        <w:rPr>
          <w:rFonts w:ascii="宋体" w:hAnsi="宋体"/>
          <w:sz w:val="30"/>
          <w:szCs w:val="30"/>
        </w:rPr>
        <w:t>3</w:t>
      </w:r>
      <w:r>
        <w:rPr>
          <w:rFonts w:hint="eastAsia" w:ascii="宋体" w:hAnsi="宋体"/>
          <w:sz w:val="30"/>
          <w:szCs w:val="30"/>
        </w:rPr>
        <w:t>条[变更与调整]的规定执行，并由发包人承担承包人由此增加的费用，以及引起的工期延误。承包人需要对进场计划进行变更的，应事先报请工程师批准，由此增加的费用和（或）工期延误由承包人承担。</w:t>
      </w:r>
    </w:p>
    <w:p w14:paraId="6720F360">
      <w:pPr>
        <w:ind w:firstLine="600"/>
        <w:rPr>
          <w:rFonts w:ascii="宋体" w:hAnsi="宋体"/>
          <w:sz w:val="30"/>
          <w:szCs w:val="30"/>
        </w:rPr>
      </w:pPr>
      <w:r>
        <w:rPr>
          <w:rFonts w:hint="eastAsia" w:ascii="宋体" w:hAnsi="宋体"/>
          <w:sz w:val="30"/>
          <w:szCs w:val="30"/>
        </w:rPr>
        <w:t>发包人提供的材料和工程设备的规格、数量或质量不符合合同要求，或由于发包人原因发生交货日期延误及交货地点变更等情况的，发包人应承担由此增加的费用和（或）工期延误，并向承包人支付合理利润。</w:t>
      </w:r>
    </w:p>
    <w:p w14:paraId="3808C314">
      <w:pPr>
        <w:pStyle w:val="994"/>
        <w:numPr>
          <w:ilvl w:val="0"/>
          <w:numId w:val="0"/>
        </w:numPr>
        <w:rPr>
          <w:sz w:val="30"/>
          <w:szCs w:val="30"/>
        </w:rPr>
      </w:pPr>
      <w:bookmarkStart w:id="252" w:name="_Ref531953918"/>
      <w:r>
        <w:rPr>
          <w:rFonts w:hint="eastAsia"/>
          <w:sz w:val="30"/>
          <w:szCs w:val="30"/>
        </w:rPr>
        <w:t>6</w:t>
      </w:r>
      <w:r>
        <w:rPr>
          <w:sz w:val="30"/>
          <w:szCs w:val="30"/>
        </w:rPr>
        <w:t xml:space="preserve">.2.2 </w:t>
      </w:r>
      <w:r>
        <w:rPr>
          <w:rFonts w:hint="eastAsia"/>
          <w:sz w:val="30"/>
          <w:szCs w:val="30"/>
        </w:rPr>
        <w:t>承包人提供的材料和工程设备</w:t>
      </w:r>
      <w:bookmarkEnd w:id="252"/>
    </w:p>
    <w:p w14:paraId="312A0C96">
      <w:pPr>
        <w:ind w:firstLine="600"/>
        <w:rPr>
          <w:rFonts w:ascii="宋体" w:hAnsi="宋体"/>
          <w:sz w:val="30"/>
          <w:szCs w:val="30"/>
        </w:rPr>
      </w:pPr>
      <w:r>
        <w:rPr>
          <w:rFonts w:hint="eastAsia" w:ascii="宋体" w:hAnsi="宋体"/>
          <w:sz w:val="30"/>
          <w:szCs w:val="30"/>
        </w:rPr>
        <w:t>承包人应按照专用合同条件的约定，将各项材料和工程设备的供货人及品种、技术要求、规格、数量和供货时间等报送工程师批准。承包人应向工程师提交其负责提供的材料和工程设备的质量证明文件，并根据合同约定的质量标准，对材料、工程设备质量负责。</w:t>
      </w:r>
    </w:p>
    <w:p w14:paraId="09F5BFF8">
      <w:pPr>
        <w:ind w:firstLine="600"/>
        <w:rPr>
          <w:rFonts w:ascii="宋体" w:hAnsi="宋体"/>
          <w:sz w:val="30"/>
          <w:szCs w:val="30"/>
        </w:rPr>
      </w:pPr>
      <w:r>
        <w:rPr>
          <w:rFonts w:hint="eastAsia" w:ascii="宋体" w:hAnsi="宋体"/>
          <w:sz w:val="30"/>
          <w:szCs w:val="30"/>
        </w:rPr>
        <w:t>承包人应按照已被批准的第</w:t>
      </w:r>
      <w:r>
        <w:rPr>
          <w:rFonts w:ascii="宋体" w:hAnsi="宋体"/>
          <w:sz w:val="30"/>
          <w:szCs w:val="30"/>
        </w:rPr>
        <w:t>8.4</w:t>
      </w:r>
      <w:r>
        <w:rPr>
          <w:rFonts w:hint="eastAsia" w:ascii="宋体" w:hAnsi="宋体"/>
          <w:sz w:val="30"/>
          <w:szCs w:val="30"/>
        </w:rPr>
        <w:t>款[项目进度计划]规定的数量要求及时间要求，负责组织材料和工程设备采购（包括备品备件、专用工具及厂商提供的技术文件），负责运抵现场。合同约定由承包人采购的材料、工程设备，除专用合同条件另有约定外，发包人不得指定生产厂家或供应商，发包人违反本款约定指定生产厂家或供应商的，承包人有权拒绝，并由发包人承担相应责任。</w:t>
      </w:r>
    </w:p>
    <w:p w14:paraId="6A0CFCB6">
      <w:pPr>
        <w:ind w:firstLine="600"/>
        <w:rPr>
          <w:rFonts w:ascii="宋体" w:hAnsi="宋体"/>
          <w:sz w:val="30"/>
          <w:szCs w:val="30"/>
        </w:rPr>
      </w:pPr>
      <w:r>
        <w:rPr>
          <w:rFonts w:hint="eastAsia" w:ascii="宋体" w:hAnsi="宋体"/>
          <w:sz w:val="30"/>
          <w:szCs w:val="30"/>
        </w:rPr>
        <w:t>对承包人提供的材料和工程设备，承包人应会同工程师进行检验和交货验收，查验材料合格证明和产品合格证书，并按合同约定和工程师指示，进行材料的抽样检验和工程设备的检验测试，检验和测试结果应提交工程师，所需费用由承包人承担。</w:t>
      </w:r>
    </w:p>
    <w:p w14:paraId="07BBE6DF">
      <w:pPr>
        <w:ind w:firstLine="600"/>
        <w:rPr>
          <w:rFonts w:ascii="宋体" w:hAnsi="宋体"/>
          <w:sz w:val="30"/>
          <w:szCs w:val="30"/>
        </w:rPr>
      </w:pPr>
      <w:r>
        <w:rPr>
          <w:rFonts w:hint="eastAsia" w:ascii="宋体" w:hAnsi="宋体"/>
          <w:sz w:val="30"/>
          <w:szCs w:val="30"/>
        </w:rPr>
        <w:t>因承包人提供的材料和工程设备不符合国家强制性标准、规范的规定或合同约定的标准、规范，所造成的质量缺陷，由承包人自费修复，竣工日期不予延长。在履行合同过程中，由于国家新颁布的强制性标准、规范，造成承包人负责提供的材料和工程设备，虽符合合同约定的标准，但不符合新颁布的强制性标准时，由承包人负责修复或重新订货，相关费用支出及导致的工期延长由发包人负责。</w:t>
      </w:r>
    </w:p>
    <w:p w14:paraId="0ED567AB">
      <w:pPr>
        <w:pStyle w:val="994"/>
        <w:numPr>
          <w:ilvl w:val="0"/>
          <w:numId w:val="0"/>
        </w:numPr>
        <w:rPr>
          <w:sz w:val="30"/>
          <w:szCs w:val="30"/>
        </w:rPr>
      </w:pPr>
      <w:bookmarkStart w:id="253" w:name="_Ref531953991"/>
      <w:bookmarkStart w:id="254" w:name="_Ref531953999"/>
      <w:r>
        <w:rPr>
          <w:rFonts w:hint="eastAsia"/>
          <w:sz w:val="30"/>
          <w:szCs w:val="30"/>
        </w:rPr>
        <w:t>6</w:t>
      </w:r>
      <w:r>
        <w:rPr>
          <w:sz w:val="30"/>
          <w:szCs w:val="30"/>
        </w:rPr>
        <w:t xml:space="preserve">.2.3 </w:t>
      </w:r>
      <w:r>
        <w:rPr>
          <w:rFonts w:hint="eastAsia"/>
          <w:sz w:val="30"/>
          <w:szCs w:val="30"/>
        </w:rPr>
        <w:t>材料和工程设备的保管</w:t>
      </w:r>
      <w:bookmarkEnd w:id="253"/>
      <w:bookmarkEnd w:id="254"/>
      <w:r>
        <w:rPr>
          <w:rFonts w:hint="eastAsia"/>
          <w:sz w:val="30"/>
          <w:szCs w:val="30"/>
        </w:rPr>
        <w:t xml:space="preserve"> </w:t>
      </w:r>
    </w:p>
    <w:p w14:paraId="75926B92">
      <w:pPr>
        <w:ind w:firstLine="600"/>
        <w:rPr>
          <w:rFonts w:ascii="宋体" w:hAnsi="宋体"/>
          <w:sz w:val="30"/>
          <w:szCs w:val="30"/>
        </w:rPr>
      </w:pPr>
      <w:r>
        <w:rPr>
          <w:rFonts w:hint="eastAsia" w:ascii="宋体" w:hAnsi="宋体"/>
          <w:sz w:val="30"/>
          <w:szCs w:val="30"/>
        </w:rPr>
        <w:t>（1） 发包人供应材料与工程设备的保管与使用</w:t>
      </w:r>
    </w:p>
    <w:p w14:paraId="5B88A908">
      <w:pPr>
        <w:ind w:firstLine="600"/>
        <w:rPr>
          <w:rFonts w:ascii="宋体" w:hAnsi="宋体"/>
          <w:sz w:val="30"/>
          <w:szCs w:val="30"/>
        </w:rPr>
      </w:pPr>
      <w:r>
        <w:rPr>
          <w:rFonts w:hint="eastAsia" w:ascii="宋体" w:hAnsi="宋体"/>
          <w:sz w:val="30"/>
          <w:szCs w:val="30"/>
        </w:rPr>
        <w:t>发包人供应的材料和工程设备，承包人清点并接收后由承包人妥善保管，保管费用由承包人承担，但专用合同条件另有约定除外。因承包人原因发生丢失毁损的，由承包人负责赔偿。</w:t>
      </w:r>
    </w:p>
    <w:p w14:paraId="3985C078">
      <w:pPr>
        <w:ind w:firstLine="600"/>
        <w:rPr>
          <w:rFonts w:ascii="宋体" w:hAnsi="宋体"/>
          <w:sz w:val="30"/>
          <w:szCs w:val="30"/>
        </w:rPr>
      </w:pPr>
      <w:r>
        <w:rPr>
          <w:rFonts w:hint="eastAsia" w:ascii="宋体" w:hAnsi="宋体"/>
          <w:sz w:val="30"/>
          <w:szCs w:val="30"/>
        </w:rPr>
        <w:t>发包人供应的材料和工程设备使用前，由承包人负责必要的检验，检验费用由发包人承担，不合格的不得使用。</w:t>
      </w:r>
    </w:p>
    <w:p w14:paraId="7A96F053">
      <w:pPr>
        <w:ind w:firstLine="600"/>
        <w:rPr>
          <w:rFonts w:ascii="宋体" w:hAnsi="宋体"/>
          <w:sz w:val="30"/>
          <w:szCs w:val="30"/>
        </w:rPr>
      </w:pPr>
      <w:r>
        <w:rPr>
          <w:rFonts w:hint="eastAsia" w:ascii="宋体" w:hAnsi="宋体"/>
          <w:sz w:val="30"/>
          <w:szCs w:val="30"/>
        </w:rPr>
        <w:t>（2） 承包人采购材料与工程设备的保管与使用</w:t>
      </w:r>
    </w:p>
    <w:p w14:paraId="02FD9779">
      <w:pPr>
        <w:ind w:firstLine="600"/>
        <w:rPr>
          <w:rFonts w:ascii="宋体" w:hAnsi="宋体"/>
          <w:sz w:val="30"/>
          <w:szCs w:val="30"/>
        </w:rPr>
      </w:pPr>
      <w:r>
        <w:rPr>
          <w:rFonts w:hint="eastAsia" w:ascii="宋体" w:hAnsi="宋体"/>
          <w:sz w:val="30"/>
          <w:szCs w:val="30"/>
        </w:rPr>
        <w:t>承包人采购的材料和工程设备由承包人妥善保管，保管费用由承包人承担。合同约定或法律规定材料和工程设备使用前必须进行检验或试验的，承包人应按工程师的指示进行检验或试验，检验或试验费用由承包人承担，不合格的不得使用。</w:t>
      </w:r>
    </w:p>
    <w:p w14:paraId="3445A924">
      <w:pPr>
        <w:ind w:firstLine="600"/>
        <w:rPr>
          <w:rFonts w:ascii="宋体" w:hAnsi="宋体"/>
          <w:sz w:val="30"/>
          <w:szCs w:val="30"/>
        </w:rPr>
      </w:pPr>
      <w:r>
        <w:rPr>
          <w:rFonts w:hint="eastAsia" w:ascii="宋体" w:hAnsi="宋体"/>
          <w:sz w:val="30"/>
          <w:szCs w:val="30"/>
        </w:rPr>
        <w:t>工程师发现承包人使用不符合设计或有关标准要求的材料和工程设备时，有权要求承包人进行修复、拆除或重新采购，由此增加的费用和（或）延误的工期，由承包人承担。</w:t>
      </w:r>
    </w:p>
    <w:p w14:paraId="72813F4A">
      <w:pPr>
        <w:pStyle w:val="994"/>
        <w:numPr>
          <w:ilvl w:val="0"/>
          <w:numId w:val="0"/>
        </w:numPr>
        <w:rPr>
          <w:sz w:val="30"/>
          <w:szCs w:val="30"/>
        </w:rPr>
      </w:pPr>
      <w:r>
        <w:rPr>
          <w:rFonts w:hint="eastAsia"/>
          <w:sz w:val="30"/>
          <w:szCs w:val="30"/>
        </w:rPr>
        <w:t>6</w:t>
      </w:r>
      <w:r>
        <w:rPr>
          <w:sz w:val="30"/>
          <w:szCs w:val="30"/>
        </w:rPr>
        <w:t xml:space="preserve">.2.4 </w:t>
      </w:r>
      <w:r>
        <w:rPr>
          <w:rFonts w:hint="eastAsia"/>
          <w:sz w:val="30"/>
          <w:szCs w:val="30"/>
        </w:rPr>
        <w:t>材料和工程设备的所有权</w:t>
      </w:r>
    </w:p>
    <w:p w14:paraId="212B3BFE">
      <w:pPr>
        <w:ind w:firstLine="600"/>
        <w:rPr>
          <w:rFonts w:ascii="宋体" w:hAnsi="宋体"/>
          <w:sz w:val="30"/>
          <w:szCs w:val="30"/>
        </w:rPr>
      </w:pPr>
      <w:r>
        <w:rPr>
          <w:rFonts w:hint="eastAsia" w:ascii="宋体" w:hAnsi="宋体"/>
          <w:sz w:val="30"/>
          <w:szCs w:val="30"/>
        </w:rPr>
        <w:t>除本合同另有约定外，承包人根据第</w:t>
      </w:r>
      <w:r>
        <w:rPr>
          <w:rFonts w:ascii="宋体" w:hAnsi="宋体"/>
          <w:sz w:val="30"/>
          <w:szCs w:val="30"/>
        </w:rPr>
        <w:t>6.2.2</w:t>
      </w:r>
      <w:r>
        <w:rPr>
          <w:rFonts w:hint="eastAsia" w:ascii="宋体" w:hAnsi="宋体"/>
          <w:sz w:val="30"/>
          <w:szCs w:val="30"/>
        </w:rPr>
        <w:t>项[承包人提供的材料和工程设备]约定提供的材料和工程设备后，材料及工程设备的价款应列入第1</w:t>
      </w:r>
      <w:r>
        <w:rPr>
          <w:rFonts w:ascii="宋体" w:hAnsi="宋体"/>
          <w:sz w:val="30"/>
          <w:szCs w:val="30"/>
        </w:rPr>
        <w:t>4.3.1</w:t>
      </w:r>
      <w:r>
        <w:rPr>
          <w:rFonts w:hint="eastAsia" w:ascii="宋体" w:hAnsi="宋体"/>
          <w:sz w:val="30"/>
          <w:szCs w:val="30"/>
        </w:rPr>
        <w:t>项第（2）目的进度款金额中，发包人支付当期进度款之后，其所有权转为发包人所有（周转性材料除外）；在发包人接收工程前，承包人有义务对材料和工程设备进行保管、维护和保养，未经发包人批准不得运出现场。</w:t>
      </w:r>
    </w:p>
    <w:p w14:paraId="3397906C">
      <w:pPr>
        <w:ind w:firstLine="600"/>
        <w:rPr>
          <w:rFonts w:ascii="宋体" w:hAnsi="宋体"/>
          <w:sz w:val="30"/>
          <w:szCs w:val="30"/>
        </w:rPr>
      </w:pPr>
      <w:r>
        <w:rPr>
          <w:rFonts w:hint="eastAsia" w:ascii="宋体" w:hAnsi="宋体"/>
          <w:sz w:val="30"/>
          <w:szCs w:val="30"/>
        </w:rPr>
        <w:t>承包人按第</w:t>
      </w:r>
      <w:r>
        <w:rPr>
          <w:rFonts w:ascii="宋体" w:hAnsi="宋体"/>
          <w:sz w:val="30"/>
          <w:szCs w:val="30"/>
        </w:rPr>
        <w:t>6.2.2项提供的材料和工程设备</w:t>
      </w:r>
      <w:r>
        <w:rPr>
          <w:rFonts w:hint="eastAsia" w:ascii="宋体" w:hAnsi="宋体"/>
          <w:sz w:val="30"/>
          <w:szCs w:val="30"/>
        </w:rPr>
        <w:t>，承包人应确保发包人取得无权利负担的材料及工程设备所有权，因承包人与第三人的物权争议导致的增加的费用和（或）延误的工期，由承包人承担。</w:t>
      </w:r>
    </w:p>
    <w:p w14:paraId="095781C4">
      <w:pPr>
        <w:pStyle w:val="969"/>
        <w:widowControl/>
        <w:numPr>
          <w:ilvl w:val="0"/>
          <w:numId w:val="0"/>
        </w:numPr>
        <w:rPr>
          <w:rFonts w:ascii="宋体" w:hAnsi="宋体" w:eastAsia="宋体"/>
          <w:b w:val="0"/>
          <w:bCs/>
          <w:sz w:val="30"/>
          <w:szCs w:val="30"/>
        </w:rPr>
      </w:pPr>
      <w:bookmarkStart w:id="255" w:name="_Toc54862231"/>
      <w:bookmarkStart w:id="256" w:name="_Ref4428239"/>
      <w:bookmarkStart w:id="257" w:name="_Toc351203565"/>
      <w:bookmarkStart w:id="258" w:name="_Toc337558785"/>
      <w:r>
        <w:rPr>
          <w:rFonts w:hint="eastAsia" w:ascii="宋体" w:hAnsi="宋体" w:eastAsia="宋体"/>
          <w:b w:val="0"/>
          <w:bCs/>
          <w:sz w:val="30"/>
          <w:szCs w:val="30"/>
        </w:rPr>
        <w:t>6</w:t>
      </w:r>
      <w:r>
        <w:rPr>
          <w:rFonts w:ascii="宋体" w:hAnsi="宋体" w:eastAsia="宋体"/>
          <w:b w:val="0"/>
          <w:bCs/>
          <w:sz w:val="30"/>
          <w:szCs w:val="30"/>
        </w:rPr>
        <w:t xml:space="preserve">.3 </w:t>
      </w:r>
      <w:r>
        <w:rPr>
          <w:rFonts w:hint="eastAsia" w:ascii="宋体" w:hAnsi="宋体" w:eastAsia="宋体"/>
          <w:b w:val="0"/>
          <w:bCs/>
          <w:sz w:val="30"/>
          <w:szCs w:val="30"/>
        </w:rPr>
        <w:t>样品</w:t>
      </w:r>
      <w:bookmarkEnd w:id="255"/>
      <w:bookmarkEnd w:id="256"/>
    </w:p>
    <w:p w14:paraId="4B5DC3C8">
      <w:pPr>
        <w:pStyle w:val="994"/>
        <w:numPr>
          <w:ilvl w:val="0"/>
          <w:numId w:val="0"/>
        </w:numPr>
        <w:rPr>
          <w:sz w:val="30"/>
          <w:szCs w:val="30"/>
        </w:rPr>
      </w:pPr>
      <w:r>
        <w:rPr>
          <w:rFonts w:hint="eastAsia"/>
          <w:sz w:val="30"/>
          <w:szCs w:val="30"/>
        </w:rPr>
        <w:t>6</w:t>
      </w:r>
      <w:r>
        <w:rPr>
          <w:sz w:val="30"/>
          <w:szCs w:val="30"/>
        </w:rPr>
        <w:t xml:space="preserve">.3.1 </w:t>
      </w:r>
      <w:r>
        <w:rPr>
          <w:rFonts w:hint="eastAsia"/>
          <w:sz w:val="30"/>
          <w:szCs w:val="30"/>
        </w:rPr>
        <w:t>样品的报送与封存</w:t>
      </w:r>
    </w:p>
    <w:p w14:paraId="59A0627C">
      <w:pPr>
        <w:ind w:firstLine="600"/>
        <w:rPr>
          <w:rFonts w:ascii="宋体" w:hAnsi="宋体"/>
          <w:color w:val="000000"/>
          <w:sz w:val="30"/>
          <w:szCs w:val="30"/>
        </w:rPr>
      </w:pPr>
      <w:r>
        <w:rPr>
          <w:rFonts w:hint="eastAsia" w:ascii="宋体" w:hAnsi="宋体"/>
          <w:sz w:val="30"/>
          <w:szCs w:val="30"/>
        </w:rPr>
        <w:t>需要承包人报送样品的材料或工程设备，样品的种类、名称、规格、数量等要求均应在专用合同条件中约定。样品的报送程序如下：</w:t>
      </w:r>
    </w:p>
    <w:p w14:paraId="49844BF3">
      <w:pPr>
        <w:ind w:firstLine="600"/>
        <w:rPr>
          <w:rFonts w:ascii="宋体" w:hAnsi="宋体"/>
          <w:sz w:val="30"/>
          <w:szCs w:val="30"/>
        </w:rPr>
      </w:pPr>
      <w:r>
        <w:rPr>
          <w:rFonts w:hint="eastAsia" w:ascii="宋体" w:hAnsi="宋体"/>
          <w:sz w:val="30"/>
          <w:szCs w:val="30"/>
        </w:rPr>
        <w:t>（1） 承包人应在计划采购前28天向工程师报送样品。承包人报送的样品均应来自供应材料的实际生产地，且提供的样品的规格、数量足以表明材料或工程设备的质量、型号、颜色、表面处理、质地、误差和其他要求的特征。</w:t>
      </w:r>
    </w:p>
    <w:p w14:paraId="4BCAA372">
      <w:pPr>
        <w:ind w:firstLine="600"/>
        <w:rPr>
          <w:rFonts w:ascii="宋体" w:hAnsi="宋体"/>
          <w:sz w:val="30"/>
          <w:szCs w:val="30"/>
        </w:rPr>
      </w:pPr>
      <w:r>
        <w:rPr>
          <w:rFonts w:hint="eastAsia" w:ascii="宋体" w:hAnsi="宋体"/>
          <w:sz w:val="30"/>
          <w:szCs w:val="30"/>
        </w:rPr>
        <w:t>（2） 承包人每次报送样品时应随附申报单，申报单应载明报送样品的相关数据和资料，并标明每件样品对应的图纸号，预留工程师审批意见栏。工程师应在收到承包人报送的样品后7天向承包人回复经发包人签认的样品审批意见。</w:t>
      </w:r>
    </w:p>
    <w:p w14:paraId="79B12426">
      <w:pPr>
        <w:ind w:firstLine="600"/>
        <w:rPr>
          <w:rFonts w:ascii="宋体" w:hAnsi="宋体"/>
          <w:sz w:val="30"/>
          <w:szCs w:val="30"/>
        </w:rPr>
      </w:pPr>
      <w:r>
        <w:rPr>
          <w:rFonts w:hint="eastAsia" w:ascii="宋体" w:hAnsi="宋体"/>
          <w:sz w:val="30"/>
          <w:szCs w:val="30"/>
        </w:rPr>
        <w:t>（3） 经工程师审批确认的样品应按约定的方法封样，封存的样品作为检验工程相关部分的标准之一。承包人在施工过程中不得使用与样品不符的材料或工程设备。</w:t>
      </w:r>
    </w:p>
    <w:p w14:paraId="6B356F30">
      <w:pPr>
        <w:ind w:firstLine="600"/>
        <w:rPr>
          <w:rFonts w:ascii="宋体" w:hAnsi="宋体"/>
          <w:sz w:val="30"/>
          <w:szCs w:val="30"/>
        </w:rPr>
      </w:pPr>
      <w:r>
        <w:rPr>
          <w:rFonts w:hint="eastAsia" w:ascii="宋体" w:hAnsi="宋体"/>
          <w:sz w:val="30"/>
          <w:szCs w:val="30"/>
        </w:rPr>
        <w:t>（4） 工程师对样品的审批确认仅为确认相关材料或工程设备的特征或用途，不得被理解为对合同的修改或改变，也并不减轻或免除承包人任何的责任和义务。如果封存的样品修改或改变了合同约定，合同当事人应当以书面协议予以确认。</w:t>
      </w:r>
    </w:p>
    <w:p w14:paraId="094C6757">
      <w:pPr>
        <w:pStyle w:val="994"/>
        <w:numPr>
          <w:ilvl w:val="0"/>
          <w:numId w:val="0"/>
        </w:numPr>
        <w:rPr>
          <w:sz w:val="30"/>
          <w:szCs w:val="30"/>
        </w:rPr>
      </w:pPr>
      <w:r>
        <w:rPr>
          <w:rFonts w:hint="eastAsia"/>
          <w:sz w:val="30"/>
          <w:szCs w:val="30"/>
        </w:rPr>
        <w:t>6</w:t>
      </w:r>
      <w:r>
        <w:rPr>
          <w:sz w:val="30"/>
          <w:szCs w:val="30"/>
        </w:rPr>
        <w:t xml:space="preserve">.3.2 </w:t>
      </w:r>
      <w:r>
        <w:rPr>
          <w:rFonts w:hint="eastAsia"/>
          <w:sz w:val="30"/>
          <w:szCs w:val="30"/>
        </w:rPr>
        <w:t>样品的保管</w:t>
      </w:r>
    </w:p>
    <w:p w14:paraId="150027AE">
      <w:pPr>
        <w:ind w:firstLine="600"/>
        <w:rPr>
          <w:rFonts w:ascii="宋体" w:hAnsi="宋体"/>
          <w:sz w:val="30"/>
          <w:szCs w:val="30"/>
        </w:rPr>
      </w:pPr>
      <w:r>
        <w:rPr>
          <w:rFonts w:hint="eastAsia" w:ascii="宋体" w:hAnsi="宋体"/>
          <w:sz w:val="30"/>
          <w:szCs w:val="30"/>
        </w:rPr>
        <w:t>经批准的样品应由工程师负责封存于现场，承包人应在现场为保存样品提供适当和固定的场所并保持适当和良好的存储环境条件。</w:t>
      </w:r>
    </w:p>
    <w:p w14:paraId="6FC66D65">
      <w:pPr>
        <w:pStyle w:val="969"/>
        <w:widowControl/>
        <w:numPr>
          <w:ilvl w:val="0"/>
          <w:numId w:val="0"/>
        </w:numPr>
        <w:rPr>
          <w:rFonts w:ascii="宋体" w:hAnsi="宋体" w:eastAsia="宋体"/>
          <w:b w:val="0"/>
          <w:bCs/>
          <w:sz w:val="30"/>
          <w:szCs w:val="30"/>
        </w:rPr>
      </w:pPr>
      <w:bookmarkStart w:id="259" w:name="_Ref11959204"/>
      <w:bookmarkStart w:id="260" w:name="_Toc54862232"/>
      <w:bookmarkStart w:id="261" w:name="_Ref11959210"/>
      <w:r>
        <w:rPr>
          <w:rFonts w:hint="eastAsia" w:ascii="宋体" w:hAnsi="宋体" w:eastAsia="宋体"/>
          <w:b w:val="0"/>
          <w:bCs/>
          <w:sz w:val="30"/>
          <w:szCs w:val="30"/>
        </w:rPr>
        <w:t>6</w:t>
      </w:r>
      <w:r>
        <w:rPr>
          <w:rFonts w:ascii="宋体" w:hAnsi="宋体" w:eastAsia="宋体"/>
          <w:b w:val="0"/>
          <w:bCs/>
          <w:sz w:val="30"/>
          <w:szCs w:val="30"/>
        </w:rPr>
        <w:t xml:space="preserve">.4 </w:t>
      </w:r>
      <w:r>
        <w:rPr>
          <w:rFonts w:hint="eastAsia" w:ascii="宋体" w:hAnsi="宋体" w:eastAsia="宋体"/>
          <w:b w:val="0"/>
          <w:bCs/>
          <w:sz w:val="30"/>
          <w:szCs w:val="30"/>
        </w:rPr>
        <w:t>质量检查</w:t>
      </w:r>
      <w:bookmarkEnd w:id="259"/>
      <w:bookmarkEnd w:id="260"/>
      <w:bookmarkEnd w:id="261"/>
    </w:p>
    <w:p w14:paraId="38565059">
      <w:pPr>
        <w:pStyle w:val="994"/>
        <w:numPr>
          <w:ilvl w:val="0"/>
          <w:numId w:val="0"/>
        </w:numPr>
        <w:rPr>
          <w:sz w:val="30"/>
          <w:szCs w:val="30"/>
        </w:rPr>
      </w:pPr>
      <w:bookmarkStart w:id="262" w:name="_Ref18990699"/>
      <w:r>
        <w:rPr>
          <w:rFonts w:hint="eastAsia"/>
          <w:sz w:val="30"/>
          <w:szCs w:val="30"/>
        </w:rPr>
        <w:t>6</w:t>
      </w:r>
      <w:r>
        <w:rPr>
          <w:sz w:val="30"/>
          <w:szCs w:val="30"/>
        </w:rPr>
        <w:t xml:space="preserve">.4.1 </w:t>
      </w:r>
      <w:r>
        <w:rPr>
          <w:rFonts w:hint="eastAsia"/>
          <w:sz w:val="30"/>
          <w:szCs w:val="30"/>
        </w:rPr>
        <w:t>工程质量要求</w:t>
      </w:r>
      <w:bookmarkEnd w:id="262"/>
    </w:p>
    <w:p w14:paraId="710D3AC3">
      <w:pPr>
        <w:ind w:firstLine="600"/>
        <w:rPr>
          <w:rFonts w:ascii="宋体" w:hAnsi="宋体"/>
          <w:sz w:val="30"/>
          <w:szCs w:val="30"/>
        </w:rPr>
      </w:pPr>
      <w:r>
        <w:rPr>
          <w:rFonts w:hint="eastAsia" w:ascii="宋体" w:hAnsi="宋体"/>
          <w:sz w:val="30"/>
          <w:szCs w:val="30"/>
        </w:rPr>
        <w:t>工程质量标准必须符合现行国家有关工程施工质量验收规范和标准的要求。有关工程质量的特殊标准或要求由合同当事人在专用合同条件中约定。</w:t>
      </w:r>
    </w:p>
    <w:p w14:paraId="727736CF">
      <w:pPr>
        <w:ind w:firstLine="600"/>
        <w:rPr>
          <w:rFonts w:ascii="宋体" w:hAnsi="宋体"/>
          <w:sz w:val="30"/>
          <w:szCs w:val="30"/>
        </w:rPr>
      </w:pPr>
      <w:r>
        <w:rPr>
          <w:rFonts w:hint="eastAsia" w:ascii="宋体" w:hAnsi="宋体"/>
          <w:sz w:val="30"/>
          <w:szCs w:val="30"/>
        </w:rPr>
        <w:t>因承包人原因造成工程质量未达到合同约定标准的，发包人有权要求承包人返工直至工程质量达到合同约定的标准为止，并由承包人承担由此增加的费用和（或）延误的工期。因发包人原因造成工程质量未达到合同约定标准的，由发包人承担由此增加的费用和（或）延误的工期，并支付承包人合理的利润。</w:t>
      </w:r>
    </w:p>
    <w:p w14:paraId="70716207">
      <w:pPr>
        <w:pStyle w:val="994"/>
        <w:numPr>
          <w:ilvl w:val="0"/>
          <w:numId w:val="0"/>
        </w:numPr>
        <w:rPr>
          <w:sz w:val="30"/>
          <w:szCs w:val="30"/>
        </w:rPr>
      </w:pPr>
      <w:bookmarkStart w:id="263" w:name="_Ref18990717"/>
      <w:r>
        <w:rPr>
          <w:rFonts w:hint="eastAsia"/>
          <w:sz w:val="30"/>
          <w:szCs w:val="30"/>
        </w:rPr>
        <w:t>6</w:t>
      </w:r>
      <w:r>
        <w:rPr>
          <w:sz w:val="30"/>
          <w:szCs w:val="30"/>
        </w:rPr>
        <w:t xml:space="preserve">.4.2 </w:t>
      </w:r>
      <w:r>
        <w:rPr>
          <w:rFonts w:hint="eastAsia"/>
          <w:sz w:val="30"/>
          <w:szCs w:val="30"/>
        </w:rPr>
        <w:t>质量检查</w:t>
      </w:r>
      <w:bookmarkEnd w:id="263"/>
    </w:p>
    <w:p w14:paraId="31F514E9">
      <w:pPr>
        <w:ind w:firstLine="600"/>
        <w:rPr>
          <w:rFonts w:ascii="宋体" w:hAnsi="宋体"/>
          <w:sz w:val="30"/>
          <w:szCs w:val="30"/>
        </w:rPr>
      </w:pPr>
      <w:r>
        <w:rPr>
          <w:rFonts w:hint="eastAsia" w:ascii="宋体" w:hAnsi="宋体"/>
          <w:sz w:val="30"/>
          <w:szCs w:val="30"/>
        </w:rPr>
        <w:t>发包人有权通过工程师或自行对全部工程内容及其施工工艺、材料和工程设备进行检查和检验。承包人应为工程师或发包人的检查和检验提供方便，包括到施工现场，或制造、加工地点，或专用合同条件约定的其他地方进行察看和查阅施工原始记录。承包人还应按工程师或发包人指示，进行施工现场的取样试验，工程复核测量和设备性能检测，提供试验样品、提交试验报告和测量成果以及工程师或发包人指示进行的其他工作。工程师或发包人的检查和检验，不免除承包人按合同约定应负的责任。</w:t>
      </w:r>
    </w:p>
    <w:p w14:paraId="7417EE12">
      <w:pPr>
        <w:pStyle w:val="994"/>
        <w:numPr>
          <w:ilvl w:val="0"/>
          <w:numId w:val="0"/>
        </w:numPr>
        <w:rPr>
          <w:sz w:val="30"/>
          <w:szCs w:val="30"/>
        </w:rPr>
      </w:pPr>
      <w:bookmarkStart w:id="264" w:name="_Ref11959222"/>
      <w:r>
        <w:rPr>
          <w:rFonts w:hint="eastAsia"/>
          <w:sz w:val="30"/>
          <w:szCs w:val="30"/>
        </w:rPr>
        <w:t>6</w:t>
      </w:r>
      <w:r>
        <w:rPr>
          <w:sz w:val="30"/>
          <w:szCs w:val="30"/>
        </w:rPr>
        <w:t xml:space="preserve">.4.3 </w:t>
      </w:r>
      <w:r>
        <w:rPr>
          <w:rFonts w:hint="eastAsia"/>
          <w:sz w:val="30"/>
          <w:szCs w:val="30"/>
        </w:rPr>
        <w:t>隐蔽工程检查</w:t>
      </w:r>
      <w:bookmarkEnd w:id="264"/>
    </w:p>
    <w:p w14:paraId="47AF25D8">
      <w:pPr>
        <w:ind w:firstLine="600"/>
        <w:rPr>
          <w:rFonts w:ascii="宋体" w:hAnsi="宋体"/>
          <w:sz w:val="30"/>
          <w:szCs w:val="30"/>
        </w:rPr>
      </w:pPr>
      <w:r>
        <w:rPr>
          <w:rFonts w:hint="eastAsia" w:ascii="宋体" w:hAnsi="宋体"/>
          <w:sz w:val="30"/>
          <w:szCs w:val="30"/>
        </w:rPr>
        <w:t>除专用合同条件另有约定外，工程隐蔽部位经承包人自检确认具备覆盖条件的，承包人应书面通知工程师在约定的期限内检查，通知中应载明隐蔽检查的内容、时间和地点，并应附有自检记录和必要的检查资料。</w:t>
      </w:r>
    </w:p>
    <w:p w14:paraId="234EF1F0">
      <w:pPr>
        <w:ind w:firstLine="600"/>
        <w:rPr>
          <w:rFonts w:ascii="宋体" w:hAnsi="宋体"/>
          <w:sz w:val="30"/>
          <w:szCs w:val="30"/>
        </w:rPr>
      </w:pPr>
      <w:r>
        <w:rPr>
          <w:rFonts w:hint="eastAsia" w:ascii="宋体" w:hAnsi="宋体"/>
          <w:sz w:val="30"/>
          <w:szCs w:val="30"/>
        </w:rPr>
        <w:t>工程师应按时到场并对隐蔽工程及其施工工艺、材料和工程设备进行检查。经工程师检查确认质量符合隐蔽要求，并在验收记录上签字后，承包人才能进行覆盖。经工程师检查质量不合格的，承包人应在工程师指示的时间内完成修复，并由工程师重新检查，由此增加的费用和（或）延误的工期由承包人承担。</w:t>
      </w:r>
    </w:p>
    <w:p w14:paraId="01E7F787">
      <w:pPr>
        <w:ind w:firstLine="600"/>
        <w:rPr>
          <w:rFonts w:ascii="宋体" w:hAnsi="宋体"/>
          <w:sz w:val="30"/>
          <w:szCs w:val="30"/>
        </w:rPr>
      </w:pPr>
      <w:r>
        <w:rPr>
          <w:rFonts w:hint="eastAsia" w:ascii="宋体" w:hAnsi="宋体"/>
          <w:sz w:val="30"/>
          <w:szCs w:val="30"/>
        </w:rPr>
        <w:t>除专用合同条件另有约定外，工程师不能按时进行检查的，应提前向承包人提交书面延期要求，顺延时间不得超过</w:t>
      </w:r>
      <w:r>
        <w:rPr>
          <w:rFonts w:ascii="宋体" w:hAnsi="宋体"/>
          <w:sz w:val="30"/>
          <w:szCs w:val="30"/>
        </w:rPr>
        <w:t>48小时，</w:t>
      </w:r>
      <w:r>
        <w:rPr>
          <w:rFonts w:hint="eastAsia" w:ascii="宋体" w:hAnsi="宋体"/>
          <w:sz w:val="30"/>
          <w:szCs w:val="30"/>
        </w:rPr>
        <w:t>由此导致工期延误的，工期应予以顺延，顺延超过</w:t>
      </w:r>
      <w:r>
        <w:rPr>
          <w:rFonts w:ascii="宋体" w:hAnsi="宋体"/>
          <w:sz w:val="30"/>
          <w:szCs w:val="30"/>
        </w:rPr>
        <w:t>48小时的，由此导致的工期延误及费用增加由发包人承担</w:t>
      </w:r>
      <w:r>
        <w:rPr>
          <w:rFonts w:hint="eastAsia" w:ascii="宋体" w:hAnsi="宋体"/>
          <w:sz w:val="30"/>
          <w:szCs w:val="30"/>
        </w:rPr>
        <w:t>。工程师未按时进行检查，也未提出延期要求的，视为隐蔽工程检查合格，承包人可自行完成覆盖工作，并作相应记录报送工程师，工程师应签字确认。工程师事后对检查记录有疑问的，可按下列约定重新检查。</w:t>
      </w:r>
    </w:p>
    <w:p w14:paraId="77EC31AD">
      <w:pPr>
        <w:ind w:firstLine="600"/>
        <w:rPr>
          <w:rFonts w:ascii="宋体" w:hAnsi="宋体"/>
          <w:sz w:val="30"/>
          <w:szCs w:val="30"/>
        </w:rPr>
      </w:pPr>
      <w:r>
        <w:rPr>
          <w:rFonts w:hint="eastAsia" w:ascii="宋体" w:hAnsi="宋体"/>
          <w:sz w:val="30"/>
          <w:szCs w:val="30"/>
        </w:rPr>
        <w:t>承包人覆盖工程隐蔽部位后，工程师对质量有疑问的，可要求承包人对已覆盖的部位进行钻孔探测或揭开重新检查，承包人应遵照执行，并在检查后重新覆盖恢复原状。经检查证明工程质量符合合同要求的，由发包人承担由此增加的费用和（或）延误的工期，并支付承包人合理的利润；经检查证明工程质量不符合合同要求的，由此增加的费用和（或）延误的工期由承包人承担。</w:t>
      </w:r>
    </w:p>
    <w:p w14:paraId="7E76D3FC">
      <w:pPr>
        <w:ind w:firstLine="600"/>
        <w:rPr>
          <w:rFonts w:ascii="宋体" w:hAnsi="宋体"/>
          <w:sz w:val="30"/>
          <w:szCs w:val="30"/>
        </w:rPr>
      </w:pPr>
      <w:r>
        <w:rPr>
          <w:rFonts w:hint="eastAsia" w:ascii="宋体" w:hAnsi="宋体"/>
          <w:sz w:val="30"/>
          <w:szCs w:val="30"/>
        </w:rPr>
        <w:t>承包人未通知工程师到场检查，私自将工程隐蔽部位覆盖的，工程师有权指示承包人钻孔探测或揭开检查，无论工程隐蔽部位质量是否合格，由此增加的费用和（或）延误的工期均由承包人承担。</w:t>
      </w:r>
    </w:p>
    <w:bookmarkEnd w:id="257"/>
    <w:p w14:paraId="64CD068A">
      <w:pPr>
        <w:pStyle w:val="969"/>
        <w:widowControl/>
        <w:numPr>
          <w:ilvl w:val="0"/>
          <w:numId w:val="0"/>
        </w:numPr>
        <w:rPr>
          <w:rFonts w:ascii="宋体" w:hAnsi="宋体" w:eastAsia="宋体"/>
          <w:b w:val="0"/>
          <w:bCs/>
          <w:sz w:val="30"/>
          <w:szCs w:val="30"/>
        </w:rPr>
      </w:pPr>
      <w:bookmarkStart w:id="265" w:name="_Ref11927398"/>
      <w:bookmarkStart w:id="266" w:name="_Ref11927403"/>
      <w:bookmarkStart w:id="267" w:name="_Ref11927389"/>
      <w:bookmarkStart w:id="268" w:name="_Ref11959158"/>
      <w:bookmarkStart w:id="269" w:name="_Ref11959175"/>
      <w:bookmarkStart w:id="270" w:name="_Toc54862233"/>
      <w:r>
        <w:rPr>
          <w:rFonts w:hint="eastAsia" w:ascii="宋体" w:hAnsi="宋体" w:eastAsia="宋体"/>
          <w:b w:val="0"/>
          <w:bCs/>
          <w:sz w:val="30"/>
          <w:szCs w:val="30"/>
        </w:rPr>
        <w:t>6</w:t>
      </w:r>
      <w:r>
        <w:rPr>
          <w:rFonts w:ascii="宋体" w:hAnsi="宋体" w:eastAsia="宋体"/>
          <w:b w:val="0"/>
          <w:bCs/>
          <w:sz w:val="30"/>
          <w:szCs w:val="30"/>
        </w:rPr>
        <w:t xml:space="preserve">.5 </w:t>
      </w:r>
      <w:r>
        <w:rPr>
          <w:rFonts w:hint="eastAsia" w:ascii="宋体" w:hAnsi="宋体" w:eastAsia="宋体"/>
          <w:b w:val="0"/>
          <w:bCs/>
          <w:sz w:val="30"/>
          <w:szCs w:val="30"/>
        </w:rPr>
        <w:t>由承包人试验</w:t>
      </w:r>
      <w:bookmarkEnd w:id="265"/>
      <w:bookmarkEnd w:id="266"/>
      <w:bookmarkEnd w:id="267"/>
      <w:r>
        <w:rPr>
          <w:rFonts w:hint="eastAsia" w:ascii="宋体" w:hAnsi="宋体" w:eastAsia="宋体"/>
          <w:b w:val="0"/>
          <w:bCs/>
          <w:sz w:val="30"/>
          <w:szCs w:val="30"/>
        </w:rPr>
        <w:t>和检验</w:t>
      </w:r>
      <w:bookmarkEnd w:id="268"/>
      <w:bookmarkEnd w:id="269"/>
      <w:bookmarkEnd w:id="270"/>
    </w:p>
    <w:bookmarkEnd w:id="258"/>
    <w:p w14:paraId="31CA9E4F">
      <w:pPr>
        <w:pStyle w:val="994"/>
        <w:numPr>
          <w:ilvl w:val="0"/>
          <w:numId w:val="0"/>
        </w:numPr>
        <w:rPr>
          <w:sz w:val="30"/>
          <w:szCs w:val="30"/>
        </w:rPr>
      </w:pPr>
      <w:r>
        <w:rPr>
          <w:rFonts w:hint="eastAsia"/>
          <w:sz w:val="30"/>
          <w:szCs w:val="30"/>
        </w:rPr>
        <w:t>6</w:t>
      </w:r>
      <w:r>
        <w:rPr>
          <w:sz w:val="30"/>
          <w:szCs w:val="30"/>
        </w:rPr>
        <w:t xml:space="preserve">.5.1 </w:t>
      </w:r>
      <w:r>
        <w:rPr>
          <w:rFonts w:hint="eastAsia"/>
          <w:sz w:val="30"/>
          <w:szCs w:val="30"/>
        </w:rPr>
        <w:t>试验设备与试验人员</w:t>
      </w:r>
    </w:p>
    <w:p w14:paraId="104B52ED">
      <w:pPr>
        <w:ind w:firstLine="600"/>
        <w:rPr>
          <w:rFonts w:ascii="宋体" w:hAnsi="宋体"/>
          <w:sz w:val="30"/>
          <w:szCs w:val="30"/>
        </w:rPr>
      </w:pPr>
      <w:r>
        <w:rPr>
          <w:rFonts w:hint="eastAsia" w:ascii="宋体" w:hAnsi="宋体"/>
          <w:sz w:val="30"/>
          <w:szCs w:val="30"/>
        </w:rPr>
        <w:t>（1） 承包人根据合同约定或工程师指示进行的现场材料试验，应由承包人提供试验场所、试验人员、试验设备以及其他必要的试验条件。工程师在必要时可以使用承包人提供的试验场所、试验设备以及其他试验条件，进行以工程质量检查为目的的材料复核试验，承包人应予以协助。</w:t>
      </w:r>
    </w:p>
    <w:p w14:paraId="74CB0ED0">
      <w:pPr>
        <w:ind w:firstLine="600"/>
        <w:rPr>
          <w:rFonts w:ascii="宋体" w:hAnsi="宋体"/>
          <w:sz w:val="30"/>
          <w:szCs w:val="30"/>
        </w:rPr>
      </w:pPr>
      <w:r>
        <w:rPr>
          <w:rFonts w:hint="eastAsia" w:ascii="宋体" w:hAnsi="宋体"/>
          <w:sz w:val="30"/>
          <w:szCs w:val="30"/>
        </w:rPr>
        <w:t>（2） 承包人应按专用合同条件约定的试验内容、时间和地点提供试验设备、取样装置、试验场所和试验条件，并向工程师提交相应进场计划表。</w:t>
      </w:r>
    </w:p>
    <w:p w14:paraId="34D9F999">
      <w:pPr>
        <w:ind w:firstLine="600"/>
        <w:rPr>
          <w:rFonts w:ascii="宋体" w:hAnsi="宋体"/>
          <w:sz w:val="30"/>
          <w:szCs w:val="30"/>
        </w:rPr>
      </w:pPr>
      <w:r>
        <w:rPr>
          <w:rFonts w:hint="eastAsia" w:ascii="宋体" w:hAnsi="宋体"/>
          <w:sz w:val="30"/>
          <w:szCs w:val="30"/>
        </w:rPr>
        <w:t>承包人配置的试验设备要符合相应试验规程的要求并经过具有资质的检测单位检测，且在正式使用该试验设备前，需要经过工程师与承包人共同校定。</w:t>
      </w:r>
    </w:p>
    <w:p w14:paraId="6A6EF85F">
      <w:pPr>
        <w:ind w:firstLine="600"/>
        <w:rPr>
          <w:rFonts w:ascii="宋体" w:hAnsi="宋体"/>
          <w:sz w:val="30"/>
          <w:szCs w:val="30"/>
        </w:rPr>
      </w:pPr>
      <w:r>
        <w:rPr>
          <w:rFonts w:hint="eastAsia" w:ascii="宋体" w:hAnsi="宋体"/>
          <w:sz w:val="30"/>
          <w:szCs w:val="30"/>
        </w:rPr>
        <w:t>（3） 承包人应向工程师提交试验人员的名单及其岗位、资格等证明资料，试验人员必须能够熟练进行相应的检测试验，承包人对试验人员的试验程序和试验结果的正确性负责。</w:t>
      </w:r>
    </w:p>
    <w:p w14:paraId="3B5F3979">
      <w:pPr>
        <w:pStyle w:val="994"/>
        <w:numPr>
          <w:ilvl w:val="0"/>
          <w:numId w:val="0"/>
        </w:numPr>
        <w:rPr>
          <w:sz w:val="30"/>
          <w:szCs w:val="30"/>
        </w:rPr>
      </w:pPr>
      <w:r>
        <w:rPr>
          <w:rFonts w:hint="eastAsia"/>
          <w:sz w:val="30"/>
          <w:szCs w:val="30"/>
        </w:rPr>
        <w:t>6</w:t>
      </w:r>
      <w:r>
        <w:rPr>
          <w:sz w:val="30"/>
          <w:szCs w:val="30"/>
        </w:rPr>
        <w:t xml:space="preserve">.5.2 </w:t>
      </w:r>
      <w:r>
        <w:rPr>
          <w:rFonts w:hint="eastAsia"/>
          <w:sz w:val="30"/>
          <w:szCs w:val="30"/>
        </w:rPr>
        <w:t>取样</w:t>
      </w:r>
    </w:p>
    <w:p w14:paraId="3E86D64A">
      <w:pPr>
        <w:ind w:firstLine="600"/>
        <w:rPr>
          <w:rFonts w:ascii="宋体" w:hAnsi="宋体"/>
          <w:sz w:val="30"/>
          <w:szCs w:val="30"/>
        </w:rPr>
      </w:pPr>
      <w:r>
        <w:rPr>
          <w:rFonts w:hint="eastAsia" w:ascii="宋体" w:hAnsi="宋体"/>
          <w:sz w:val="30"/>
          <w:szCs w:val="30"/>
        </w:rPr>
        <w:t>试验属于自检性质的，承包人可以单独取样。试验属于工程师抽检性质的，可由工程师取样，也可由承包人的试验人员在工程师的监督下取样。</w:t>
      </w:r>
    </w:p>
    <w:p w14:paraId="0A32B3C0">
      <w:pPr>
        <w:pStyle w:val="994"/>
        <w:numPr>
          <w:ilvl w:val="0"/>
          <w:numId w:val="0"/>
        </w:numPr>
        <w:rPr>
          <w:sz w:val="30"/>
          <w:szCs w:val="30"/>
        </w:rPr>
      </w:pPr>
      <w:r>
        <w:rPr>
          <w:rFonts w:hint="eastAsia"/>
          <w:sz w:val="30"/>
          <w:szCs w:val="30"/>
        </w:rPr>
        <w:t>6</w:t>
      </w:r>
      <w:r>
        <w:rPr>
          <w:sz w:val="30"/>
          <w:szCs w:val="30"/>
        </w:rPr>
        <w:t xml:space="preserve">.5.3 </w:t>
      </w:r>
      <w:r>
        <w:rPr>
          <w:rFonts w:hint="eastAsia"/>
          <w:sz w:val="30"/>
          <w:szCs w:val="30"/>
        </w:rPr>
        <w:t>材料、工程设备和工程的试验和检验</w:t>
      </w:r>
    </w:p>
    <w:p w14:paraId="34F2CE72">
      <w:pPr>
        <w:ind w:firstLine="600"/>
        <w:rPr>
          <w:rFonts w:ascii="宋体" w:hAnsi="宋体"/>
          <w:sz w:val="30"/>
          <w:szCs w:val="30"/>
        </w:rPr>
      </w:pPr>
      <w:r>
        <w:rPr>
          <w:rFonts w:hint="eastAsia" w:ascii="宋体" w:hAnsi="宋体"/>
          <w:sz w:val="30"/>
          <w:szCs w:val="30"/>
        </w:rPr>
        <w:t>（1） 承包人应按合同约定进行材料和工程设备的试验和检验，并为工程师对上述材料、工程设备和工程的质量检查提供必要的试验资料和原始记录。按合同约定应由工程师与承包人共同进行试验和检验的，由承包人负责提供必要的试验资料和原始记录。</w:t>
      </w:r>
    </w:p>
    <w:p w14:paraId="1625CF3A">
      <w:pPr>
        <w:ind w:firstLine="600"/>
        <w:rPr>
          <w:rFonts w:ascii="宋体" w:hAnsi="宋体"/>
          <w:sz w:val="30"/>
          <w:szCs w:val="30"/>
        </w:rPr>
      </w:pPr>
      <w:r>
        <w:rPr>
          <w:rFonts w:hint="eastAsia" w:ascii="宋体" w:hAnsi="宋体"/>
          <w:sz w:val="30"/>
          <w:szCs w:val="30"/>
        </w:rPr>
        <w:t>（2） 试验属于自检性质的，承包人可以单独进行试验。试验属于工程师抽检性质的，工程师可以单独进行试验，也可由承包人与工程师共同进行。承包人对由工程师单独进行的试验结果有异议的，可以申请重新共同进行试验。约定共同进行试验的，工程师未按照约定参加试验的，承包人可自行试验，并将试验结果报送工程师，工程师应承认该试验结果。</w:t>
      </w:r>
    </w:p>
    <w:p w14:paraId="63E67BF1">
      <w:pPr>
        <w:ind w:firstLine="600"/>
        <w:rPr>
          <w:rFonts w:ascii="宋体" w:hAnsi="宋体"/>
          <w:sz w:val="30"/>
          <w:szCs w:val="30"/>
        </w:rPr>
      </w:pPr>
      <w:r>
        <w:rPr>
          <w:rFonts w:hint="eastAsia" w:ascii="宋体" w:hAnsi="宋体"/>
          <w:sz w:val="30"/>
          <w:szCs w:val="30"/>
        </w:rPr>
        <w:t>（3） 工程师对承包人的试验和检验结果有异议的，或为查清承包人试验和检验成果的可靠性要求承包人重新试验和检验的，可由工程师与承包人共同进行。重新试验和检验的结果证明该项材料、工程设备或工程的质量不符合合同要求的，由此增加的费用和（或）延误的工期由承包人承担；重新试验和检验结果证明该项材料、工程设备和工程符合合同要求的，由此增加的费用和（或）延误的工期由发包人承担。</w:t>
      </w:r>
    </w:p>
    <w:p w14:paraId="7B176BB7">
      <w:pPr>
        <w:pStyle w:val="994"/>
        <w:numPr>
          <w:ilvl w:val="0"/>
          <w:numId w:val="0"/>
        </w:numPr>
        <w:rPr>
          <w:sz w:val="30"/>
          <w:szCs w:val="30"/>
        </w:rPr>
      </w:pPr>
      <w:bookmarkStart w:id="271" w:name="_Toc351203566"/>
      <w:bookmarkStart w:id="272" w:name="_Toc337558786"/>
      <w:r>
        <w:rPr>
          <w:rFonts w:hint="eastAsia"/>
          <w:sz w:val="30"/>
          <w:szCs w:val="30"/>
        </w:rPr>
        <w:t>6</w:t>
      </w:r>
      <w:r>
        <w:rPr>
          <w:sz w:val="30"/>
          <w:szCs w:val="30"/>
        </w:rPr>
        <w:t xml:space="preserve">.5.4 </w:t>
      </w:r>
      <w:r>
        <w:rPr>
          <w:rFonts w:hint="eastAsia"/>
          <w:sz w:val="30"/>
          <w:szCs w:val="30"/>
        </w:rPr>
        <w:t>现场工艺试验</w:t>
      </w:r>
      <w:bookmarkEnd w:id="271"/>
    </w:p>
    <w:bookmarkEnd w:id="272"/>
    <w:p w14:paraId="1A01133C">
      <w:pPr>
        <w:ind w:firstLine="600"/>
        <w:rPr>
          <w:rFonts w:ascii="宋体" w:hAnsi="宋体"/>
          <w:sz w:val="30"/>
          <w:szCs w:val="30"/>
        </w:rPr>
      </w:pPr>
      <w:r>
        <w:rPr>
          <w:rFonts w:hint="eastAsia" w:ascii="宋体" w:hAnsi="宋体"/>
          <w:sz w:val="30"/>
          <w:szCs w:val="30"/>
        </w:rPr>
        <w:t>承包人应按合同约定进行现场工艺试验。对大型的现场工艺试验，发包人认为必要时，承包人应根据发包人提出的工艺试验要求，编制工艺试验措施计划，报送发包人审查。</w:t>
      </w:r>
    </w:p>
    <w:p w14:paraId="3FF0E381">
      <w:pPr>
        <w:pStyle w:val="969"/>
        <w:widowControl/>
        <w:numPr>
          <w:ilvl w:val="0"/>
          <w:numId w:val="0"/>
        </w:numPr>
        <w:rPr>
          <w:rFonts w:ascii="宋体" w:hAnsi="宋体" w:eastAsia="宋体"/>
          <w:b w:val="0"/>
          <w:bCs/>
          <w:sz w:val="30"/>
          <w:szCs w:val="30"/>
        </w:rPr>
      </w:pPr>
      <w:bookmarkStart w:id="273" w:name="_Toc54862234"/>
      <w:bookmarkStart w:id="274" w:name="_Ref532592784"/>
      <w:bookmarkStart w:id="275" w:name="_Ref532592787"/>
      <w:r>
        <w:rPr>
          <w:rFonts w:hint="eastAsia" w:ascii="宋体" w:hAnsi="宋体" w:eastAsia="宋体"/>
          <w:b w:val="0"/>
          <w:bCs/>
          <w:sz w:val="30"/>
          <w:szCs w:val="30"/>
        </w:rPr>
        <w:t>6</w:t>
      </w:r>
      <w:r>
        <w:rPr>
          <w:rFonts w:ascii="宋体" w:hAnsi="宋体" w:eastAsia="宋体"/>
          <w:b w:val="0"/>
          <w:bCs/>
          <w:sz w:val="30"/>
          <w:szCs w:val="30"/>
        </w:rPr>
        <w:t xml:space="preserve">.6 </w:t>
      </w:r>
      <w:r>
        <w:rPr>
          <w:rFonts w:hint="eastAsia" w:ascii="宋体" w:hAnsi="宋体" w:eastAsia="宋体"/>
          <w:b w:val="0"/>
          <w:bCs/>
          <w:sz w:val="30"/>
          <w:szCs w:val="30"/>
        </w:rPr>
        <w:t>缺陷和修补</w:t>
      </w:r>
      <w:bookmarkEnd w:id="273"/>
      <w:bookmarkEnd w:id="274"/>
      <w:bookmarkEnd w:id="275"/>
    </w:p>
    <w:p w14:paraId="565B5E64">
      <w:pPr>
        <w:pStyle w:val="994"/>
        <w:numPr>
          <w:ilvl w:val="0"/>
          <w:numId w:val="0"/>
        </w:numPr>
        <w:rPr>
          <w:sz w:val="30"/>
          <w:szCs w:val="30"/>
        </w:rPr>
      </w:pPr>
      <w:bookmarkStart w:id="276" w:name="_Ref16875551"/>
      <w:r>
        <w:rPr>
          <w:rFonts w:hint="eastAsia"/>
          <w:sz w:val="30"/>
          <w:szCs w:val="30"/>
        </w:rPr>
        <w:t>6</w:t>
      </w:r>
      <w:r>
        <w:rPr>
          <w:sz w:val="30"/>
          <w:szCs w:val="30"/>
        </w:rPr>
        <w:t xml:space="preserve">.6.1 </w:t>
      </w:r>
      <w:r>
        <w:rPr>
          <w:rFonts w:hint="eastAsia"/>
          <w:sz w:val="30"/>
          <w:szCs w:val="30"/>
        </w:rPr>
        <w:t>发包人可在颁发接收证书前随时指示承包人：</w:t>
      </w:r>
      <w:bookmarkEnd w:id="276"/>
    </w:p>
    <w:p w14:paraId="3BE9BFF9">
      <w:pPr>
        <w:ind w:firstLine="600"/>
        <w:rPr>
          <w:rFonts w:ascii="宋体" w:hAnsi="宋体"/>
          <w:sz w:val="30"/>
          <w:szCs w:val="30"/>
        </w:rPr>
      </w:pPr>
      <w:r>
        <w:rPr>
          <w:rFonts w:hint="eastAsia" w:ascii="宋体" w:hAnsi="宋体"/>
          <w:sz w:val="30"/>
          <w:szCs w:val="30"/>
        </w:rPr>
        <w:t>（1） 对不符合合同要求的任何工程设备或材料进行修补，或者将其移出现场并进行更换；</w:t>
      </w:r>
    </w:p>
    <w:p w14:paraId="788CCAD0">
      <w:pPr>
        <w:ind w:firstLine="600"/>
        <w:rPr>
          <w:rFonts w:ascii="宋体" w:hAnsi="宋体"/>
          <w:sz w:val="30"/>
          <w:szCs w:val="30"/>
        </w:rPr>
      </w:pPr>
      <w:r>
        <w:rPr>
          <w:rFonts w:hint="eastAsia" w:ascii="宋体" w:hAnsi="宋体"/>
          <w:sz w:val="30"/>
          <w:szCs w:val="30"/>
        </w:rPr>
        <w:t xml:space="preserve">（2） 对不符合合同的其他工作进行修补，或者将其去除并重新实施； </w:t>
      </w:r>
    </w:p>
    <w:p w14:paraId="0CC90627">
      <w:pPr>
        <w:ind w:firstLine="600"/>
        <w:rPr>
          <w:rFonts w:ascii="宋体" w:hAnsi="宋体"/>
          <w:sz w:val="30"/>
          <w:szCs w:val="30"/>
        </w:rPr>
      </w:pPr>
      <w:bookmarkStart w:id="277" w:name="_Ref4708991"/>
      <w:r>
        <w:rPr>
          <w:rFonts w:hint="eastAsia" w:ascii="宋体" w:hAnsi="宋体"/>
          <w:sz w:val="30"/>
          <w:szCs w:val="30"/>
        </w:rPr>
        <w:t>（3） 实施因意外、不可预见的事件或其他原因引起的、为工程的安全迫切需要的任何修补工作。</w:t>
      </w:r>
      <w:bookmarkEnd w:id="277"/>
    </w:p>
    <w:p w14:paraId="1591BE31">
      <w:pPr>
        <w:pStyle w:val="994"/>
        <w:numPr>
          <w:ilvl w:val="0"/>
          <w:numId w:val="0"/>
        </w:numPr>
        <w:rPr>
          <w:sz w:val="30"/>
          <w:szCs w:val="30"/>
        </w:rPr>
      </w:pPr>
      <w:bookmarkStart w:id="278" w:name="_Ref11956964"/>
      <w:r>
        <w:rPr>
          <w:rFonts w:hint="eastAsia"/>
          <w:sz w:val="30"/>
          <w:szCs w:val="30"/>
        </w:rPr>
        <w:t>6</w:t>
      </w:r>
      <w:r>
        <w:rPr>
          <w:sz w:val="30"/>
          <w:szCs w:val="30"/>
        </w:rPr>
        <w:t xml:space="preserve">.6.2 </w:t>
      </w:r>
      <w:r>
        <w:rPr>
          <w:rFonts w:hint="eastAsia"/>
          <w:sz w:val="30"/>
          <w:szCs w:val="30"/>
        </w:rPr>
        <w:t>承包人应遵守第</w:t>
      </w:r>
      <w:r>
        <w:rPr>
          <w:sz w:val="30"/>
          <w:szCs w:val="30"/>
        </w:rPr>
        <w:t>6.6.1项下</w:t>
      </w:r>
      <w:r>
        <w:rPr>
          <w:rFonts w:hint="eastAsia"/>
          <w:sz w:val="30"/>
          <w:szCs w:val="30"/>
        </w:rPr>
        <w:t>指示，并在合理可行的情况下，根据上述指示中规定的时间完成修补工作。除因下列原因引起的第</w:t>
      </w:r>
      <w:r>
        <w:rPr>
          <w:sz w:val="30"/>
          <w:szCs w:val="30"/>
        </w:rPr>
        <w:t>6.6.1</w:t>
      </w:r>
      <w:r>
        <w:rPr>
          <w:rFonts w:hint="eastAsia"/>
          <w:sz w:val="30"/>
          <w:szCs w:val="30"/>
        </w:rPr>
        <w:t>项第（3）目下的情形外，承包人应承担所有修补工作的费用：</w:t>
      </w:r>
      <w:bookmarkEnd w:id="278"/>
    </w:p>
    <w:p w14:paraId="0C3257EC">
      <w:pPr>
        <w:ind w:firstLine="600"/>
        <w:rPr>
          <w:rFonts w:ascii="宋体" w:hAnsi="宋体"/>
          <w:sz w:val="30"/>
          <w:szCs w:val="30"/>
        </w:rPr>
      </w:pPr>
      <w:r>
        <w:rPr>
          <w:rFonts w:hint="eastAsia" w:ascii="宋体" w:hAnsi="宋体"/>
          <w:sz w:val="30"/>
          <w:szCs w:val="30"/>
        </w:rPr>
        <w:t>（1） 因发包人或其人员的任何行为导致的情形，且在此情况下发包人应承担因此引起的工期延误和承包人费用损失，并向承包人支付合理的利润。</w:t>
      </w:r>
    </w:p>
    <w:p w14:paraId="4BA776F1">
      <w:pPr>
        <w:ind w:firstLine="600"/>
        <w:rPr>
          <w:rFonts w:ascii="宋体" w:hAnsi="宋体"/>
          <w:sz w:val="30"/>
          <w:szCs w:val="30"/>
        </w:rPr>
      </w:pPr>
      <w:r>
        <w:rPr>
          <w:rFonts w:hint="eastAsia" w:ascii="宋体" w:hAnsi="宋体"/>
          <w:sz w:val="30"/>
          <w:szCs w:val="30"/>
        </w:rPr>
        <w:t>（2） 第</w:t>
      </w:r>
      <w:r>
        <w:rPr>
          <w:rFonts w:ascii="宋体" w:hAnsi="宋体"/>
          <w:sz w:val="30"/>
          <w:szCs w:val="30"/>
        </w:rPr>
        <w:t>17.4</w:t>
      </w:r>
      <w:r>
        <w:rPr>
          <w:rFonts w:hint="eastAsia" w:ascii="宋体" w:hAnsi="宋体"/>
          <w:sz w:val="30"/>
          <w:szCs w:val="30"/>
        </w:rPr>
        <w:t>款[</w:t>
      </w:r>
      <w:r>
        <w:rPr>
          <w:rFonts w:ascii="宋体" w:hAnsi="宋体"/>
          <w:sz w:val="30"/>
          <w:szCs w:val="30"/>
        </w:rPr>
        <w:t>不可抗力后果</w:t>
      </w:r>
      <w:r>
        <w:rPr>
          <w:rFonts w:hint="eastAsia" w:ascii="宋体" w:hAnsi="宋体"/>
          <w:sz w:val="30"/>
          <w:szCs w:val="30"/>
        </w:rPr>
        <w:t>的</w:t>
      </w:r>
      <w:r>
        <w:rPr>
          <w:rFonts w:ascii="宋体" w:hAnsi="宋体"/>
          <w:sz w:val="30"/>
          <w:szCs w:val="30"/>
        </w:rPr>
        <w:t>承担</w:t>
      </w:r>
      <w:r>
        <w:rPr>
          <w:rFonts w:hint="eastAsia" w:ascii="宋体" w:hAnsi="宋体"/>
          <w:sz w:val="30"/>
          <w:szCs w:val="30"/>
        </w:rPr>
        <w:t>]中适用的不可抗力事件的情形。</w:t>
      </w:r>
    </w:p>
    <w:p w14:paraId="117909CB">
      <w:pPr>
        <w:pStyle w:val="994"/>
        <w:numPr>
          <w:ilvl w:val="0"/>
          <w:numId w:val="0"/>
        </w:numPr>
        <w:rPr>
          <w:sz w:val="30"/>
          <w:szCs w:val="30"/>
        </w:rPr>
      </w:pPr>
      <w:r>
        <w:rPr>
          <w:rFonts w:hint="eastAsia"/>
          <w:sz w:val="30"/>
          <w:szCs w:val="30"/>
        </w:rPr>
        <w:t>6</w:t>
      </w:r>
      <w:r>
        <w:rPr>
          <w:sz w:val="30"/>
          <w:szCs w:val="30"/>
        </w:rPr>
        <w:t xml:space="preserve">.6.3 </w:t>
      </w:r>
      <w:r>
        <w:rPr>
          <w:rFonts w:hint="eastAsia"/>
          <w:sz w:val="30"/>
          <w:szCs w:val="30"/>
        </w:rPr>
        <w:t>如果承包人未能遵守发包人的指示，发包人可以自行决定请第三方完成上述修补工作，并有权要求承包人支付因未履行指示而产生的所有费用，但承包人根据第</w:t>
      </w:r>
      <w:r>
        <w:rPr>
          <w:sz w:val="30"/>
          <w:szCs w:val="30"/>
        </w:rPr>
        <w:t>6.6.2</w:t>
      </w:r>
      <w:r>
        <w:rPr>
          <w:rFonts w:hint="eastAsia"/>
          <w:sz w:val="30"/>
          <w:szCs w:val="30"/>
        </w:rPr>
        <w:t>项有权就修补工作获得支付的情况除外。</w:t>
      </w:r>
    </w:p>
    <w:p w14:paraId="55099B1A">
      <w:pPr>
        <w:pStyle w:val="991"/>
        <w:numPr>
          <w:ilvl w:val="0"/>
          <w:numId w:val="0"/>
        </w:numPr>
        <w:wordWrap/>
        <w:topLinePunct w:val="0"/>
        <w:rPr>
          <w:rFonts w:ascii="宋体" w:hAnsi="宋体" w:eastAsia="宋体"/>
          <w:b w:val="0"/>
          <w:bCs/>
          <w:sz w:val="32"/>
          <w:szCs w:val="21"/>
        </w:rPr>
      </w:pPr>
      <w:bookmarkStart w:id="279" w:name="_Toc54862235"/>
      <w:bookmarkStart w:id="280" w:name="_Ref531954214"/>
      <w:r>
        <w:rPr>
          <w:rFonts w:hint="eastAsia" w:ascii="宋体" w:hAnsi="宋体" w:eastAsia="宋体"/>
          <w:b w:val="0"/>
          <w:bCs/>
          <w:sz w:val="32"/>
          <w:szCs w:val="21"/>
        </w:rPr>
        <w:t>第7条 施工</w:t>
      </w:r>
      <w:bookmarkEnd w:id="279"/>
      <w:bookmarkEnd w:id="280"/>
    </w:p>
    <w:p w14:paraId="0B9DB4BE">
      <w:pPr>
        <w:pStyle w:val="969"/>
        <w:widowControl/>
        <w:numPr>
          <w:ilvl w:val="0"/>
          <w:numId w:val="0"/>
        </w:numPr>
        <w:rPr>
          <w:rFonts w:ascii="宋体" w:hAnsi="宋体" w:eastAsia="宋体"/>
          <w:b w:val="0"/>
          <w:bCs/>
          <w:sz w:val="30"/>
          <w:szCs w:val="30"/>
        </w:rPr>
      </w:pPr>
      <w:bookmarkStart w:id="281" w:name="_Ref531954272"/>
      <w:bookmarkStart w:id="282" w:name="_Ref531954276"/>
      <w:bookmarkStart w:id="283" w:name="_Toc54862236"/>
      <w:bookmarkStart w:id="284" w:name="_Ref531954246"/>
      <w:bookmarkStart w:id="285" w:name="_Ref531954260"/>
      <w:r>
        <w:rPr>
          <w:rFonts w:hint="eastAsia" w:ascii="宋体" w:hAnsi="宋体" w:eastAsia="宋体"/>
          <w:b w:val="0"/>
          <w:bCs/>
          <w:sz w:val="30"/>
          <w:szCs w:val="30"/>
        </w:rPr>
        <w:t>7</w:t>
      </w:r>
      <w:r>
        <w:rPr>
          <w:rFonts w:ascii="宋体" w:hAnsi="宋体" w:eastAsia="宋体"/>
          <w:b w:val="0"/>
          <w:bCs/>
          <w:sz w:val="30"/>
          <w:szCs w:val="30"/>
        </w:rPr>
        <w:t xml:space="preserve">.1 </w:t>
      </w:r>
      <w:r>
        <w:rPr>
          <w:rFonts w:hint="eastAsia" w:ascii="宋体" w:hAnsi="宋体" w:eastAsia="宋体"/>
          <w:b w:val="0"/>
          <w:bCs/>
          <w:sz w:val="30"/>
          <w:szCs w:val="30"/>
        </w:rPr>
        <w:t>交通运输</w:t>
      </w:r>
      <w:bookmarkEnd w:id="281"/>
      <w:bookmarkEnd w:id="282"/>
      <w:bookmarkEnd w:id="283"/>
      <w:r>
        <w:rPr>
          <w:rFonts w:hint="eastAsia" w:ascii="宋体" w:hAnsi="宋体" w:eastAsia="宋体"/>
          <w:b w:val="0"/>
          <w:bCs/>
          <w:sz w:val="30"/>
          <w:szCs w:val="30"/>
        </w:rPr>
        <w:t xml:space="preserve"> </w:t>
      </w:r>
    </w:p>
    <w:p w14:paraId="2AC38566">
      <w:pPr>
        <w:pStyle w:val="994"/>
        <w:numPr>
          <w:ilvl w:val="0"/>
          <w:numId w:val="0"/>
        </w:numPr>
        <w:rPr>
          <w:sz w:val="30"/>
          <w:szCs w:val="30"/>
        </w:rPr>
      </w:pPr>
      <w:bookmarkStart w:id="286" w:name="_Ref4422645"/>
      <w:r>
        <w:rPr>
          <w:rFonts w:hint="eastAsia"/>
          <w:sz w:val="30"/>
          <w:szCs w:val="30"/>
        </w:rPr>
        <w:t>7</w:t>
      </w:r>
      <w:r>
        <w:rPr>
          <w:sz w:val="30"/>
          <w:szCs w:val="30"/>
        </w:rPr>
        <w:t xml:space="preserve">.1.1 </w:t>
      </w:r>
      <w:r>
        <w:rPr>
          <w:rFonts w:hint="eastAsia"/>
          <w:sz w:val="30"/>
          <w:szCs w:val="30"/>
        </w:rPr>
        <w:t>出入现场的权利</w:t>
      </w:r>
      <w:bookmarkEnd w:id="286"/>
    </w:p>
    <w:p w14:paraId="3D143500">
      <w:pPr>
        <w:ind w:firstLine="600"/>
        <w:rPr>
          <w:rFonts w:ascii="宋体" w:hAnsi="宋体"/>
          <w:sz w:val="30"/>
          <w:szCs w:val="30"/>
        </w:rPr>
      </w:pPr>
      <w:r>
        <w:rPr>
          <w:rFonts w:hint="eastAsia" w:ascii="宋体" w:hAnsi="宋体"/>
          <w:sz w:val="30"/>
          <w:szCs w:val="30"/>
        </w:rPr>
        <w:t>除专用合同条件另有约定外，发包人应根据工程实施需要，负责取得出入施工现场所需的批准手续和全部权利，以及取得因工程实施所需修建道路、桥梁以及其他基础设施的权利，并承担相关手续费用和建设费用。承包人应协助发包人办理修建场内外道路、桥梁以及其他基础设施的手续。</w:t>
      </w:r>
    </w:p>
    <w:p w14:paraId="7B9713ED">
      <w:pPr>
        <w:pStyle w:val="994"/>
        <w:numPr>
          <w:ilvl w:val="0"/>
          <w:numId w:val="0"/>
        </w:numPr>
        <w:rPr>
          <w:sz w:val="30"/>
          <w:szCs w:val="30"/>
        </w:rPr>
      </w:pPr>
      <w:bookmarkStart w:id="287" w:name="_Ref18957045"/>
      <w:r>
        <w:rPr>
          <w:rFonts w:hint="eastAsia"/>
          <w:sz w:val="30"/>
          <w:szCs w:val="30"/>
        </w:rPr>
        <w:t>7</w:t>
      </w:r>
      <w:r>
        <w:rPr>
          <w:sz w:val="30"/>
          <w:szCs w:val="30"/>
        </w:rPr>
        <w:t xml:space="preserve">.1.2 </w:t>
      </w:r>
      <w:r>
        <w:rPr>
          <w:rFonts w:hint="eastAsia"/>
          <w:sz w:val="30"/>
          <w:szCs w:val="30"/>
        </w:rPr>
        <w:t>场外交通</w:t>
      </w:r>
      <w:bookmarkEnd w:id="287"/>
    </w:p>
    <w:p w14:paraId="16505BB2">
      <w:pPr>
        <w:ind w:firstLine="600"/>
        <w:rPr>
          <w:rFonts w:ascii="宋体" w:hAnsi="宋体"/>
          <w:sz w:val="30"/>
          <w:szCs w:val="30"/>
        </w:rPr>
      </w:pPr>
      <w:r>
        <w:rPr>
          <w:rFonts w:hint="eastAsia" w:ascii="宋体" w:hAnsi="宋体"/>
          <w:sz w:val="30"/>
          <w:szCs w:val="30"/>
        </w:rPr>
        <w:t>除专用合同条件另有约定外，发包人应提供场外交通设施的技术参数和具体条件，场外交通设施无法满足工程施工需要的，由发包人负责承担由此产生的相关费用。承包人应遵守有关交通法规，严格按照道路和桥梁的限制荷载行驶，执行有关道路限速、限行、禁止超载的规定，并配合交通管理部门的监督和检查。承包人车辆外出行驶所需的场外公共道路的通行费、养路费和税款等由承包人承担。</w:t>
      </w:r>
    </w:p>
    <w:p w14:paraId="7F98F904">
      <w:pPr>
        <w:pStyle w:val="994"/>
        <w:numPr>
          <w:ilvl w:val="0"/>
          <w:numId w:val="0"/>
        </w:numPr>
        <w:rPr>
          <w:sz w:val="30"/>
          <w:szCs w:val="30"/>
        </w:rPr>
      </w:pPr>
      <w:bookmarkStart w:id="288" w:name="_Ref4622358"/>
      <w:r>
        <w:rPr>
          <w:rFonts w:hint="eastAsia"/>
          <w:sz w:val="30"/>
          <w:szCs w:val="30"/>
        </w:rPr>
        <w:t>7</w:t>
      </w:r>
      <w:r>
        <w:rPr>
          <w:sz w:val="30"/>
          <w:szCs w:val="30"/>
        </w:rPr>
        <w:t xml:space="preserve">.1.3 </w:t>
      </w:r>
      <w:r>
        <w:rPr>
          <w:rFonts w:hint="eastAsia"/>
          <w:sz w:val="30"/>
          <w:szCs w:val="30"/>
        </w:rPr>
        <w:t>场内交通</w:t>
      </w:r>
      <w:bookmarkEnd w:id="288"/>
    </w:p>
    <w:p w14:paraId="06BC00F2">
      <w:pPr>
        <w:ind w:firstLine="600"/>
        <w:rPr>
          <w:rFonts w:ascii="宋体" w:hAnsi="宋体"/>
          <w:sz w:val="30"/>
          <w:szCs w:val="30"/>
        </w:rPr>
      </w:pPr>
      <w:r>
        <w:rPr>
          <w:rFonts w:hint="eastAsia" w:ascii="宋体" w:hAnsi="宋体"/>
          <w:sz w:val="30"/>
          <w:szCs w:val="30"/>
        </w:rPr>
        <w:t>除专用合同条件另有约定外，承包人应负责修建、维修、养护和管理施工所需的临时道路和交通设施，包括维修、养护和管理发包人提供的道路和交通设施，并承担相应费用。承包人修建的临时道路和交通设施应免费提供发包人和工程师为实现合同目的使用。场内交通与场外交通的边界由合同当事人在专用合同条件中约定。</w:t>
      </w:r>
    </w:p>
    <w:p w14:paraId="1CCF99B5">
      <w:pPr>
        <w:pStyle w:val="994"/>
        <w:numPr>
          <w:ilvl w:val="0"/>
          <w:numId w:val="0"/>
        </w:numPr>
        <w:rPr>
          <w:sz w:val="30"/>
          <w:szCs w:val="30"/>
        </w:rPr>
      </w:pPr>
      <w:bookmarkStart w:id="289" w:name="_Ref4622376"/>
      <w:r>
        <w:rPr>
          <w:rFonts w:hint="eastAsia"/>
          <w:sz w:val="30"/>
          <w:szCs w:val="30"/>
        </w:rPr>
        <w:t>7</w:t>
      </w:r>
      <w:r>
        <w:rPr>
          <w:sz w:val="30"/>
          <w:szCs w:val="30"/>
        </w:rPr>
        <w:t xml:space="preserve">.1.4 </w:t>
      </w:r>
      <w:r>
        <w:rPr>
          <w:rFonts w:hint="eastAsia"/>
          <w:sz w:val="30"/>
          <w:szCs w:val="30"/>
        </w:rPr>
        <w:t>超大件和超重件的运输</w:t>
      </w:r>
      <w:bookmarkEnd w:id="289"/>
    </w:p>
    <w:p w14:paraId="3D22ACF0">
      <w:pPr>
        <w:ind w:firstLine="600"/>
        <w:rPr>
          <w:rFonts w:ascii="宋体" w:hAnsi="宋体"/>
          <w:sz w:val="30"/>
          <w:szCs w:val="30"/>
        </w:rPr>
      </w:pPr>
      <w:r>
        <w:rPr>
          <w:rFonts w:hint="eastAsia" w:ascii="宋体" w:hAnsi="宋体"/>
          <w:sz w:val="30"/>
          <w:szCs w:val="30"/>
        </w:rPr>
        <w:t>由承包人负责运输的超大件或超重件，应由承包人负责向交通管理部门办理申请手续，发包人给予协助。运输超大件或超重件所需的道路和桥梁临时加固改造费用和其他有关费用，由承包人承担，但专用合同条件另有约定的除外。</w:t>
      </w:r>
    </w:p>
    <w:p w14:paraId="02475AB8">
      <w:pPr>
        <w:pStyle w:val="994"/>
        <w:numPr>
          <w:ilvl w:val="0"/>
          <w:numId w:val="0"/>
        </w:numPr>
        <w:rPr>
          <w:sz w:val="30"/>
          <w:szCs w:val="30"/>
        </w:rPr>
      </w:pPr>
      <w:r>
        <w:rPr>
          <w:rFonts w:hint="eastAsia"/>
          <w:sz w:val="30"/>
          <w:szCs w:val="30"/>
        </w:rPr>
        <w:t>7</w:t>
      </w:r>
      <w:r>
        <w:rPr>
          <w:sz w:val="30"/>
          <w:szCs w:val="30"/>
        </w:rPr>
        <w:t xml:space="preserve">.1.5 </w:t>
      </w:r>
      <w:r>
        <w:rPr>
          <w:rFonts w:hint="eastAsia"/>
          <w:sz w:val="30"/>
          <w:szCs w:val="30"/>
        </w:rPr>
        <w:t>道路和桥梁的损坏责任</w:t>
      </w:r>
    </w:p>
    <w:p w14:paraId="449CC72F">
      <w:pPr>
        <w:ind w:firstLine="600"/>
        <w:rPr>
          <w:rFonts w:ascii="宋体" w:hAnsi="宋体"/>
          <w:sz w:val="30"/>
          <w:szCs w:val="30"/>
        </w:rPr>
      </w:pPr>
      <w:r>
        <w:rPr>
          <w:rFonts w:hint="eastAsia" w:ascii="宋体" w:hAnsi="宋体"/>
          <w:sz w:val="30"/>
          <w:szCs w:val="30"/>
        </w:rPr>
        <w:t>因承包人运输造成施工现场内外公共道路和桥梁损坏的，由承包人承担修复损坏的全部费用和可能引起的赔偿。</w:t>
      </w:r>
    </w:p>
    <w:p w14:paraId="5D9332A7">
      <w:pPr>
        <w:pStyle w:val="994"/>
        <w:numPr>
          <w:ilvl w:val="0"/>
          <w:numId w:val="0"/>
        </w:numPr>
        <w:rPr>
          <w:sz w:val="30"/>
          <w:szCs w:val="30"/>
        </w:rPr>
      </w:pPr>
      <w:r>
        <w:rPr>
          <w:rFonts w:hint="eastAsia"/>
          <w:sz w:val="30"/>
          <w:szCs w:val="30"/>
        </w:rPr>
        <w:t>7</w:t>
      </w:r>
      <w:r>
        <w:rPr>
          <w:sz w:val="30"/>
          <w:szCs w:val="30"/>
        </w:rPr>
        <w:t xml:space="preserve">.1.6 </w:t>
      </w:r>
      <w:r>
        <w:rPr>
          <w:rFonts w:hint="eastAsia"/>
          <w:sz w:val="30"/>
          <w:szCs w:val="30"/>
        </w:rPr>
        <w:t>水路和航空运输</w:t>
      </w:r>
    </w:p>
    <w:p w14:paraId="514158B5">
      <w:pPr>
        <w:ind w:firstLine="600"/>
        <w:rPr>
          <w:rFonts w:ascii="宋体" w:hAnsi="宋体"/>
          <w:sz w:val="30"/>
          <w:szCs w:val="30"/>
        </w:rPr>
      </w:pPr>
      <w:r>
        <w:rPr>
          <w:rFonts w:hint="eastAsia" w:ascii="宋体" w:hAnsi="宋体"/>
          <w:sz w:val="30"/>
          <w:szCs w:val="30"/>
        </w:rPr>
        <w:t>本条上述各款的内容适用于水路运输和航空运输，其中“道路”一词的涵义包括河道、航线、船闸、机场、码头、堤防以及水路或航空运输中其他相似结构物；“车辆”一词的涵义包括船舶和飞机等。</w:t>
      </w:r>
    </w:p>
    <w:p w14:paraId="037566E5">
      <w:pPr>
        <w:pStyle w:val="969"/>
        <w:widowControl/>
        <w:numPr>
          <w:ilvl w:val="0"/>
          <w:numId w:val="0"/>
        </w:numPr>
        <w:rPr>
          <w:rFonts w:ascii="宋体" w:hAnsi="宋体" w:eastAsia="宋体"/>
          <w:b w:val="0"/>
          <w:bCs/>
          <w:sz w:val="30"/>
          <w:szCs w:val="30"/>
        </w:rPr>
      </w:pPr>
      <w:bookmarkStart w:id="290" w:name="_Toc54862237"/>
      <w:bookmarkStart w:id="291" w:name="_Ref11919459"/>
      <w:bookmarkStart w:id="292" w:name="_Ref11919294"/>
      <w:r>
        <w:rPr>
          <w:rFonts w:hint="eastAsia" w:ascii="宋体" w:hAnsi="宋体" w:eastAsia="宋体"/>
          <w:b w:val="0"/>
          <w:bCs/>
          <w:sz w:val="30"/>
          <w:szCs w:val="30"/>
        </w:rPr>
        <w:t>7</w:t>
      </w:r>
      <w:r>
        <w:rPr>
          <w:rFonts w:ascii="宋体" w:hAnsi="宋体" w:eastAsia="宋体"/>
          <w:b w:val="0"/>
          <w:bCs/>
          <w:sz w:val="30"/>
          <w:szCs w:val="30"/>
        </w:rPr>
        <w:t xml:space="preserve">.2 </w:t>
      </w:r>
      <w:r>
        <w:rPr>
          <w:rFonts w:hint="eastAsia" w:ascii="宋体" w:hAnsi="宋体" w:eastAsia="宋体"/>
          <w:b w:val="0"/>
          <w:bCs/>
          <w:sz w:val="30"/>
          <w:szCs w:val="30"/>
        </w:rPr>
        <w:t>施工设备和临时设施</w:t>
      </w:r>
      <w:bookmarkEnd w:id="284"/>
      <w:bookmarkEnd w:id="285"/>
      <w:bookmarkEnd w:id="290"/>
      <w:bookmarkEnd w:id="291"/>
      <w:bookmarkEnd w:id="292"/>
      <w:r>
        <w:rPr>
          <w:rFonts w:hint="eastAsia" w:ascii="宋体" w:hAnsi="宋体" w:eastAsia="宋体"/>
          <w:b w:val="0"/>
          <w:bCs/>
          <w:sz w:val="30"/>
          <w:szCs w:val="30"/>
        </w:rPr>
        <w:t xml:space="preserve"> </w:t>
      </w:r>
    </w:p>
    <w:p w14:paraId="6F972203">
      <w:pPr>
        <w:pStyle w:val="994"/>
        <w:numPr>
          <w:ilvl w:val="0"/>
          <w:numId w:val="0"/>
        </w:numPr>
        <w:rPr>
          <w:sz w:val="30"/>
          <w:szCs w:val="30"/>
        </w:rPr>
      </w:pPr>
      <w:bookmarkStart w:id="293" w:name="_Ref18990767"/>
      <w:bookmarkStart w:id="294" w:name="_Ref509043186"/>
      <w:r>
        <w:rPr>
          <w:rFonts w:hint="eastAsia" w:ascii="仿宋_GB2312" w:eastAsia="仿宋_GB2312"/>
          <w:sz w:val="30"/>
          <w:szCs w:val="30"/>
        </w:rPr>
        <w:t>7</w:t>
      </w:r>
      <w:r>
        <w:rPr>
          <w:sz w:val="30"/>
          <w:szCs w:val="30"/>
        </w:rPr>
        <w:t xml:space="preserve">.2.1 </w:t>
      </w:r>
      <w:r>
        <w:rPr>
          <w:rFonts w:hint="eastAsia"/>
          <w:sz w:val="30"/>
          <w:szCs w:val="30"/>
        </w:rPr>
        <w:t>承包人提供的施工设备和临时设施</w:t>
      </w:r>
      <w:bookmarkEnd w:id="293"/>
    </w:p>
    <w:p w14:paraId="4DDD3B77">
      <w:pPr>
        <w:ind w:firstLine="600"/>
        <w:rPr>
          <w:rFonts w:ascii="宋体" w:hAnsi="宋体"/>
          <w:sz w:val="30"/>
          <w:szCs w:val="30"/>
        </w:rPr>
      </w:pPr>
      <w:r>
        <w:rPr>
          <w:rFonts w:hint="eastAsia" w:ascii="宋体" w:hAnsi="宋体"/>
          <w:sz w:val="30"/>
          <w:szCs w:val="30"/>
        </w:rPr>
        <w:t>承包人应按项目进度计划的要求，及时配置施工设备和修建临时设施。进入施工现场的承包人提供的施工设备需经工程师核查后才能投入使用。承包人更换合同约定由承包人提供的施工设备的，应报工程师批准。</w:t>
      </w:r>
    </w:p>
    <w:p w14:paraId="391E0B79">
      <w:pPr>
        <w:ind w:firstLine="600"/>
        <w:rPr>
          <w:rFonts w:ascii="宋体" w:hAnsi="宋体"/>
          <w:sz w:val="30"/>
          <w:szCs w:val="30"/>
        </w:rPr>
      </w:pPr>
      <w:r>
        <w:rPr>
          <w:rFonts w:hint="eastAsia" w:ascii="宋体" w:hAnsi="宋体"/>
          <w:sz w:val="30"/>
          <w:szCs w:val="30"/>
        </w:rPr>
        <w:t>除专用合同条件另有约定外，承包人应自行承担修建临时设施的费用，需要临时占地的，应由发包人办理申请手续并承担相应费用。承包人应在专用合同条件</w:t>
      </w:r>
      <w:r>
        <w:rPr>
          <w:rFonts w:ascii="宋体" w:hAnsi="宋体"/>
          <w:sz w:val="30"/>
          <w:szCs w:val="30"/>
        </w:rPr>
        <w:t>7.2</w:t>
      </w:r>
      <w:r>
        <w:rPr>
          <w:rFonts w:hint="eastAsia" w:ascii="宋体" w:hAnsi="宋体"/>
          <w:sz w:val="30"/>
          <w:szCs w:val="30"/>
        </w:rPr>
        <w:t>款</w:t>
      </w:r>
      <w:r>
        <w:rPr>
          <w:rFonts w:ascii="宋体" w:hAnsi="宋体"/>
          <w:sz w:val="30"/>
          <w:szCs w:val="30"/>
        </w:rPr>
        <w:t>约定的时间内向发包人提交临时占地资料，因承包人未能按时提交资料，导致工期延误的，由此增加的费用和（或）竣工日期延误，由承包人负责。</w:t>
      </w:r>
    </w:p>
    <w:bookmarkEnd w:id="294"/>
    <w:p w14:paraId="3508ACF8">
      <w:pPr>
        <w:pStyle w:val="994"/>
        <w:numPr>
          <w:ilvl w:val="0"/>
          <w:numId w:val="0"/>
        </w:numPr>
        <w:rPr>
          <w:sz w:val="30"/>
          <w:szCs w:val="30"/>
        </w:rPr>
      </w:pPr>
      <w:bookmarkStart w:id="295" w:name="_Ref18990784"/>
      <w:r>
        <w:rPr>
          <w:rFonts w:hint="eastAsia"/>
          <w:sz w:val="30"/>
          <w:szCs w:val="30"/>
        </w:rPr>
        <w:t>7</w:t>
      </w:r>
      <w:r>
        <w:rPr>
          <w:sz w:val="30"/>
          <w:szCs w:val="30"/>
        </w:rPr>
        <w:t xml:space="preserve">.2.2 </w:t>
      </w:r>
      <w:r>
        <w:rPr>
          <w:rFonts w:hint="eastAsia"/>
          <w:sz w:val="30"/>
          <w:szCs w:val="30"/>
        </w:rPr>
        <w:t>发包人提供的施工设备和临时设施</w:t>
      </w:r>
      <w:bookmarkEnd w:id="295"/>
    </w:p>
    <w:p w14:paraId="6402EC73">
      <w:pPr>
        <w:ind w:firstLine="600"/>
        <w:rPr>
          <w:rFonts w:ascii="宋体" w:hAnsi="宋体"/>
          <w:sz w:val="30"/>
          <w:szCs w:val="30"/>
        </w:rPr>
      </w:pPr>
      <w:r>
        <w:rPr>
          <w:rFonts w:hint="eastAsia" w:ascii="宋体" w:hAnsi="宋体"/>
          <w:sz w:val="30"/>
          <w:szCs w:val="30"/>
        </w:rPr>
        <w:t>发包人提供的施工设备或临时设施在专用合同条件中约定。</w:t>
      </w:r>
    </w:p>
    <w:p w14:paraId="2C56491F">
      <w:pPr>
        <w:pStyle w:val="994"/>
        <w:numPr>
          <w:ilvl w:val="0"/>
          <w:numId w:val="0"/>
        </w:numPr>
        <w:rPr>
          <w:sz w:val="30"/>
          <w:szCs w:val="30"/>
        </w:rPr>
      </w:pPr>
      <w:r>
        <w:rPr>
          <w:rFonts w:hint="eastAsia"/>
          <w:sz w:val="30"/>
          <w:szCs w:val="30"/>
        </w:rPr>
        <w:t>7</w:t>
      </w:r>
      <w:r>
        <w:rPr>
          <w:sz w:val="30"/>
          <w:szCs w:val="30"/>
        </w:rPr>
        <w:t xml:space="preserve">.2.3 </w:t>
      </w:r>
      <w:r>
        <w:rPr>
          <w:rFonts w:hint="eastAsia"/>
          <w:sz w:val="30"/>
          <w:szCs w:val="30"/>
        </w:rPr>
        <w:t>要求承包人增加或更换施工设备</w:t>
      </w:r>
    </w:p>
    <w:p w14:paraId="1A8C3C91">
      <w:pPr>
        <w:ind w:firstLine="600"/>
        <w:rPr>
          <w:rFonts w:ascii="宋体" w:hAnsi="宋体"/>
          <w:sz w:val="30"/>
          <w:szCs w:val="30"/>
        </w:rPr>
      </w:pPr>
      <w:r>
        <w:rPr>
          <w:rFonts w:hint="eastAsia" w:ascii="宋体" w:hAnsi="宋体"/>
          <w:sz w:val="30"/>
          <w:szCs w:val="30"/>
        </w:rPr>
        <w:t>承包人使用的施工设备不能满足项目进度计划和（或）质量要求时，工程师有权要求承包人增加或更换施工设备，承包人应及时增加或更换，由此增加的费用和（或）延误的工期由承包人承担。</w:t>
      </w:r>
    </w:p>
    <w:p w14:paraId="549AF3F5">
      <w:pPr>
        <w:pStyle w:val="994"/>
        <w:numPr>
          <w:ilvl w:val="0"/>
          <w:numId w:val="0"/>
        </w:numPr>
        <w:rPr>
          <w:sz w:val="30"/>
          <w:szCs w:val="30"/>
        </w:rPr>
      </w:pPr>
      <w:r>
        <w:rPr>
          <w:rFonts w:hint="eastAsia"/>
          <w:sz w:val="30"/>
          <w:szCs w:val="30"/>
        </w:rPr>
        <w:t>7</w:t>
      </w:r>
      <w:r>
        <w:rPr>
          <w:sz w:val="30"/>
          <w:szCs w:val="30"/>
        </w:rPr>
        <w:t xml:space="preserve">.2.4 </w:t>
      </w:r>
      <w:r>
        <w:rPr>
          <w:rFonts w:hint="eastAsia"/>
          <w:sz w:val="30"/>
          <w:szCs w:val="30"/>
        </w:rPr>
        <w:t>施工设备和临时设施专用于合同工程</w:t>
      </w:r>
    </w:p>
    <w:p w14:paraId="581C581B">
      <w:pPr>
        <w:ind w:firstLine="600"/>
        <w:rPr>
          <w:rFonts w:ascii="宋体" w:hAnsi="宋体"/>
          <w:sz w:val="30"/>
          <w:szCs w:val="30"/>
        </w:rPr>
      </w:pPr>
      <w:r>
        <w:rPr>
          <w:rFonts w:hint="eastAsia" w:ascii="宋体" w:hAnsi="宋体"/>
          <w:sz w:val="30"/>
          <w:szCs w:val="30"/>
        </w:rPr>
        <w:t>承包人运入施工现场的施工设备以及在施工现场建设的临时设施必须专用于工程。未经发包人批准，承包人不得运出施工现场或挪作他用；经发包人批准，承包人可以根据施工进度计划撤走闲置的施工设备和其他物品。</w:t>
      </w:r>
    </w:p>
    <w:p w14:paraId="0285A618">
      <w:pPr>
        <w:pStyle w:val="969"/>
        <w:widowControl/>
        <w:numPr>
          <w:ilvl w:val="0"/>
          <w:numId w:val="0"/>
        </w:numPr>
        <w:rPr>
          <w:rFonts w:ascii="宋体" w:hAnsi="宋体" w:eastAsia="宋体"/>
          <w:b w:val="0"/>
          <w:sz w:val="30"/>
          <w:szCs w:val="30"/>
        </w:rPr>
      </w:pPr>
      <w:bookmarkStart w:id="296" w:name="_Ref11874352"/>
      <w:bookmarkStart w:id="297" w:name="_Toc54862238"/>
      <w:r>
        <w:rPr>
          <w:rFonts w:hint="eastAsia" w:ascii="宋体" w:hAnsi="宋体" w:eastAsia="宋体"/>
          <w:b w:val="0"/>
          <w:sz w:val="30"/>
          <w:szCs w:val="30"/>
        </w:rPr>
        <w:t>7</w:t>
      </w:r>
      <w:r>
        <w:rPr>
          <w:rFonts w:ascii="宋体" w:hAnsi="宋体" w:eastAsia="宋体"/>
          <w:b w:val="0"/>
          <w:sz w:val="30"/>
          <w:szCs w:val="30"/>
        </w:rPr>
        <w:t xml:space="preserve">.3 </w:t>
      </w:r>
      <w:r>
        <w:rPr>
          <w:rFonts w:hint="eastAsia" w:ascii="宋体" w:hAnsi="宋体" w:eastAsia="宋体"/>
          <w:b w:val="0"/>
          <w:sz w:val="30"/>
          <w:szCs w:val="30"/>
        </w:rPr>
        <w:t>现场合作</w:t>
      </w:r>
      <w:bookmarkEnd w:id="296"/>
      <w:bookmarkEnd w:id="297"/>
    </w:p>
    <w:p w14:paraId="39C63798">
      <w:pPr>
        <w:ind w:firstLine="600"/>
        <w:rPr>
          <w:rFonts w:ascii="宋体" w:hAnsi="宋体"/>
          <w:sz w:val="30"/>
          <w:szCs w:val="30"/>
        </w:rPr>
      </w:pPr>
      <w:r>
        <w:rPr>
          <w:rFonts w:hint="eastAsia" w:ascii="宋体" w:hAnsi="宋体"/>
          <w:sz w:val="30"/>
          <w:szCs w:val="30"/>
        </w:rPr>
        <w:t>承包人应按合同约定或发包人的指示，与发包人人员、发包人的其他承包人等人员就在现场或附近实施与工程有关的各项工作进行合作并提供适当条件，包括使用承包人设备、临时工程或进入现场等。</w:t>
      </w:r>
    </w:p>
    <w:p w14:paraId="65D73A54">
      <w:pPr>
        <w:ind w:firstLine="600"/>
        <w:rPr>
          <w:rFonts w:ascii="宋体" w:hAnsi="宋体"/>
          <w:sz w:val="30"/>
          <w:szCs w:val="30"/>
        </w:rPr>
      </w:pPr>
      <w:r>
        <w:rPr>
          <w:rFonts w:hint="eastAsia" w:ascii="宋体" w:hAnsi="宋体"/>
          <w:sz w:val="30"/>
          <w:szCs w:val="30"/>
        </w:rPr>
        <w:t>承包人应对其在现场的施工活动负责，并应尽合理努力按合同约定或发包人的指示，协调自身与发包人人员、发包人的其他承包人等人员的活动。</w:t>
      </w:r>
    </w:p>
    <w:p w14:paraId="41B9EAF8">
      <w:pPr>
        <w:ind w:firstLine="600"/>
        <w:rPr>
          <w:rFonts w:ascii="宋体" w:hAnsi="宋体"/>
          <w:sz w:val="30"/>
          <w:szCs w:val="30"/>
        </w:rPr>
      </w:pPr>
      <w:r>
        <w:rPr>
          <w:rFonts w:hint="eastAsia" w:ascii="宋体" w:hAnsi="宋体"/>
          <w:sz w:val="30"/>
          <w:szCs w:val="30"/>
        </w:rPr>
        <w:t>除专用合同条件另有约定外，如果承包人提供上述合作、条件或协调在考虑到《发包人要求》所列内容的情况下是不可预见的，则承包人有权就额外费用和合理利润从发包人处获得支付，且因此延误的工期应相应顺延。</w:t>
      </w:r>
    </w:p>
    <w:p w14:paraId="5E3461DD">
      <w:pPr>
        <w:pStyle w:val="969"/>
        <w:widowControl/>
        <w:numPr>
          <w:ilvl w:val="0"/>
          <w:numId w:val="0"/>
        </w:numPr>
        <w:rPr>
          <w:rFonts w:ascii="宋体" w:hAnsi="宋体" w:eastAsia="宋体"/>
          <w:b w:val="0"/>
          <w:sz w:val="30"/>
          <w:szCs w:val="30"/>
        </w:rPr>
      </w:pPr>
      <w:bookmarkStart w:id="298" w:name="_Toc54862239"/>
      <w:bookmarkStart w:id="299" w:name="_Ref531954287"/>
      <w:bookmarkStart w:id="300" w:name="_Ref531954285"/>
      <w:r>
        <w:rPr>
          <w:rFonts w:hint="eastAsia" w:ascii="宋体" w:hAnsi="宋体" w:eastAsia="宋体"/>
          <w:b w:val="0"/>
          <w:sz w:val="30"/>
          <w:szCs w:val="30"/>
        </w:rPr>
        <w:t>7</w:t>
      </w:r>
      <w:r>
        <w:rPr>
          <w:rFonts w:ascii="宋体" w:hAnsi="宋体" w:eastAsia="宋体"/>
          <w:b w:val="0"/>
          <w:sz w:val="30"/>
          <w:szCs w:val="30"/>
        </w:rPr>
        <w:t xml:space="preserve">.4 </w:t>
      </w:r>
      <w:r>
        <w:rPr>
          <w:rFonts w:hint="eastAsia" w:ascii="宋体" w:hAnsi="宋体" w:eastAsia="宋体"/>
          <w:b w:val="0"/>
          <w:sz w:val="30"/>
          <w:szCs w:val="30"/>
        </w:rPr>
        <w:t>测量放线</w:t>
      </w:r>
      <w:bookmarkEnd w:id="298"/>
      <w:bookmarkEnd w:id="299"/>
      <w:bookmarkEnd w:id="300"/>
    </w:p>
    <w:p w14:paraId="00F6BF32">
      <w:pPr>
        <w:pStyle w:val="994"/>
        <w:numPr>
          <w:ilvl w:val="0"/>
          <w:numId w:val="0"/>
        </w:numPr>
        <w:rPr>
          <w:sz w:val="30"/>
          <w:szCs w:val="30"/>
        </w:rPr>
      </w:pPr>
      <w:r>
        <w:rPr>
          <w:rFonts w:hint="eastAsia"/>
          <w:sz w:val="30"/>
          <w:szCs w:val="30"/>
        </w:rPr>
        <w:t>7</w:t>
      </w:r>
      <w:r>
        <w:rPr>
          <w:sz w:val="30"/>
          <w:szCs w:val="30"/>
        </w:rPr>
        <w:t xml:space="preserve">.4.1 </w:t>
      </w:r>
      <w:r>
        <w:rPr>
          <w:rFonts w:hint="eastAsia"/>
          <w:sz w:val="30"/>
          <w:szCs w:val="30"/>
        </w:rPr>
        <w:t>除专用合同条件另有约定外，承包人应根据国家测绘基准、测绘系统和工程测量技术规范，按基准点（线）以及合同工程精度要求，测设施工控制网，并在专用合同条件约定的期限内，将施工控制网资料报送工程师。</w:t>
      </w:r>
    </w:p>
    <w:p w14:paraId="4B2FE466">
      <w:pPr>
        <w:pStyle w:val="994"/>
        <w:numPr>
          <w:ilvl w:val="0"/>
          <w:numId w:val="0"/>
        </w:numPr>
        <w:rPr>
          <w:sz w:val="30"/>
          <w:szCs w:val="30"/>
        </w:rPr>
      </w:pPr>
      <w:r>
        <w:rPr>
          <w:rFonts w:hint="eastAsia"/>
          <w:sz w:val="30"/>
          <w:szCs w:val="30"/>
        </w:rPr>
        <w:t>7</w:t>
      </w:r>
      <w:r>
        <w:rPr>
          <w:sz w:val="30"/>
          <w:szCs w:val="30"/>
        </w:rPr>
        <w:t xml:space="preserve">.4.2 </w:t>
      </w:r>
      <w:r>
        <w:rPr>
          <w:rFonts w:hint="eastAsia"/>
          <w:sz w:val="30"/>
          <w:szCs w:val="30"/>
        </w:rPr>
        <w:t>承包人应负责管理施工控制网点。施工控制网点丢失或损坏的，承包人应及时修复。承包人应承担施工控制网点的管理与修复费用，并在工程竣工后将施工控制网点移交发包人。承包人负责对工程、单位/区段工程、施工部位放线，并对放线的准确性负责。</w:t>
      </w:r>
    </w:p>
    <w:p w14:paraId="7E3FE1DC">
      <w:pPr>
        <w:pStyle w:val="994"/>
        <w:numPr>
          <w:ilvl w:val="0"/>
          <w:numId w:val="0"/>
        </w:numPr>
        <w:rPr>
          <w:sz w:val="30"/>
          <w:szCs w:val="30"/>
        </w:rPr>
      </w:pPr>
      <w:r>
        <w:rPr>
          <w:rFonts w:hint="eastAsia"/>
          <w:sz w:val="30"/>
          <w:szCs w:val="30"/>
        </w:rPr>
        <w:t>7</w:t>
      </w:r>
      <w:r>
        <w:rPr>
          <w:sz w:val="30"/>
          <w:szCs w:val="30"/>
        </w:rPr>
        <w:t xml:space="preserve">.4.3 </w:t>
      </w:r>
      <w:r>
        <w:rPr>
          <w:rFonts w:hint="eastAsia"/>
          <w:sz w:val="30"/>
          <w:szCs w:val="30"/>
        </w:rPr>
        <w:t>承包人负责施工过程中的全部施工测量放线工作，并配置具有相应资质的人员、合格的仪器、设备和其他物品。承包人应矫正工程的位置、标高、尺寸或基准线中出现的任何差错，并对工程各部分的定位负责。施工过程中对施工现场内水准点等测量标志物的保护工作由承包人负责。</w:t>
      </w:r>
    </w:p>
    <w:p w14:paraId="14882FB1">
      <w:pPr>
        <w:pStyle w:val="969"/>
        <w:widowControl/>
        <w:numPr>
          <w:ilvl w:val="0"/>
          <w:numId w:val="0"/>
        </w:numPr>
        <w:rPr>
          <w:rFonts w:ascii="宋体" w:hAnsi="宋体" w:eastAsia="宋体"/>
          <w:b w:val="0"/>
          <w:sz w:val="30"/>
          <w:szCs w:val="30"/>
        </w:rPr>
      </w:pPr>
      <w:bookmarkStart w:id="301" w:name="_Toc54862240"/>
      <w:bookmarkStart w:id="302" w:name="_Ref531954329"/>
      <w:bookmarkStart w:id="303" w:name="_Ref4770992"/>
      <w:bookmarkStart w:id="304" w:name="_Ref531954323"/>
      <w:r>
        <w:rPr>
          <w:rFonts w:hint="eastAsia" w:ascii="宋体" w:hAnsi="宋体" w:eastAsia="宋体"/>
          <w:b w:val="0"/>
          <w:sz w:val="30"/>
          <w:szCs w:val="30"/>
        </w:rPr>
        <w:t>7</w:t>
      </w:r>
      <w:r>
        <w:rPr>
          <w:rFonts w:ascii="宋体" w:hAnsi="宋体" w:eastAsia="宋体"/>
          <w:b w:val="0"/>
          <w:sz w:val="30"/>
          <w:szCs w:val="30"/>
        </w:rPr>
        <w:t xml:space="preserve">.5 </w:t>
      </w:r>
      <w:r>
        <w:rPr>
          <w:rFonts w:hint="eastAsia" w:ascii="宋体" w:hAnsi="宋体" w:eastAsia="宋体"/>
          <w:b w:val="0"/>
          <w:sz w:val="30"/>
          <w:szCs w:val="30"/>
        </w:rPr>
        <w:t>现场劳动用工</w:t>
      </w:r>
      <w:bookmarkEnd w:id="301"/>
    </w:p>
    <w:p w14:paraId="5CE995C8">
      <w:pPr>
        <w:pStyle w:val="994"/>
        <w:numPr>
          <w:ilvl w:val="0"/>
          <w:numId w:val="0"/>
        </w:numPr>
        <w:rPr>
          <w:sz w:val="30"/>
          <w:szCs w:val="30"/>
        </w:rPr>
      </w:pPr>
      <w:r>
        <w:rPr>
          <w:sz w:val="30"/>
          <w:szCs w:val="30"/>
        </w:rPr>
        <w:t>7.5.1 承包人及其分包人招用建筑工人的，</w:t>
      </w:r>
      <w:r>
        <w:rPr>
          <w:rFonts w:hint="eastAsia"/>
          <w:sz w:val="30"/>
          <w:szCs w:val="30"/>
        </w:rPr>
        <w:t>应当依法与所招用的建筑工人订立</w:t>
      </w:r>
      <w:r>
        <w:rPr>
          <w:sz w:val="30"/>
          <w:szCs w:val="30"/>
        </w:rPr>
        <w:t>劳动合同，实行建筑工人劳动用工实名制管理，</w:t>
      </w:r>
      <w:r>
        <w:rPr>
          <w:rFonts w:hint="eastAsia"/>
          <w:sz w:val="30"/>
          <w:szCs w:val="30"/>
        </w:rPr>
        <w:t>承包人</w:t>
      </w:r>
      <w:r>
        <w:rPr>
          <w:sz w:val="30"/>
          <w:szCs w:val="30"/>
        </w:rPr>
        <w:t>应当按照有关规定开设建筑工人工资专用账户、存储工资保证金，专项用于支付和保障该工程建设项目建筑工人工资。</w:t>
      </w:r>
    </w:p>
    <w:p w14:paraId="266A7721">
      <w:pPr>
        <w:pStyle w:val="994"/>
        <w:numPr>
          <w:ilvl w:val="0"/>
          <w:numId w:val="0"/>
        </w:numPr>
        <w:rPr>
          <w:sz w:val="30"/>
          <w:szCs w:val="30"/>
        </w:rPr>
      </w:pPr>
      <w:r>
        <w:rPr>
          <w:sz w:val="30"/>
          <w:szCs w:val="30"/>
        </w:rPr>
        <w:t>7.5.2 承包人应当在工程项目部配备劳资专管员，对分包单位劳动用工及工资发放实施监督管理。</w:t>
      </w:r>
      <w:r>
        <w:rPr>
          <w:rFonts w:hint="eastAsia"/>
          <w:sz w:val="30"/>
          <w:szCs w:val="30"/>
        </w:rPr>
        <w:t>承包人拖欠建筑工人工资的</w:t>
      </w:r>
      <w:r>
        <w:rPr>
          <w:sz w:val="30"/>
          <w:szCs w:val="30"/>
        </w:rPr>
        <w:t>,应当依法予以清偿。分包人拖欠建筑工人工资的,由承包人先行清偿,再依法进行追偿。</w:t>
      </w:r>
      <w:r>
        <w:rPr>
          <w:rFonts w:hint="eastAsia"/>
          <w:sz w:val="30"/>
          <w:szCs w:val="30"/>
        </w:rPr>
        <w:t>因发包人未按照合同约定及时拨付工程款导致建筑工人工资拖欠的，发包人应当以未结清的工程款为限先行垫付被拖欠的建筑工人工资。合同当事人可在专用合同条件中约定具体的清偿事宜和违约责任。</w:t>
      </w:r>
    </w:p>
    <w:p w14:paraId="1586E8BC">
      <w:pPr>
        <w:pStyle w:val="994"/>
        <w:numPr>
          <w:ilvl w:val="0"/>
          <w:numId w:val="0"/>
        </w:numPr>
        <w:rPr>
          <w:sz w:val="30"/>
          <w:szCs w:val="30"/>
        </w:rPr>
      </w:pPr>
      <w:r>
        <w:rPr>
          <w:rFonts w:hint="eastAsia"/>
          <w:sz w:val="30"/>
          <w:szCs w:val="30"/>
        </w:rPr>
        <w:t>7.5.3 承包人应当按照相关法律法规的要求，进行劳动用工管理和建筑工人工资支付。</w:t>
      </w:r>
    </w:p>
    <w:p w14:paraId="63146505">
      <w:pPr>
        <w:pStyle w:val="969"/>
        <w:widowControl/>
        <w:numPr>
          <w:ilvl w:val="0"/>
          <w:numId w:val="0"/>
        </w:numPr>
        <w:rPr>
          <w:rFonts w:ascii="宋体" w:hAnsi="宋体" w:eastAsia="宋体"/>
          <w:b w:val="0"/>
          <w:sz w:val="30"/>
          <w:szCs w:val="30"/>
        </w:rPr>
      </w:pPr>
      <w:bookmarkStart w:id="305" w:name="_Toc54862241"/>
      <w:bookmarkStart w:id="306" w:name="_Ref41554059"/>
      <w:r>
        <w:rPr>
          <w:rFonts w:hint="eastAsia" w:ascii="宋体" w:hAnsi="宋体" w:eastAsia="宋体"/>
          <w:b w:val="0"/>
          <w:sz w:val="30"/>
          <w:szCs w:val="30"/>
        </w:rPr>
        <w:t>7</w:t>
      </w:r>
      <w:r>
        <w:rPr>
          <w:rFonts w:ascii="宋体" w:hAnsi="宋体" w:eastAsia="宋体"/>
          <w:b w:val="0"/>
          <w:sz w:val="30"/>
          <w:szCs w:val="30"/>
        </w:rPr>
        <w:t xml:space="preserve">.6 </w:t>
      </w:r>
      <w:r>
        <w:rPr>
          <w:rFonts w:hint="eastAsia" w:ascii="宋体" w:hAnsi="宋体" w:eastAsia="宋体"/>
          <w:b w:val="0"/>
          <w:sz w:val="30"/>
          <w:szCs w:val="30"/>
        </w:rPr>
        <w:t>安全文明施工</w:t>
      </w:r>
      <w:bookmarkEnd w:id="302"/>
      <w:bookmarkEnd w:id="303"/>
      <w:bookmarkEnd w:id="304"/>
      <w:bookmarkEnd w:id="305"/>
      <w:bookmarkEnd w:id="306"/>
    </w:p>
    <w:p w14:paraId="1CB29C5A">
      <w:pPr>
        <w:pStyle w:val="994"/>
        <w:numPr>
          <w:ilvl w:val="0"/>
          <w:numId w:val="0"/>
        </w:numPr>
        <w:rPr>
          <w:sz w:val="30"/>
          <w:szCs w:val="30"/>
        </w:rPr>
      </w:pPr>
      <w:bookmarkStart w:id="307" w:name="_Ref18990822"/>
      <w:r>
        <w:rPr>
          <w:rFonts w:hint="eastAsia"/>
          <w:sz w:val="30"/>
          <w:szCs w:val="30"/>
        </w:rPr>
        <w:t>7</w:t>
      </w:r>
      <w:r>
        <w:rPr>
          <w:sz w:val="30"/>
          <w:szCs w:val="30"/>
        </w:rPr>
        <w:t xml:space="preserve">.6.1 </w:t>
      </w:r>
      <w:r>
        <w:rPr>
          <w:rFonts w:hint="eastAsia"/>
          <w:sz w:val="30"/>
          <w:szCs w:val="30"/>
        </w:rPr>
        <w:t>安全生产要求</w:t>
      </w:r>
      <w:bookmarkEnd w:id="307"/>
    </w:p>
    <w:p w14:paraId="6D28302B">
      <w:pPr>
        <w:ind w:firstLine="600"/>
        <w:rPr>
          <w:rFonts w:ascii="宋体" w:hAnsi="宋体"/>
          <w:sz w:val="30"/>
          <w:szCs w:val="30"/>
        </w:rPr>
      </w:pPr>
      <w:r>
        <w:rPr>
          <w:rFonts w:hint="eastAsia" w:ascii="宋体" w:hAnsi="宋体"/>
          <w:sz w:val="30"/>
          <w:szCs w:val="30"/>
        </w:rPr>
        <w:t>合同履行期间，合同当事人均应当遵守国家和工程所在地有关安全生产的要求，合同当事人有特别要求的，应在专用合同条件中明确安全生产标准化目标及相应事项。承包人有权拒绝发包人及工程师强令承包人违章作业、冒险施工的任何指示。</w:t>
      </w:r>
    </w:p>
    <w:p w14:paraId="0645B344">
      <w:pPr>
        <w:ind w:firstLine="600"/>
        <w:rPr>
          <w:rFonts w:ascii="宋体" w:hAnsi="宋体"/>
          <w:sz w:val="30"/>
          <w:szCs w:val="30"/>
        </w:rPr>
      </w:pPr>
      <w:r>
        <w:rPr>
          <w:rFonts w:hint="eastAsia" w:ascii="宋体" w:hAnsi="宋体"/>
          <w:sz w:val="30"/>
          <w:szCs w:val="30"/>
        </w:rPr>
        <w:t>在工程实施过程中，如遇到突发的地质变动、事先未知的地下施工障碍等影响施工安全的紧急情况，承包人应及时报告工程师和发包人，发包人应当及时下令停工并采取应急措施，按照相关法律法规的要求需上报政府有关行政管理部门的，应依法上报。</w:t>
      </w:r>
    </w:p>
    <w:p w14:paraId="00BA5C0A">
      <w:pPr>
        <w:ind w:firstLine="600"/>
        <w:rPr>
          <w:rFonts w:ascii="宋体" w:hAnsi="宋体"/>
          <w:sz w:val="30"/>
          <w:szCs w:val="30"/>
        </w:rPr>
      </w:pPr>
      <w:r>
        <w:rPr>
          <w:rFonts w:hint="eastAsia" w:ascii="宋体" w:hAnsi="宋体"/>
          <w:sz w:val="30"/>
          <w:szCs w:val="30"/>
        </w:rPr>
        <w:t>因安全生产需要暂停施工的，按照第</w:t>
      </w:r>
      <w:r>
        <w:rPr>
          <w:rFonts w:ascii="宋体" w:hAnsi="宋体"/>
          <w:sz w:val="30"/>
          <w:szCs w:val="30"/>
        </w:rPr>
        <w:t>8.9</w:t>
      </w:r>
      <w:r>
        <w:rPr>
          <w:rFonts w:hint="eastAsia" w:ascii="宋体" w:hAnsi="宋体"/>
          <w:sz w:val="30"/>
          <w:szCs w:val="30"/>
        </w:rPr>
        <w:t>款[暂停工作]的约定执行。</w:t>
      </w:r>
    </w:p>
    <w:p w14:paraId="20A0FF39">
      <w:pPr>
        <w:pStyle w:val="994"/>
        <w:numPr>
          <w:ilvl w:val="0"/>
          <w:numId w:val="0"/>
        </w:numPr>
        <w:rPr>
          <w:sz w:val="30"/>
          <w:szCs w:val="30"/>
        </w:rPr>
      </w:pPr>
      <w:r>
        <w:rPr>
          <w:rFonts w:hint="eastAsia"/>
          <w:sz w:val="30"/>
          <w:szCs w:val="30"/>
        </w:rPr>
        <w:t>7</w:t>
      </w:r>
      <w:r>
        <w:rPr>
          <w:sz w:val="30"/>
          <w:szCs w:val="30"/>
        </w:rPr>
        <w:t xml:space="preserve">.6.2 </w:t>
      </w:r>
      <w:r>
        <w:rPr>
          <w:rFonts w:hint="eastAsia"/>
          <w:sz w:val="30"/>
          <w:szCs w:val="30"/>
        </w:rPr>
        <w:t>安全生产保证措施</w:t>
      </w:r>
    </w:p>
    <w:p w14:paraId="3AE3BAE8">
      <w:pPr>
        <w:ind w:firstLine="600"/>
        <w:rPr>
          <w:rFonts w:ascii="宋体" w:hAnsi="宋体"/>
          <w:sz w:val="30"/>
          <w:szCs w:val="30"/>
        </w:rPr>
      </w:pPr>
      <w:r>
        <w:rPr>
          <w:rFonts w:hint="eastAsia" w:ascii="宋体" w:hAnsi="宋体"/>
          <w:sz w:val="30"/>
          <w:szCs w:val="30"/>
        </w:rPr>
        <w:t>承包人应当按照法律、法规和工程建设强制性标准进行设计、在设计文件中注明涉及施工安全的重点部位和环节，提出保障施工作业人员和预防安全事故的措施建议，防止因设计不合理导致生产安全事故的发生。</w:t>
      </w:r>
    </w:p>
    <w:p w14:paraId="70905536">
      <w:pPr>
        <w:ind w:firstLine="600"/>
        <w:rPr>
          <w:rFonts w:ascii="宋体" w:hAnsi="宋体"/>
          <w:sz w:val="30"/>
          <w:szCs w:val="30"/>
        </w:rPr>
      </w:pPr>
      <w:r>
        <w:rPr>
          <w:rFonts w:hint="eastAsia" w:ascii="宋体" w:hAnsi="宋体"/>
          <w:sz w:val="30"/>
          <w:szCs w:val="30"/>
        </w:rPr>
        <w:t>承包人应当按照有关规定编制安全技术措施或者专项施工方案，建立安全生产责任制度、治安保卫制度及安全生产教育培训制度，并按安全生产法律规定及合同约定履行安全职责，如实编制工程安全生产的有关记录，接受发包人、工程师及政府安全监督部门的检查与监督。</w:t>
      </w:r>
    </w:p>
    <w:p w14:paraId="2C07D197">
      <w:pPr>
        <w:ind w:firstLine="600"/>
        <w:rPr>
          <w:rFonts w:ascii="宋体" w:hAnsi="宋体"/>
          <w:sz w:val="30"/>
          <w:szCs w:val="30"/>
        </w:rPr>
      </w:pPr>
      <w:r>
        <w:rPr>
          <w:rFonts w:hint="eastAsia" w:ascii="宋体" w:hAnsi="宋体"/>
          <w:sz w:val="30"/>
          <w:szCs w:val="30"/>
        </w:rPr>
        <w:t>承包人应按照法律规定进行施工，开工前做好安全技术交底工作，施工过程中做好各项安全防护措施。承包人为实施合同而雇用的特殊工种的人员应受过专门的培训并已取得政府有关管理机构颁发的上岗证书。承包人应加强施工作业安全管理，特别应加强对于易燃、易爆材料、火工器材、有毒与腐蚀性材料和其他危险品的管理，以及对爆破作业和地下工程施工等危险作业的管理。</w:t>
      </w:r>
    </w:p>
    <w:p w14:paraId="5397D23B">
      <w:pPr>
        <w:pStyle w:val="994"/>
        <w:numPr>
          <w:ilvl w:val="0"/>
          <w:numId w:val="0"/>
        </w:numPr>
        <w:rPr>
          <w:sz w:val="30"/>
          <w:szCs w:val="30"/>
        </w:rPr>
      </w:pPr>
      <w:bookmarkStart w:id="308" w:name="_Ref18990840"/>
      <w:r>
        <w:rPr>
          <w:rFonts w:hint="eastAsia"/>
          <w:sz w:val="30"/>
          <w:szCs w:val="30"/>
        </w:rPr>
        <w:t>7</w:t>
      </w:r>
      <w:r>
        <w:rPr>
          <w:sz w:val="30"/>
          <w:szCs w:val="30"/>
        </w:rPr>
        <w:t xml:space="preserve">.6.3 </w:t>
      </w:r>
      <w:r>
        <w:rPr>
          <w:rFonts w:hint="eastAsia"/>
          <w:sz w:val="30"/>
          <w:szCs w:val="30"/>
        </w:rPr>
        <w:t>文明施工</w:t>
      </w:r>
      <w:bookmarkEnd w:id="308"/>
    </w:p>
    <w:p w14:paraId="7D9649BD">
      <w:pPr>
        <w:ind w:firstLine="600"/>
        <w:rPr>
          <w:rFonts w:ascii="宋体" w:hAnsi="宋体"/>
          <w:sz w:val="30"/>
          <w:szCs w:val="30"/>
        </w:rPr>
      </w:pPr>
      <w:r>
        <w:rPr>
          <w:rFonts w:hint="eastAsia" w:ascii="宋体" w:hAnsi="宋体"/>
          <w:sz w:val="30"/>
          <w:szCs w:val="30"/>
        </w:rPr>
        <w:t>承包人在工程施工期间，应当采取措施保持施工现场平整，物料堆放整齐。工程所在地有关政府行政管理部门有特殊要求的，按照其要求执行。合同当事人对文明施工有其他要求的，可以在专用合同条件中明确。</w:t>
      </w:r>
    </w:p>
    <w:p w14:paraId="7199E8A4">
      <w:pPr>
        <w:ind w:firstLine="600"/>
        <w:rPr>
          <w:rFonts w:ascii="宋体" w:hAnsi="宋体"/>
          <w:sz w:val="30"/>
          <w:szCs w:val="30"/>
        </w:rPr>
      </w:pPr>
      <w:r>
        <w:rPr>
          <w:rFonts w:hint="eastAsia" w:ascii="宋体" w:hAnsi="宋体"/>
          <w:sz w:val="30"/>
          <w:szCs w:val="30"/>
        </w:rPr>
        <w:t>在工程移交之前，承包人应当从施工现场清除承包人的全部工程设备、多余材料、垃圾和各种临时工程，并保持施工现场清洁整齐。经发包人书面同意，承包人可在发包人指定的地点保留承包人履行保修期内的各项义务所需要的材料、施工设备和临时工程。</w:t>
      </w:r>
    </w:p>
    <w:p w14:paraId="6CCC47EF">
      <w:pPr>
        <w:pStyle w:val="994"/>
        <w:numPr>
          <w:ilvl w:val="0"/>
          <w:numId w:val="0"/>
        </w:numPr>
        <w:rPr>
          <w:sz w:val="30"/>
          <w:szCs w:val="30"/>
        </w:rPr>
      </w:pPr>
      <w:r>
        <w:rPr>
          <w:rFonts w:hint="eastAsia"/>
          <w:sz w:val="30"/>
          <w:szCs w:val="30"/>
        </w:rPr>
        <w:t>7</w:t>
      </w:r>
      <w:r>
        <w:rPr>
          <w:sz w:val="30"/>
          <w:szCs w:val="30"/>
        </w:rPr>
        <w:t xml:space="preserve">.6.4 </w:t>
      </w:r>
      <w:r>
        <w:rPr>
          <w:rFonts w:hint="eastAsia"/>
          <w:sz w:val="30"/>
          <w:szCs w:val="30"/>
        </w:rPr>
        <w:t>事故处理</w:t>
      </w:r>
    </w:p>
    <w:p w14:paraId="05F16F13">
      <w:pPr>
        <w:ind w:firstLine="600"/>
        <w:rPr>
          <w:rFonts w:ascii="宋体" w:hAnsi="宋体"/>
          <w:sz w:val="30"/>
          <w:szCs w:val="30"/>
        </w:rPr>
      </w:pPr>
      <w:r>
        <w:rPr>
          <w:rFonts w:hint="eastAsia" w:ascii="宋体" w:hAnsi="宋体"/>
          <w:sz w:val="30"/>
          <w:szCs w:val="30"/>
        </w:rPr>
        <w:t>工程实施过程中发生事故的，承包人应立即通知工程师。发包人和承包人应立即组织人员和设备进行紧急抢救和抢修，减少人员伤亡和财产损失，防止事故扩大，并保护事故现场。需要移动现场物品时，应作出标记和书面记录，妥善保管有关证据。发包人和承包人应按国家有关规定，及时如实地向有关部门报告事故发生的情况，以及正在采取的紧急措施等。</w:t>
      </w:r>
    </w:p>
    <w:p w14:paraId="42BDAE2D">
      <w:pPr>
        <w:ind w:firstLine="600"/>
        <w:rPr>
          <w:rFonts w:ascii="宋体" w:hAnsi="宋体"/>
          <w:sz w:val="30"/>
          <w:szCs w:val="30"/>
        </w:rPr>
      </w:pPr>
      <w:r>
        <w:rPr>
          <w:rFonts w:hint="eastAsia" w:ascii="宋体" w:hAnsi="宋体"/>
          <w:sz w:val="30"/>
          <w:szCs w:val="30"/>
        </w:rPr>
        <w:t>在工程实施期间或缺陷责任期内发生危及工程安全的事件，工程师通知承包人进行抢救和抢修，承包人声明无能力或不愿立即执行的，发包人有权雇佣其他人员进行抢救和抢修。此类抢救和抢修按合同约定属于承包人义务的，由此增加的费用和（或）延误的工期由承包人承担。</w:t>
      </w:r>
    </w:p>
    <w:p w14:paraId="654F2EA3">
      <w:pPr>
        <w:pStyle w:val="994"/>
        <w:numPr>
          <w:ilvl w:val="0"/>
          <w:numId w:val="0"/>
        </w:numPr>
        <w:rPr>
          <w:sz w:val="30"/>
          <w:szCs w:val="30"/>
        </w:rPr>
      </w:pPr>
      <w:r>
        <w:rPr>
          <w:rFonts w:hint="eastAsia"/>
          <w:sz w:val="30"/>
          <w:szCs w:val="30"/>
        </w:rPr>
        <w:t>7</w:t>
      </w:r>
      <w:r>
        <w:rPr>
          <w:sz w:val="30"/>
          <w:szCs w:val="30"/>
        </w:rPr>
        <w:t xml:space="preserve">.6.5 </w:t>
      </w:r>
      <w:r>
        <w:rPr>
          <w:rFonts w:hint="eastAsia"/>
          <w:sz w:val="30"/>
          <w:szCs w:val="30"/>
        </w:rPr>
        <w:t>安全生产责任</w:t>
      </w:r>
    </w:p>
    <w:p w14:paraId="496DF37E">
      <w:pPr>
        <w:ind w:firstLine="600"/>
        <w:rPr>
          <w:rFonts w:ascii="宋体" w:hAnsi="宋体"/>
          <w:sz w:val="30"/>
          <w:szCs w:val="30"/>
        </w:rPr>
      </w:pPr>
      <w:r>
        <w:rPr>
          <w:rFonts w:hint="eastAsia" w:ascii="宋体" w:hAnsi="宋体"/>
          <w:sz w:val="30"/>
          <w:szCs w:val="30"/>
        </w:rPr>
        <w:t>发包人应负责赔偿以下各种情况造成的损失：</w:t>
      </w:r>
    </w:p>
    <w:p w14:paraId="70CFFCED">
      <w:pPr>
        <w:ind w:firstLine="600"/>
        <w:rPr>
          <w:rFonts w:ascii="宋体" w:hAnsi="宋体"/>
          <w:sz w:val="30"/>
          <w:szCs w:val="30"/>
        </w:rPr>
      </w:pPr>
      <w:r>
        <w:rPr>
          <w:rFonts w:hint="eastAsia" w:ascii="宋体" w:hAnsi="宋体"/>
          <w:sz w:val="30"/>
          <w:szCs w:val="30"/>
        </w:rPr>
        <w:t>（1） 工程或工程的任何部分对土地的占用所造成的第三者财产损失；</w:t>
      </w:r>
    </w:p>
    <w:p w14:paraId="46585AB5">
      <w:pPr>
        <w:ind w:firstLine="600"/>
        <w:rPr>
          <w:rFonts w:ascii="宋体" w:hAnsi="宋体"/>
          <w:sz w:val="30"/>
          <w:szCs w:val="30"/>
        </w:rPr>
      </w:pPr>
      <w:r>
        <w:rPr>
          <w:rFonts w:hint="eastAsia" w:ascii="宋体" w:hAnsi="宋体"/>
          <w:sz w:val="30"/>
          <w:szCs w:val="30"/>
        </w:rPr>
        <w:t>（2） 由于发包人原因在施工现场及其毗邻地带、履行合同工作中造成的第三者人身伤亡和财产损失；</w:t>
      </w:r>
    </w:p>
    <w:p w14:paraId="5592B617">
      <w:pPr>
        <w:ind w:firstLine="600"/>
        <w:rPr>
          <w:rFonts w:ascii="宋体" w:hAnsi="宋体"/>
          <w:sz w:val="30"/>
          <w:szCs w:val="30"/>
        </w:rPr>
      </w:pPr>
      <w:r>
        <w:rPr>
          <w:rFonts w:hint="eastAsia" w:ascii="宋体" w:hAnsi="宋体"/>
          <w:sz w:val="30"/>
          <w:szCs w:val="30"/>
        </w:rPr>
        <w:t>（3） 由于发包人原因对发包人自身、承包人、工程师造成的人身伤害和财产损失。</w:t>
      </w:r>
    </w:p>
    <w:p w14:paraId="3ACED637">
      <w:pPr>
        <w:ind w:firstLine="600"/>
        <w:rPr>
          <w:rFonts w:ascii="宋体" w:hAnsi="宋体"/>
          <w:sz w:val="30"/>
          <w:szCs w:val="30"/>
        </w:rPr>
      </w:pPr>
      <w:r>
        <w:rPr>
          <w:rFonts w:hint="eastAsia" w:ascii="宋体" w:hAnsi="宋体"/>
          <w:sz w:val="30"/>
          <w:szCs w:val="30"/>
        </w:rPr>
        <w:t>承包人应负责赔偿由于承包人原因在施工现场及其毗邻地带、履行合同工作中造成的第三者人身伤亡和财产损失。</w:t>
      </w:r>
    </w:p>
    <w:p w14:paraId="162F8027">
      <w:pPr>
        <w:ind w:firstLine="600"/>
        <w:rPr>
          <w:rFonts w:ascii="宋体" w:hAnsi="宋体"/>
          <w:sz w:val="30"/>
          <w:szCs w:val="30"/>
        </w:rPr>
      </w:pPr>
      <w:r>
        <w:rPr>
          <w:rFonts w:hint="eastAsia" w:ascii="宋体" w:hAnsi="宋体"/>
          <w:sz w:val="30"/>
          <w:szCs w:val="30"/>
        </w:rPr>
        <w:t>如果上述损失是由于发包人和承包人共同原因导致的，则双方应根据过错情况按比例承担。</w:t>
      </w:r>
    </w:p>
    <w:p w14:paraId="30704056">
      <w:pPr>
        <w:pStyle w:val="969"/>
        <w:widowControl/>
        <w:numPr>
          <w:ilvl w:val="0"/>
          <w:numId w:val="0"/>
        </w:numPr>
        <w:rPr>
          <w:rFonts w:ascii="宋体" w:hAnsi="宋体" w:eastAsia="宋体"/>
          <w:b w:val="0"/>
          <w:sz w:val="30"/>
          <w:szCs w:val="30"/>
        </w:rPr>
      </w:pPr>
      <w:bookmarkStart w:id="309" w:name="_Ref11874562"/>
      <w:bookmarkStart w:id="310" w:name="_Ref41554069"/>
      <w:bookmarkStart w:id="311" w:name="_Toc54862242"/>
      <w:r>
        <w:rPr>
          <w:rFonts w:hint="eastAsia" w:ascii="宋体" w:hAnsi="宋体" w:eastAsia="宋体"/>
          <w:b w:val="0"/>
          <w:sz w:val="30"/>
          <w:szCs w:val="30"/>
        </w:rPr>
        <w:t>7</w:t>
      </w:r>
      <w:r>
        <w:rPr>
          <w:rFonts w:ascii="宋体" w:hAnsi="宋体" w:eastAsia="宋体"/>
          <w:b w:val="0"/>
          <w:sz w:val="30"/>
          <w:szCs w:val="30"/>
        </w:rPr>
        <w:t xml:space="preserve">.7 </w:t>
      </w:r>
      <w:r>
        <w:rPr>
          <w:rFonts w:hint="eastAsia" w:ascii="宋体" w:hAnsi="宋体" w:eastAsia="宋体"/>
          <w:b w:val="0"/>
          <w:sz w:val="30"/>
          <w:szCs w:val="30"/>
        </w:rPr>
        <w:t>职业健康</w:t>
      </w:r>
      <w:bookmarkEnd w:id="309"/>
      <w:bookmarkEnd w:id="310"/>
      <w:bookmarkEnd w:id="311"/>
    </w:p>
    <w:p w14:paraId="30E3D52C">
      <w:pPr>
        <w:ind w:firstLine="600"/>
        <w:rPr>
          <w:rFonts w:ascii="宋体" w:hAnsi="宋体"/>
          <w:sz w:val="30"/>
          <w:szCs w:val="30"/>
        </w:rPr>
      </w:pPr>
      <w:r>
        <w:rPr>
          <w:rFonts w:hint="eastAsia" w:ascii="宋体" w:hAnsi="宋体"/>
          <w:sz w:val="30"/>
          <w:szCs w:val="30"/>
        </w:rPr>
        <w:t>承包人应遵守适用的职业健康的法律和合同约定（包括对雇用、职业健康、安全、福利等方面的规定），负责现场实施过程中其人员的职业健康和保护，包括：</w:t>
      </w:r>
    </w:p>
    <w:p w14:paraId="205DC4D8">
      <w:pPr>
        <w:ind w:firstLine="600"/>
        <w:rPr>
          <w:rFonts w:ascii="宋体" w:hAnsi="宋体"/>
          <w:sz w:val="30"/>
          <w:szCs w:val="30"/>
        </w:rPr>
      </w:pPr>
      <w:r>
        <w:rPr>
          <w:rFonts w:hint="eastAsia" w:ascii="宋体" w:hAnsi="宋体"/>
          <w:sz w:val="30"/>
          <w:szCs w:val="30"/>
        </w:rPr>
        <w:t>（1） 承包人应遵守适用的劳动法规，保护承包人员工及承包人聘用的第三方人员的合法休假权等合法权益，按照法律规定安排现场施工人员的劳动和休息时间，保障劳动者的休息时间，并支付合理的报酬和费用。因工程施工的特殊需要占用休假日或延长工作时间的，应不超过法律规定的限度，并按法律规定给予补休或酬劳。</w:t>
      </w:r>
    </w:p>
    <w:p w14:paraId="266311BF">
      <w:pPr>
        <w:ind w:firstLine="600"/>
        <w:rPr>
          <w:rFonts w:ascii="宋体" w:hAnsi="宋体"/>
          <w:sz w:val="30"/>
          <w:szCs w:val="30"/>
        </w:rPr>
      </w:pPr>
      <w:r>
        <w:rPr>
          <w:rFonts w:hint="eastAsia" w:ascii="宋体" w:hAnsi="宋体"/>
          <w:sz w:val="30"/>
          <w:szCs w:val="30"/>
        </w:rPr>
        <w:t>（2） 承包人应依法为承包人</w:t>
      </w:r>
      <w:bookmarkStart w:id="312" w:name="_Hlk46339538"/>
      <w:r>
        <w:rPr>
          <w:rFonts w:hint="eastAsia" w:ascii="宋体" w:hAnsi="宋体"/>
          <w:sz w:val="30"/>
          <w:szCs w:val="30"/>
        </w:rPr>
        <w:t>员工及承包人聘用的第三方人员</w:t>
      </w:r>
      <w:bookmarkEnd w:id="312"/>
      <w:r>
        <w:rPr>
          <w:rFonts w:hint="eastAsia" w:ascii="宋体" w:hAnsi="宋体"/>
          <w:sz w:val="30"/>
          <w:szCs w:val="30"/>
        </w:rPr>
        <w:t>办理必要的证件、许可、保险和注册等，承包人应督促其分包人为分包人员工及分包人聘用的第三方人员办理必要的证件、许可、保险和注册等。承包人应为其履行合同所雇用的人员提供必要的膳宿条件和生活环境，必要的现场食宿条件。</w:t>
      </w:r>
    </w:p>
    <w:p w14:paraId="4CF6B4C8">
      <w:pPr>
        <w:ind w:firstLine="600"/>
        <w:rPr>
          <w:rFonts w:ascii="宋体" w:hAnsi="宋体"/>
          <w:sz w:val="30"/>
          <w:szCs w:val="30"/>
        </w:rPr>
      </w:pPr>
      <w:r>
        <w:rPr>
          <w:rFonts w:hint="eastAsia" w:ascii="宋体" w:hAnsi="宋体"/>
          <w:sz w:val="30"/>
          <w:szCs w:val="30"/>
        </w:rPr>
        <w:t>（3） 承包人应对其施工人员进行相关作业的职业健康知识培训、危险及危害因素交底、安全操作规程交底、采取有效措施，按有关规定为其现场人员提供劳动保护用品、防护器具、防暑降温用品和安全生产设施。采取有效的防止粉尘、降低噪声、控制有害气体和保障高温、高寒、高空作业安全等劳动保护措施。</w:t>
      </w:r>
    </w:p>
    <w:p w14:paraId="4ED64C97">
      <w:pPr>
        <w:ind w:firstLine="600"/>
        <w:rPr>
          <w:rFonts w:ascii="宋体" w:hAnsi="宋体"/>
          <w:sz w:val="30"/>
          <w:szCs w:val="30"/>
        </w:rPr>
      </w:pPr>
      <w:r>
        <w:rPr>
          <w:rFonts w:hint="eastAsia" w:ascii="宋体" w:hAnsi="宋体"/>
          <w:sz w:val="30"/>
          <w:szCs w:val="30"/>
        </w:rPr>
        <w:t>（4） 承包人应在有毒有害作业区域设置警示标志和说明，对有毒有害岗位进行防治检查，对不合格的防护设施、器具、搭设等及时整改，消除危害职业健康的隐患。发包人人员和工程师人员未经承包人允许、未配备相关保护器具，进入该作业区域所造成的伤害，由发包人承担责任和费用。</w:t>
      </w:r>
    </w:p>
    <w:p w14:paraId="44333FB7">
      <w:pPr>
        <w:ind w:firstLine="600"/>
        <w:rPr>
          <w:rFonts w:ascii="宋体" w:hAnsi="宋体"/>
          <w:sz w:val="30"/>
          <w:szCs w:val="30"/>
        </w:rPr>
      </w:pPr>
      <w:r>
        <w:rPr>
          <w:rFonts w:hint="eastAsia" w:ascii="宋体" w:hAnsi="宋体"/>
          <w:sz w:val="30"/>
          <w:szCs w:val="30"/>
        </w:rPr>
        <w:t>（5） 承包人应采取有效措施预防传染病，保持食堂的饮食卫生，保证施工人员的健康，并定期对施工现场、施工人员生活基地和工程进行防疫和卫生的专业检查和处理, 在远离城镇的施工现场，还应配备必要的伤病防治和急救的医务人员与医疗设施。承包人雇佣人员在施工中受到伤害的，承包人应立即采取有效措施进行抢救和治疗。</w:t>
      </w:r>
    </w:p>
    <w:p w14:paraId="49BC0E5C">
      <w:pPr>
        <w:pStyle w:val="969"/>
        <w:widowControl/>
        <w:numPr>
          <w:ilvl w:val="0"/>
          <w:numId w:val="0"/>
        </w:numPr>
        <w:rPr>
          <w:rFonts w:ascii="宋体" w:hAnsi="宋体" w:eastAsia="宋体"/>
          <w:b w:val="0"/>
          <w:sz w:val="30"/>
          <w:szCs w:val="30"/>
        </w:rPr>
      </w:pPr>
      <w:bookmarkStart w:id="313" w:name="_Ref11874570"/>
      <w:bookmarkStart w:id="314" w:name="_Toc54862243"/>
      <w:r>
        <w:rPr>
          <w:rFonts w:hint="eastAsia" w:ascii="宋体" w:hAnsi="宋体" w:eastAsia="宋体"/>
          <w:b w:val="0"/>
          <w:sz w:val="30"/>
          <w:szCs w:val="30"/>
        </w:rPr>
        <w:t>7</w:t>
      </w:r>
      <w:r>
        <w:rPr>
          <w:rFonts w:ascii="宋体" w:hAnsi="宋体" w:eastAsia="宋体"/>
          <w:b w:val="0"/>
          <w:sz w:val="30"/>
          <w:szCs w:val="30"/>
        </w:rPr>
        <w:t xml:space="preserve">.8 </w:t>
      </w:r>
      <w:r>
        <w:rPr>
          <w:rFonts w:hint="eastAsia" w:ascii="宋体" w:hAnsi="宋体" w:eastAsia="宋体"/>
          <w:b w:val="0"/>
          <w:sz w:val="30"/>
          <w:szCs w:val="30"/>
        </w:rPr>
        <w:t>环境保护</w:t>
      </w:r>
      <w:bookmarkEnd w:id="313"/>
      <w:bookmarkEnd w:id="314"/>
    </w:p>
    <w:p w14:paraId="78E60A46">
      <w:pPr>
        <w:pStyle w:val="994"/>
        <w:numPr>
          <w:ilvl w:val="0"/>
          <w:numId w:val="0"/>
        </w:numPr>
        <w:rPr>
          <w:sz w:val="30"/>
          <w:szCs w:val="30"/>
        </w:rPr>
      </w:pPr>
      <w:r>
        <w:rPr>
          <w:rFonts w:hint="eastAsia"/>
          <w:sz w:val="30"/>
          <w:szCs w:val="30"/>
        </w:rPr>
        <w:t>7</w:t>
      </w:r>
      <w:r>
        <w:rPr>
          <w:sz w:val="30"/>
          <w:szCs w:val="30"/>
        </w:rPr>
        <w:t xml:space="preserve">.8.1 </w:t>
      </w:r>
      <w:r>
        <w:rPr>
          <w:rFonts w:hint="eastAsia"/>
          <w:sz w:val="30"/>
          <w:szCs w:val="30"/>
        </w:rPr>
        <w:t>承包人负责在现场施工过程中对现场周围的建筑物、构筑物、文物建筑、古树、名木，及地下管线、线缆、构筑物、文物、化石和坟墓等进行保护。因承包人未能通知发包人，并在未能得到发包人进一步指示的情况下，所造成的损害、损失、赔偿等费用增加，和（或）竣工日期延误，由承包人负责。如承包人已及时通知发包人，发包人未能及时作出指示的，所造成的损害、损失、赔偿等费用增加，和（或）竣工日期延误，由发包人负责。</w:t>
      </w:r>
    </w:p>
    <w:p w14:paraId="511F73D0">
      <w:pPr>
        <w:pStyle w:val="994"/>
        <w:numPr>
          <w:ilvl w:val="0"/>
          <w:numId w:val="0"/>
        </w:numPr>
        <w:rPr>
          <w:sz w:val="30"/>
          <w:szCs w:val="30"/>
        </w:rPr>
      </w:pPr>
      <w:r>
        <w:rPr>
          <w:rFonts w:hint="eastAsia"/>
          <w:sz w:val="30"/>
          <w:szCs w:val="30"/>
        </w:rPr>
        <w:t>7</w:t>
      </w:r>
      <w:r>
        <w:rPr>
          <w:sz w:val="30"/>
          <w:szCs w:val="30"/>
        </w:rPr>
        <w:t xml:space="preserve">.8.2 </w:t>
      </w:r>
      <w:r>
        <w:rPr>
          <w:rFonts w:hint="eastAsia"/>
          <w:sz w:val="30"/>
          <w:szCs w:val="30"/>
        </w:rPr>
        <w:t>承包人应采取措施，并负责控制和（或）处理现场的粉尘、废气、废水、固体废物和噪声对环境的污染和危害。因此发生的伤害、赔偿、罚款等费用增加，和（或）竣工日期延误，由承包人负责。</w:t>
      </w:r>
    </w:p>
    <w:p w14:paraId="6F8C2470">
      <w:pPr>
        <w:pStyle w:val="994"/>
        <w:numPr>
          <w:ilvl w:val="0"/>
          <w:numId w:val="0"/>
        </w:numPr>
        <w:rPr>
          <w:sz w:val="30"/>
          <w:szCs w:val="30"/>
        </w:rPr>
      </w:pPr>
      <w:r>
        <w:rPr>
          <w:rFonts w:hint="eastAsia"/>
          <w:sz w:val="30"/>
          <w:szCs w:val="30"/>
        </w:rPr>
        <w:t>7</w:t>
      </w:r>
      <w:r>
        <w:rPr>
          <w:sz w:val="30"/>
          <w:szCs w:val="30"/>
        </w:rPr>
        <w:t xml:space="preserve">.8.3 </w:t>
      </w:r>
      <w:r>
        <w:rPr>
          <w:rFonts w:hint="eastAsia"/>
          <w:sz w:val="30"/>
          <w:szCs w:val="30"/>
        </w:rPr>
        <w:t>承包人及时或定期将施工现场残留、废弃的垃圾分类后运到发包人或当地有关行政部门指定的地点，防止对周围环境的污染及对作业的影响。承包人应当承担因其原因引起的环境污染侵权损害赔偿责任，因违反上述约定导致当地行政部门的罚款、赔偿等增加的费用，由承包人承担；因上述环境污染引起纠纷而导致暂停施工的，由此增加的费用和（或）延误的工期由承包人承担。</w:t>
      </w:r>
    </w:p>
    <w:p w14:paraId="736E987D">
      <w:pPr>
        <w:pStyle w:val="969"/>
        <w:widowControl/>
        <w:numPr>
          <w:ilvl w:val="0"/>
          <w:numId w:val="0"/>
        </w:numPr>
        <w:rPr>
          <w:rFonts w:ascii="宋体" w:hAnsi="宋体" w:eastAsia="宋体"/>
          <w:b w:val="0"/>
          <w:sz w:val="30"/>
          <w:szCs w:val="30"/>
        </w:rPr>
      </w:pPr>
      <w:bookmarkStart w:id="315" w:name="_Ref531954340"/>
      <w:bookmarkStart w:id="316" w:name="_Ref531954344"/>
      <w:bookmarkStart w:id="317" w:name="_Toc54862244"/>
      <w:bookmarkStart w:id="318" w:name="_Ref4771116"/>
      <w:r>
        <w:rPr>
          <w:rFonts w:hint="eastAsia" w:ascii="宋体" w:hAnsi="宋体" w:eastAsia="宋体"/>
          <w:b w:val="0"/>
          <w:sz w:val="30"/>
          <w:szCs w:val="30"/>
        </w:rPr>
        <w:t>7</w:t>
      </w:r>
      <w:r>
        <w:rPr>
          <w:rFonts w:ascii="宋体" w:hAnsi="宋体" w:eastAsia="宋体"/>
          <w:b w:val="0"/>
          <w:sz w:val="30"/>
          <w:szCs w:val="30"/>
        </w:rPr>
        <w:t xml:space="preserve">.9 </w:t>
      </w:r>
      <w:r>
        <w:rPr>
          <w:rFonts w:hint="eastAsia" w:ascii="宋体" w:hAnsi="宋体" w:eastAsia="宋体"/>
          <w:b w:val="0"/>
          <w:sz w:val="30"/>
          <w:szCs w:val="30"/>
        </w:rPr>
        <w:t>临时性公用设施</w:t>
      </w:r>
      <w:bookmarkEnd w:id="315"/>
      <w:bookmarkEnd w:id="316"/>
      <w:bookmarkEnd w:id="317"/>
      <w:r>
        <w:rPr>
          <w:rFonts w:hint="eastAsia" w:ascii="宋体" w:hAnsi="宋体" w:eastAsia="宋体"/>
          <w:b w:val="0"/>
          <w:sz w:val="30"/>
          <w:szCs w:val="30"/>
        </w:rPr>
        <w:t xml:space="preserve"> </w:t>
      </w:r>
      <w:bookmarkEnd w:id="318"/>
    </w:p>
    <w:p w14:paraId="189CD1B8">
      <w:pPr>
        <w:pStyle w:val="994"/>
        <w:numPr>
          <w:ilvl w:val="0"/>
          <w:numId w:val="0"/>
        </w:numPr>
        <w:rPr>
          <w:sz w:val="30"/>
          <w:szCs w:val="30"/>
        </w:rPr>
      </w:pPr>
      <w:r>
        <w:rPr>
          <w:rFonts w:hint="eastAsia"/>
          <w:sz w:val="30"/>
          <w:szCs w:val="30"/>
        </w:rPr>
        <w:t>7</w:t>
      </w:r>
      <w:r>
        <w:rPr>
          <w:sz w:val="30"/>
          <w:szCs w:val="30"/>
        </w:rPr>
        <w:t xml:space="preserve">.9.1 </w:t>
      </w:r>
      <w:r>
        <w:rPr>
          <w:rFonts w:hint="eastAsia"/>
          <w:sz w:val="30"/>
          <w:szCs w:val="30"/>
        </w:rPr>
        <w:t>提供临时用水、用电等和节点铺设</w:t>
      </w:r>
    </w:p>
    <w:p w14:paraId="012765BF">
      <w:pPr>
        <w:ind w:firstLine="600"/>
        <w:rPr>
          <w:rFonts w:ascii="宋体" w:hAnsi="宋体"/>
          <w:sz w:val="30"/>
          <w:szCs w:val="30"/>
        </w:rPr>
      </w:pPr>
      <w:r>
        <w:rPr>
          <w:rFonts w:hint="eastAsia" w:ascii="宋体" w:hAnsi="宋体"/>
          <w:sz w:val="30"/>
          <w:szCs w:val="30"/>
        </w:rPr>
        <w:t>除专用合同条件另有约定外，发包人应在承包人进场前将施工临时用水、用电等接至约定的节点位置，并保证其需要。上述临时使用的水、电等的类别、取费单价在专用合同条件中约定，发包人按实际计量结果收费。发包人无法提供的水、电等在专用合同条件中约定，相关费用由承包人纳入报价并承担相关责任。</w:t>
      </w:r>
    </w:p>
    <w:p w14:paraId="2E5F41EA">
      <w:pPr>
        <w:ind w:firstLine="600"/>
        <w:rPr>
          <w:rFonts w:ascii="宋体" w:hAnsi="宋体"/>
          <w:sz w:val="30"/>
          <w:szCs w:val="30"/>
        </w:rPr>
      </w:pPr>
      <w:r>
        <w:rPr>
          <w:rFonts w:hint="eastAsia" w:ascii="宋体" w:hAnsi="宋体"/>
          <w:sz w:val="30"/>
          <w:szCs w:val="30"/>
        </w:rPr>
        <w:t>发包人未能按约定的类别和时间完成节点铺设，使开工时间延误，竣工日期相应顺延。未能按约定的品质、数量和时间提供水、电等，给承包人造成的损失由发包人承担，导致工程关键路径延误的，竣工日期相应顺延。</w:t>
      </w:r>
    </w:p>
    <w:p w14:paraId="0DB6362E">
      <w:pPr>
        <w:pStyle w:val="994"/>
        <w:numPr>
          <w:ilvl w:val="0"/>
          <w:numId w:val="0"/>
        </w:numPr>
        <w:rPr>
          <w:sz w:val="30"/>
          <w:szCs w:val="30"/>
        </w:rPr>
      </w:pPr>
      <w:r>
        <w:rPr>
          <w:rFonts w:hint="eastAsia"/>
          <w:sz w:val="30"/>
          <w:szCs w:val="30"/>
        </w:rPr>
        <w:t>7</w:t>
      </w:r>
      <w:r>
        <w:rPr>
          <w:sz w:val="30"/>
          <w:szCs w:val="30"/>
        </w:rPr>
        <w:t xml:space="preserve">.9.2 </w:t>
      </w:r>
      <w:r>
        <w:rPr>
          <w:rFonts w:hint="eastAsia"/>
          <w:sz w:val="30"/>
          <w:szCs w:val="30"/>
        </w:rPr>
        <w:t>临时用水、用电等</w:t>
      </w:r>
    </w:p>
    <w:p w14:paraId="733582D1">
      <w:pPr>
        <w:ind w:firstLine="600"/>
        <w:rPr>
          <w:rFonts w:ascii="宋体" w:hAnsi="宋体"/>
          <w:sz w:val="30"/>
          <w:szCs w:val="30"/>
        </w:rPr>
      </w:pPr>
      <w:r>
        <w:rPr>
          <w:rFonts w:hint="eastAsia" w:ascii="宋体" w:hAnsi="宋体"/>
          <w:sz w:val="30"/>
          <w:szCs w:val="30"/>
        </w:rPr>
        <w:t>承包人应在计划开始现场施工日期28天前或双方约定的其它时间，按专用合同条件中约定的发包人能够提供的临时用水、用电等类别，向发包人提交施工（含工程物资保管）所需的临时用水、用电等的品质、正常用量、高峰用量、使用时间和节点位置等资料。承包人自费负责计量仪器的购买、安装和维护，并依据专用合同条件中约定的单价向发包人交费，合同当事人另有约定时除外。</w:t>
      </w:r>
    </w:p>
    <w:p w14:paraId="71BB12D9">
      <w:pPr>
        <w:ind w:firstLine="600"/>
        <w:rPr>
          <w:rFonts w:ascii="宋体" w:hAnsi="宋体"/>
          <w:sz w:val="30"/>
          <w:szCs w:val="30"/>
        </w:rPr>
      </w:pPr>
      <w:r>
        <w:rPr>
          <w:rFonts w:hint="eastAsia" w:ascii="宋体" w:hAnsi="宋体"/>
          <w:sz w:val="30"/>
          <w:szCs w:val="30"/>
        </w:rPr>
        <w:t>因承包人未能按合同约定提交上述资料，造成发包人费用增加和竣工日期延误时，由承包人负责。</w:t>
      </w:r>
      <w:bookmarkStart w:id="319" w:name="_Ref508893743"/>
    </w:p>
    <w:p w14:paraId="6CD7200F">
      <w:pPr>
        <w:pStyle w:val="969"/>
        <w:widowControl/>
        <w:numPr>
          <w:ilvl w:val="0"/>
          <w:numId w:val="0"/>
        </w:numPr>
        <w:rPr>
          <w:rFonts w:ascii="宋体" w:hAnsi="宋体" w:eastAsia="宋体"/>
          <w:b w:val="0"/>
          <w:sz w:val="30"/>
          <w:szCs w:val="30"/>
        </w:rPr>
      </w:pPr>
      <w:bookmarkStart w:id="320" w:name="_Toc54862245"/>
      <w:bookmarkStart w:id="321" w:name="_Ref531952248"/>
      <w:bookmarkStart w:id="322" w:name="_Ref531952239"/>
      <w:r>
        <w:rPr>
          <w:rFonts w:hint="eastAsia" w:ascii="宋体" w:hAnsi="宋体" w:eastAsia="宋体"/>
          <w:b w:val="0"/>
          <w:sz w:val="30"/>
          <w:szCs w:val="30"/>
        </w:rPr>
        <w:t>7</w:t>
      </w:r>
      <w:r>
        <w:rPr>
          <w:rFonts w:ascii="宋体" w:hAnsi="宋体" w:eastAsia="宋体"/>
          <w:b w:val="0"/>
          <w:sz w:val="30"/>
          <w:szCs w:val="30"/>
        </w:rPr>
        <w:t xml:space="preserve">.10 </w:t>
      </w:r>
      <w:r>
        <w:rPr>
          <w:rFonts w:hint="eastAsia" w:ascii="宋体" w:hAnsi="宋体" w:eastAsia="宋体"/>
          <w:b w:val="0"/>
          <w:sz w:val="30"/>
          <w:szCs w:val="30"/>
        </w:rPr>
        <w:t>现场安保</w:t>
      </w:r>
      <w:bookmarkEnd w:id="320"/>
      <w:bookmarkEnd w:id="321"/>
      <w:bookmarkEnd w:id="322"/>
    </w:p>
    <w:p w14:paraId="6B65FF03">
      <w:pPr>
        <w:ind w:firstLine="600"/>
        <w:rPr>
          <w:rFonts w:ascii="宋体" w:hAnsi="宋体"/>
          <w:sz w:val="30"/>
          <w:szCs w:val="30"/>
        </w:rPr>
      </w:pPr>
      <w:r>
        <w:rPr>
          <w:rFonts w:hint="eastAsia" w:ascii="宋体" w:hAnsi="宋体"/>
          <w:sz w:val="30"/>
          <w:szCs w:val="30"/>
        </w:rPr>
        <w:t>承包人承担自发包人向其移交施工现场、进入占有施工现场至发包人接收单位/区段工程或（和）工程之前的现场安保责任，并负责编制相关的安保制度、责任制度和报告制度，提交给发包人。除专用合同条件另有约定外，承包人的该等义务不因其与他人共同合法占有施工现场而减免。承包人有权要求发包人负责协调他人就共同合法占有现场的安保事宜接受承包人的管理。</w:t>
      </w:r>
    </w:p>
    <w:p w14:paraId="3BAF66D7">
      <w:pPr>
        <w:ind w:firstLine="600"/>
        <w:rPr>
          <w:rFonts w:ascii="宋体" w:hAnsi="宋体"/>
          <w:sz w:val="30"/>
          <w:szCs w:val="30"/>
        </w:rPr>
      </w:pPr>
      <w:r>
        <w:rPr>
          <w:rFonts w:hint="eastAsia" w:ascii="宋体" w:hAnsi="宋体"/>
          <w:sz w:val="30"/>
          <w:szCs w:val="30"/>
        </w:rPr>
        <w:t>承包人应将其作业限制在现场区域、合同约定的区域或为履行合同所需的区域内。承包人应采取一切必要的预防措施，以保持承包人的设备和人员处于现场区域内，避免其进入邻近地区。</w:t>
      </w:r>
    </w:p>
    <w:p w14:paraId="462EBDE4">
      <w:pPr>
        <w:ind w:firstLine="600"/>
        <w:rPr>
          <w:rFonts w:ascii="宋体" w:hAnsi="宋体"/>
          <w:sz w:val="30"/>
          <w:szCs w:val="30"/>
        </w:rPr>
      </w:pPr>
      <w:r>
        <w:rPr>
          <w:rFonts w:hint="eastAsia" w:ascii="宋体" w:hAnsi="宋体"/>
          <w:sz w:val="30"/>
          <w:szCs w:val="30"/>
        </w:rPr>
        <w:t>承包人为履行合同义务而占用的其他场所（如预制加工场所、办公及生活营区） 的安保适用本款前述关于现场安保的规定。</w:t>
      </w:r>
    </w:p>
    <w:p w14:paraId="5929617E">
      <w:pPr>
        <w:pStyle w:val="969"/>
        <w:widowControl/>
        <w:numPr>
          <w:ilvl w:val="0"/>
          <w:numId w:val="0"/>
        </w:numPr>
        <w:rPr>
          <w:rFonts w:ascii="宋体" w:hAnsi="宋体" w:eastAsia="宋体"/>
          <w:b w:val="0"/>
          <w:sz w:val="30"/>
          <w:szCs w:val="30"/>
        </w:rPr>
      </w:pPr>
      <w:bookmarkStart w:id="323" w:name="_Toc54862246"/>
      <w:r>
        <w:rPr>
          <w:rFonts w:hint="eastAsia" w:ascii="宋体" w:hAnsi="宋体" w:eastAsia="宋体"/>
          <w:b w:val="0"/>
          <w:sz w:val="30"/>
          <w:szCs w:val="30"/>
        </w:rPr>
        <w:t>7</w:t>
      </w:r>
      <w:r>
        <w:rPr>
          <w:rFonts w:ascii="宋体" w:hAnsi="宋体" w:eastAsia="宋体"/>
          <w:b w:val="0"/>
          <w:sz w:val="30"/>
          <w:szCs w:val="30"/>
        </w:rPr>
        <w:t xml:space="preserve">.11 </w:t>
      </w:r>
      <w:r>
        <w:rPr>
          <w:rFonts w:hint="eastAsia" w:ascii="宋体" w:hAnsi="宋体" w:eastAsia="宋体"/>
          <w:b w:val="0"/>
          <w:sz w:val="30"/>
          <w:szCs w:val="30"/>
        </w:rPr>
        <w:t>工程照管</w:t>
      </w:r>
      <w:bookmarkEnd w:id="323"/>
    </w:p>
    <w:p w14:paraId="33D9BCC7">
      <w:pPr>
        <w:ind w:firstLine="600"/>
        <w:rPr>
          <w:rFonts w:ascii="宋体" w:hAnsi="宋体"/>
          <w:sz w:val="30"/>
          <w:szCs w:val="30"/>
        </w:rPr>
      </w:pPr>
      <w:r>
        <w:rPr>
          <w:rFonts w:hint="eastAsia" w:ascii="宋体" w:hAnsi="宋体"/>
          <w:sz w:val="30"/>
          <w:szCs w:val="30"/>
        </w:rPr>
        <w:t>自开始现场施工日期起至发包人应当接收工程之日止，承包人应承担工程现场、材料、设备及承包人文件的照管和维护工作。</w:t>
      </w:r>
    </w:p>
    <w:p w14:paraId="69EB4C67">
      <w:pPr>
        <w:ind w:firstLine="600"/>
        <w:rPr>
          <w:rFonts w:ascii="宋体" w:hAnsi="宋体"/>
          <w:sz w:val="30"/>
          <w:szCs w:val="30"/>
        </w:rPr>
      </w:pPr>
      <w:r>
        <w:rPr>
          <w:rFonts w:hint="eastAsia" w:ascii="宋体" w:hAnsi="宋体"/>
          <w:sz w:val="30"/>
          <w:szCs w:val="30"/>
        </w:rPr>
        <w:t>如部分工程于竣工验收前提前交付发包人的，则自交付之日起，该部分工程照管及维护职责由发包人承担。</w:t>
      </w:r>
    </w:p>
    <w:p w14:paraId="296163D3">
      <w:pPr>
        <w:ind w:firstLine="600"/>
        <w:rPr>
          <w:rFonts w:ascii="宋体" w:hAnsi="宋体"/>
          <w:sz w:val="30"/>
          <w:szCs w:val="30"/>
        </w:rPr>
      </w:pPr>
      <w:r>
        <w:rPr>
          <w:rFonts w:hint="eastAsia" w:ascii="宋体" w:hAnsi="宋体"/>
          <w:sz w:val="30"/>
          <w:szCs w:val="30"/>
        </w:rPr>
        <w:t>如发包人及承包人进行竣工验收时尚有部分未竣工工程的，承包人应负责该未竣工工程的照管和维护工作，直至竣工后移交给发包人。</w:t>
      </w:r>
    </w:p>
    <w:p w14:paraId="62305048">
      <w:pPr>
        <w:ind w:firstLine="600"/>
        <w:rPr>
          <w:rFonts w:ascii="宋体" w:hAnsi="宋体"/>
          <w:sz w:val="30"/>
          <w:szCs w:val="30"/>
        </w:rPr>
      </w:pPr>
      <w:r>
        <w:rPr>
          <w:rFonts w:hint="eastAsia" w:ascii="宋体" w:hAnsi="宋体"/>
          <w:sz w:val="30"/>
          <w:szCs w:val="30"/>
        </w:rPr>
        <w:t>如合同解除或终止的，承包人自合同解除或终止之日起不再对工程承担照管和维护义务。</w:t>
      </w:r>
    </w:p>
    <w:p w14:paraId="2C80F734">
      <w:pPr>
        <w:pStyle w:val="991"/>
        <w:numPr>
          <w:ilvl w:val="0"/>
          <w:numId w:val="0"/>
        </w:numPr>
        <w:wordWrap/>
        <w:topLinePunct w:val="0"/>
        <w:rPr>
          <w:rFonts w:ascii="宋体" w:hAnsi="宋体" w:eastAsia="宋体"/>
          <w:b w:val="0"/>
          <w:kern w:val="2"/>
          <w:sz w:val="30"/>
          <w:szCs w:val="30"/>
        </w:rPr>
      </w:pPr>
      <w:bookmarkStart w:id="324" w:name="_Ref508998009"/>
      <w:bookmarkStart w:id="325" w:name="_Toc54862247"/>
      <w:bookmarkStart w:id="326" w:name="_Ref531954505"/>
      <w:bookmarkStart w:id="327" w:name="_Ref531954518"/>
      <w:r>
        <w:rPr>
          <w:rFonts w:hint="eastAsia" w:ascii="宋体" w:hAnsi="宋体" w:eastAsia="宋体"/>
          <w:b w:val="0"/>
          <w:kern w:val="2"/>
          <w:sz w:val="30"/>
          <w:szCs w:val="30"/>
        </w:rPr>
        <w:t>第8条 工期和进度</w:t>
      </w:r>
      <w:bookmarkEnd w:id="324"/>
      <w:bookmarkEnd w:id="325"/>
    </w:p>
    <w:p w14:paraId="48DD1989">
      <w:pPr>
        <w:pStyle w:val="969"/>
        <w:widowControl/>
        <w:numPr>
          <w:ilvl w:val="0"/>
          <w:numId w:val="0"/>
        </w:numPr>
        <w:rPr>
          <w:rFonts w:ascii="宋体" w:hAnsi="宋体" w:eastAsia="宋体"/>
          <w:b w:val="0"/>
          <w:sz w:val="30"/>
          <w:szCs w:val="30"/>
        </w:rPr>
      </w:pPr>
      <w:bookmarkStart w:id="328" w:name="_Ref532362777"/>
      <w:bookmarkStart w:id="329" w:name="_Ref532362774"/>
      <w:bookmarkStart w:id="330" w:name="_Ref532362072"/>
      <w:bookmarkStart w:id="331" w:name="_Ref532362075"/>
      <w:bookmarkStart w:id="332" w:name="_Toc54862248"/>
      <w:r>
        <w:rPr>
          <w:rFonts w:hint="eastAsia" w:ascii="宋体" w:hAnsi="宋体" w:eastAsia="宋体"/>
          <w:b w:val="0"/>
          <w:sz w:val="30"/>
          <w:szCs w:val="30"/>
        </w:rPr>
        <w:t>8</w:t>
      </w:r>
      <w:r>
        <w:rPr>
          <w:rFonts w:ascii="宋体" w:hAnsi="宋体" w:eastAsia="宋体"/>
          <w:b w:val="0"/>
          <w:sz w:val="30"/>
          <w:szCs w:val="30"/>
        </w:rPr>
        <w:t xml:space="preserve">.1 </w:t>
      </w:r>
      <w:r>
        <w:rPr>
          <w:rFonts w:hint="eastAsia" w:ascii="宋体" w:hAnsi="宋体" w:eastAsia="宋体"/>
          <w:b w:val="0"/>
          <w:sz w:val="30"/>
          <w:szCs w:val="30"/>
        </w:rPr>
        <w:t>开始工作</w:t>
      </w:r>
      <w:bookmarkEnd w:id="328"/>
      <w:bookmarkEnd w:id="329"/>
      <w:bookmarkEnd w:id="330"/>
      <w:bookmarkEnd w:id="331"/>
      <w:bookmarkEnd w:id="332"/>
    </w:p>
    <w:p w14:paraId="7AB11512">
      <w:pPr>
        <w:pStyle w:val="994"/>
        <w:numPr>
          <w:ilvl w:val="0"/>
          <w:numId w:val="0"/>
        </w:numPr>
        <w:rPr>
          <w:sz w:val="30"/>
          <w:szCs w:val="30"/>
        </w:rPr>
      </w:pPr>
      <w:bookmarkStart w:id="333" w:name="_Ref4428890"/>
      <w:r>
        <w:rPr>
          <w:rFonts w:hint="eastAsia"/>
          <w:sz w:val="30"/>
          <w:szCs w:val="30"/>
        </w:rPr>
        <w:t>8</w:t>
      </w:r>
      <w:r>
        <w:rPr>
          <w:sz w:val="30"/>
          <w:szCs w:val="30"/>
        </w:rPr>
        <w:t xml:space="preserve">.1.1 </w:t>
      </w:r>
      <w:r>
        <w:rPr>
          <w:rFonts w:hint="eastAsia"/>
          <w:sz w:val="30"/>
          <w:szCs w:val="30"/>
        </w:rPr>
        <w:t>开始工作准备</w:t>
      </w:r>
      <w:bookmarkEnd w:id="333"/>
    </w:p>
    <w:p w14:paraId="01F0CD0F">
      <w:pPr>
        <w:ind w:firstLine="600"/>
        <w:rPr>
          <w:rFonts w:ascii="宋体" w:hAnsi="宋体"/>
          <w:sz w:val="30"/>
          <w:szCs w:val="30"/>
        </w:rPr>
      </w:pPr>
      <w:r>
        <w:rPr>
          <w:rFonts w:hint="eastAsia" w:ascii="宋体" w:hAnsi="宋体"/>
          <w:sz w:val="30"/>
          <w:szCs w:val="30"/>
        </w:rPr>
        <w:t>合同当事人应按专用合同条件约定完成开始工作准备工作。</w:t>
      </w:r>
    </w:p>
    <w:p w14:paraId="560B9500">
      <w:pPr>
        <w:pStyle w:val="994"/>
        <w:numPr>
          <w:ilvl w:val="0"/>
          <w:numId w:val="0"/>
        </w:numPr>
        <w:rPr>
          <w:sz w:val="30"/>
          <w:szCs w:val="30"/>
        </w:rPr>
      </w:pPr>
      <w:bookmarkStart w:id="334" w:name="_Ref536790534"/>
      <w:bookmarkStart w:id="335" w:name="_Hlk51506490"/>
      <w:r>
        <w:rPr>
          <w:rFonts w:hint="eastAsia"/>
          <w:sz w:val="30"/>
          <w:szCs w:val="30"/>
        </w:rPr>
        <w:t>8</w:t>
      </w:r>
      <w:r>
        <w:rPr>
          <w:sz w:val="30"/>
          <w:szCs w:val="30"/>
        </w:rPr>
        <w:t xml:space="preserve">.1.2 </w:t>
      </w:r>
      <w:r>
        <w:rPr>
          <w:rFonts w:hint="eastAsia"/>
          <w:sz w:val="30"/>
          <w:szCs w:val="30"/>
        </w:rPr>
        <w:t>开始工作通知</w:t>
      </w:r>
      <w:bookmarkEnd w:id="334"/>
    </w:p>
    <w:bookmarkEnd w:id="335"/>
    <w:p w14:paraId="63E970A1">
      <w:pPr>
        <w:ind w:firstLine="600"/>
        <w:rPr>
          <w:rFonts w:ascii="宋体" w:hAnsi="宋体"/>
          <w:sz w:val="30"/>
          <w:szCs w:val="30"/>
        </w:rPr>
      </w:pPr>
      <w:r>
        <w:rPr>
          <w:rFonts w:hint="eastAsia" w:ascii="宋体" w:hAnsi="宋体"/>
          <w:sz w:val="30"/>
          <w:szCs w:val="30"/>
        </w:rPr>
        <w:t>经发包人同意后，工程师应提前7天向承包人发出经发包人签认的开始工作通知，工期自开始工作通知中载明的开始工作日期起算。</w:t>
      </w:r>
    </w:p>
    <w:p w14:paraId="7E2FF9C4">
      <w:pPr>
        <w:ind w:firstLine="600"/>
        <w:rPr>
          <w:rFonts w:ascii="宋体" w:hAnsi="宋体"/>
          <w:sz w:val="30"/>
          <w:szCs w:val="30"/>
        </w:rPr>
      </w:pPr>
      <w:r>
        <w:rPr>
          <w:rFonts w:hint="eastAsia" w:ascii="宋体" w:hAnsi="宋体"/>
          <w:sz w:val="30"/>
          <w:szCs w:val="30"/>
        </w:rPr>
        <w:t>除专用合同条件另有约定外，因发包人原因造成实际开始现场施工日期迟于</w:t>
      </w:r>
      <w:bookmarkStart w:id="336" w:name="_Hlk51506566"/>
      <w:r>
        <w:rPr>
          <w:rFonts w:hint="eastAsia" w:ascii="宋体" w:hAnsi="宋体"/>
          <w:sz w:val="30"/>
          <w:szCs w:val="30"/>
        </w:rPr>
        <w:t>计划开始现场施工日期</w:t>
      </w:r>
      <w:bookmarkEnd w:id="336"/>
      <w:r>
        <w:rPr>
          <w:rFonts w:hint="eastAsia" w:ascii="宋体" w:hAnsi="宋体"/>
          <w:sz w:val="30"/>
          <w:szCs w:val="30"/>
        </w:rPr>
        <w:t>后第</w:t>
      </w:r>
      <w:r>
        <w:rPr>
          <w:rFonts w:ascii="宋体" w:hAnsi="宋体"/>
          <w:sz w:val="30"/>
          <w:szCs w:val="30"/>
        </w:rPr>
        <w:t>84</w:t>
      </w:r>
      <w:r>
        <w:rPr>
          <w:rFonts w:hint="eastAsia" w:ascii="宋体" w:hAnsi="宋体"/>
          <w:sz w:val="30"/>
          <w:szCs w:val="30"/>
        </w:rPr>
        <w:t>天的，承包人有权提出价格调整要求，或者解除合同。发包人应当承担由此增加的费用和（或）延误的工期，并向承包人支付合理利润。</w:t>
      </w:r>
    </w:p>
    <w:p w14:paraId="6667CAB0">
      <w:pPr>
        <w:pStyle w:val="969"/>
        <w:widowControl/>
        <w:numPr>
          <w:ilvl w:val="0"/>
          <w:numId w:val="0"/>
        </w:numPr>
        <w:rPr>
          <w:rFonts w:ascii="宋体" w:hAnsi="宋体" w:eastAsia="宋体"/>
          <w:b w:val="0"/>
          <w:sz w:val="30"/>
          <w:szCs w:val="30"/>
        </w:rPr>
      </w:pPr>
      <w:bookmarkStart w:id="337" w:name="_Ref532362124"/>
      <w:bookmarkStart w:id="338" w:name="_Toc54862249"/>
      <w:r>
        <w:rPr>
          <w:rFonts w:hint="eastAsia" w:ascii="宋体" w:hAnsi="宋体" w:eastAsia="宋体"/>
          <w:b w:val="0"/>
          <w:sz w:val="30"/>
          <w:szCs w:val="30"/>
        </w:rPr>
        <w:t>8</w:t>
      </w:r>
      <w:r>
        <w:rPr>
          <w:rFonts w:ascii="宋体" w:hAnsi="宋体" w:eastAsia="宋体"/>
          <w:b w:val="0"/>
          <w:sz w:val="30"/>
          <w:szCs w:val="30"/>
        </w:rPr>
        <w:t xml:space="preserve">.2 </w:t>
      </w:r>
      <w:r>
        <w:rPr>
          <w:rFonts w:hint="eastAsia" w:ascii="宋体" w:hAnsi="宋体" w:eastAsia="宋体"/>
          <w:b w:val="0"/>
          <w:sz w:val="30"/>
          <w:szCs w:val="30"/>
        </w:rPr>
        <w:t>竣工日期</w:t>
      </w:r>
      <w:bookmarkEnd w:id="337"/>
      <w:bookmarkEnd w:id="338"/>
      <w:r>
        <w:rPr>
          <w:rFonts w:hint="eastAsia" w:ascii="宋体" w:hAnsi="宋体" w:eastAsia="宋体"/>
          <w:b w:val="0"/>
          <w:sz w:val="30"/>
          <w:szCs w:val="30"/>
        </w:rPr>
        <w:t xml:space="preserve"> </w:t>
      </w:r>
    </w:p>
    <w:p w14:paraId="38AD0CD8">
      <w:pPr>
        <w:ind w:firstLine="600"/>
        <w:rPr>
          <w:rFonts w:ascii="宋体" w:hAnsi="宋体"/>
          <w:sz w:val="30"/>
          <w:szCs w:val="30"/>
        </w:rPr>
      </w:pPr>
      <w:r>
        <w:rPr>
          <w:rFonts w:hint="eastAsia" w:ascii="宋体" w:hAnsi="宋体"/>
          <w:sz w:val="30"/>
          <w:szCs w:val="30"/>
        </w:rPr>
        <w:t>承包人应在合同协议书约定的工期内完成合同工作。除专用合同条件另有约定外，工程的竣工日期以第</w:t>
      </w:r>
      <w:r>
        <w:rPr>
          <w:rFonts w:ascii="宋体" w:hAnsi="宋体"/>
          <w:sz w:val="30"/>
          <w:szCs w:val="30"/>
        </w:rPr>
        <w:t>10.1</w:t>
      </w:r>
      <w:r>
        <w:rPr>
          <w:rFonts w:hint="eastAsia" w:ascii="宋体" w:hAnsi="宋体"/>
          <w:sz w:val="30"/>
          <w:szCs w:val="30"/>
        </w:rPr>
        <w:t>条[竣工验收]的约定为准，并在工程接收证书中写明。</w:t>
      </w:r>
    </w:p>
    <w:p w14:paraId="1B28C002">
      <w:pPr>
        <w:ind w:firstLine="600"/>
        <w:rPr>
          <w:rFonts w:ascii="宋体" w:hAnsi="宋体"/>
          <w:sz w:val="30"/>
          <w:szCs w:val="30"/>
        </w:rPr>
      </w:pPr>
      <w:r>
        <w:rPr>
          <w:rFonts w:hint="eastAsia" w:ascii="宋体" w:hAnsi="宋体"/>
          <w:sz w:val="30"/>
          <w:szCs w:val="30"/>
        </w:rPr>
        <w:t>因发包人原因，在工程师收到承包人竣工验收申请报告</w:t>
      </w:r>
      <w:r>
        <w:rPr>
          <w:rFonts w:ascii="宋体" w:hAnsi="宋体"/>
          <w:sz w:val="30"/>
          <w:szCs w:val="30"/>
        </w:rPr>
        <w:t>42</w:t>
      </w:r>
      <w:r>
        <w:rPr>
          <w:rFonts w:hint="eastAsia" w:ascii="宋体" w:hAnsi="宋体"/>
          <w:sz w:val="30"/>
          <w:szCs w:val="30"/>
        </w:rPr>
        <w:t>天后未进行验收的，视为验收合格，实际竣工日期以提交竣工验收申请报告的日期为准，但发包人由于不可抗力不能进行验收的除外。</w:t>
      </w:r>
    </w:p>
    <w:p w14:paraId="22EBF112">
      <w:pPr>
        <w:pStyle w:val="969"/>
        <w:widowControl/>
        <w:numPr>
          <w:ilvl w:val="0"/>
          <w:numId w:val="0"/>
        </w:numPr>
        <w:rPr>
          <w:rFonts w:ascii="宋体" w:hAnsi="宋体" w:eastAsia="宋体"/>
          <w:b w:val="0"/>
          <w:sz w:val="30"/>
          <w:szCs w:val="30"/>
        </w:rPr>
      </w:pPr>
      <w:bookmarkStart w:id="339" w:name="_Ref11863334"/>
      <w:bookmarkStart w:id="340" w:name="_Toc54862250"/>
      <w:bookmarkStart w:id="341" w:name="_Ref532362207"/>
      <w:bookmarkStart w:id="342" w:name="_Ref532352853"/>
      <w:bookmarkStart w:id="343" w:name="_Ref532352856"/>
      <w:bookmarkStart w:id="344" w:name="_Ref532362204"/>
      <w:r>
        <w:rPr>
          <w:rFonts w:hint="eastAsia" w:ascii="宋体" w:hAnsi="宋体" w:eastAsia="宋体"/>
          <w:b w:val="0"/>
          <w:sz w:val="30"/>
          <w:szCs w:val="30"/>
        </w:rPr>
        <w:t>8</w:t>
      </w:r>
      <w:r>
        <w:rPr>
          <w:rFonts w:ascii="宋体" w:hAnsi="宋体" w:eastAsia="宋体"/>
          <w:b w:val="0"/>
          <w:sz w:val="30"/>
          <w:szCs w:val="30"/>
        </w:rPr>
        <w:t xml:space="preserve">.3 </w:t>
      </w:r>
      <w:r>
        <w:rPr>
          <w:rFonts w:hint="eastAsia" w:ascii="宋体" w:hAnsi="宋体" w:eastAsia="宋体"/>
          <w:b w:val="0"/>
          <w:sz w:val="30"/>
          <w:szCs w:val="30"/>
        </w:rPr>
        <w:t>项目实施计划</w:t>
      </w:r>
      <w:bookmarkEnd w:id="339"/>
      <w:bookmarkEnd w:id="340"/>
    </w:p>
    <w:p w14:paraId="590B4E5A">
      <w:pPr>
        <w:pStyle w:val="994"/>
        <w:numPr>
          <w:ilvl w:val="0"/>
          <w:numId w:val="0"/>
        </w:numPr>
        <w:rPr>
          <w:sz w:val="30"/>
          <w:szCs w:val="30"/>
        </w:rPr>
      </w:pPr>
      <w:bookmarkStart w:id="345" w:name="_Ref18990904"/>
      <w:r>
        <w:rPr>
          <w:rFonts w:hint="eastAsia"/>
          <w:sz w:val="30"/>
          <w:szCs w:val="30"/>
        </w:rPr>
        <w:t>8</w:t>
      </w:r>
      <w:r>
        <w:rPr>
          <w:sz w:val="30"/>
          <w:szCs w:val="30"/>
        </w:rPr>
        <w:t xml:space="preserve">.3.1 </w:t>
      </w:r>
      <w:r>
        <w:rPr>
          <w:rFonts w:hint="eastAsia"/>
          <w:sz w:val="30"/>
          <w:szCs w:val="30"/>
        </w:rPr>
        <w:t>项目实施计划的内容</w:t>
      </w:r>
      <w:bookmarkEnd w:id="345"/>
    </w:p>
    <w:p w14:paraId="68AAD963">
      <w:pPr>
        <w:ind w:firstLine="600"/>
        <w:rPr>
          <w:rFonts w:ascii="宋体" w:hAnsi="宋体"/>
          <w:sz w:val="30"/>
          <w:szCs w:val="30"/>
        </w:rPr>
      </w:pPr>
      <w:r>
        <w:rPr>
          <w:rFonts w:hint="eastAsia" w:ascii="宋体" w:hAnsi="宋体"/>
          <w:sz w:val="30"/>
          <w:szCs w:val="30"/>
        </w:rPr>
        <w:t>项目实施计划是依据合同和经批准的项目管理计划进行编制并用于对项目实施进行管理和控制的文件，应包含概述、总体实施方案、项目实施要点、项目初步进度计划以及合同当事人在专用合同条件中约定的其他内容。</w:t>
      </w:r>
    </w:p>
    <w:p w14:paraId="5650368B">
      <w:pPr>
        <w:pStyle w:val="994"/>
        <w:numPr>
          <w:ilvl w:val="0"/>
          <w:numId w:val="0"/>
        </w:numPr>
        <w:rPr>
          <w:sz w:val="30"/>
          <w:szCs w:val="30"/>
        </w:rPr>
      </w:pPr>
      <w:bookmarkStart w:id="346" w:name="_Ref18990921"/>
      <w:r>
        <w:rPr>
          <w:rFonts w:hint="eastAsia"/>
          <w:sz w:val="30"/>
          <w:szCs w:val="30"/>
        </w:rPr>
        <w:t>8</w:t>
      </w:r>
      <w:r>
        <w:rPr>
          <w:sz w:val="30"/>
          <w:szCs w:val="30"/>
        </w:rPr>
        <w:t xml:space="preserve">.3.2 </w:t>
      </w:r>
      <w:r>
        <w:rPr>
          <w:rFonts w:hint="eastAsia"/>
          <w:sz w:val="30"/>
          <w:szCs w:val="30"/>
        </w:rPr>
        <w:t>项目实施计划的提交和修改</w:t>
      </w:r>
      <w:bookmarkEnd w:id="346"/>
    </w:p>
    <w:p w14:paraId="32DECC64">
      <w:pPr>
        <w:ind w:firstLine="600"/>
        <w:rPr>
          <w:rFonts w:ascii="宋体" w:hAnsi="宋体"/>
          <w:sz w:val="30"/>
          <w:szCs w:val="30"/>
        </w:rPr>
      </w:pPr>
      <w:r>
        <w:rPr>
          <w:rFonts w:hint="eastAsia" w:ascii="宋体" w:hAnsi="宋体"/>
          <w:sz w:val="30"/>
          <w:szCs w:val="30"/>
        </w:rPr>
        <w:t>除专用合同条件另有约定外，承包人应在合同订立后14天内，向工程师提交项目实施计划，工程师应在收到项目实施计划后21天内确认或提出修改意见。对工程师提出的合理意见和要求，承包人应自费修改完善。根据工程实施的实际情况需要修改项目实施计划的，承包人应向工程师提交修改后的项目实施计划。</w:t>
      </w:r>
    </w:p>
    <w:p w14:paraId="5575FD9D">
      <w:pPr>
        <w:ind w:firstLine="600"/>
        <w:rPr>
          <w:rFonts w:ascii="宋体" w:hAnsi="宋体"/>
          <w:sz w:val="30"/>
          <w:szCs w:val="30"/>
        </w:rPr>
      </w:pPr>
      <w:r>
        <w:rPr>
          <w:rFonts w:hint="eastAsia" w:ascii="宋体" w:hAnsi="宋体"/>
          <w:sz w:val="30"/>
          <w:szCs w:val="30"/>
        </w:rPr>
        <w:t>项目进度计划的编制和修改按照第</w:t>
      </w:r>
      <w:r>
        <w:rPr>
          <w:rFonts w:ascii="宋体" w:hAnsi="宋体"/>
          <w:sz w:val="30"/>
          <w:szCs w:val="30"/>
        </w:rPr>
        <w:t>8.4</w:t>
      </w:r>
      <w:r>
        <w:rPr>
          <w:rFonts w:hint="eastAsia" w:ascii="宋体" w:hAnsi="宋体"/>
          <w:sz w:val="30"/>
          <w:szCs w:val="30"/>
        </w:rPr>
        <w:t>款[项目进度计划]执行。</w:t>
      </w:r>
    </w:p>
    <w:p w14:paraId="7E289667">
      <w:pPr>
        <w:pStyle w:val="969"/>
        <w:widowControl/>
        <w:numPr>
          <w:ilvl w:val="0"/>
          <w:numId w:val="0"/>
        </w:numPr>
        <w:rPr>
          <w:rFonts w:ascii="宋体" w:hAnsi="宋体" w:eastAsia="宋体"/>
          <w:b w:val="0"/>
          <w:sz w:val="30"/>
          <w:szCs w:val="30"/>
        </w:rPr>
      </w:pPr>
      <w:bookmarkStart w:id="347" w:name="_Toc54862251"/>
      <w:bookmarkStart w:id="348" w:name="_Ref11865507"/>
      <w:r>
        <w:rPr>
          <w:rFonts w:hint="eastAsia" w:ascii="宋体" w:hAnsi="宋体" w:eastAsia="宋体"/>
          <w:b w:val="0"/>
          <w:sz w:val="30"/>
          <w:szCs w:val="30"/>
        </w:rPr>
        <w:t>8</w:t>
      </w:r>
      <w:r>
        <w:rPr>
          <w:rFonts w:ascii="宋体" w:hAnsi="宋体" w:eastAsia="宋体"/>
          <w:b w:val="0"/>
          <w:sz w:val="30"/>
          <w:szCs w:val="30"/>
        </w:rPr>
        <w:t xml:space="preserve">.4 </w:t>
      </w:r>
      <w:r>
        <w:rPr>
          <w:rFonts w:hint="eastAsia" w:ascii="宋体" w:hAnsi="宋体" w:eastAsia="宋体"/>
          <w:b w:val="0"/>
          <w:sz w:val="30"/>
          <w:szCs w:val="30"/>
        </w:rPr>
        <w:t>项目进度计划</w:t>
      </w:r>
      <w:bookmarkEnd w:id="341"/>
      <w:bookmarkEnd w:id="342"/>
      <w:bookmarkEnd w:id="343"/>
      <w:bookmarkEnd w:id="344"/>
      <w:bookmarkEnd w:id="347"/>
      <w:bookmarkEnd w:id="348"/>
    </w:p>
    <w:p w14:paraId="034BAB97">
      <w:pPr>
        <w:pStyle w:val="994"/>
        <w:numPr>
          <w:ilvl w:val="0"/>
          <w:numId w:val="0"/>
        </w:numPr>
        <w:rPr>
          <w:sz w:val="30"/>
          <w:szCs w:val="30"/>
        </w:rPr>
      </w:pPr>
      <w:bookmarkStart w:id="349" w:name="_Ref4681217"/>
      <w:r>
        <w:rPr>
          <w:rFonts w:hint="eastAsia"/>
          <w:sz w:val="30"/>
          <w:szCs w:val="30"/>
        </w:rPr>
        <w:t>8</w:t>
      </w:r>
      <w:r>
        <w:rPr>
          <w:sz w:val="30"/>
          <w:szCs w:val="30"/>
        </w:rPr>
        <w:t xml:space="preserve">.4.1 </w:t>
      </w:r>
      <w:r>
        <w:rPr>
          <w:rFonts w:hint="eastAsia"/>
          <w:sz w:val="30"/>
          <w:szCs w:val="30"/>
        </w:rPr>
        <w:t>项目进度计划的提交和修改</w:t>
      </w:r>
      <w:bookmarkEnd w:id="349"/>
    </w:p>
    <w:p w14:paraId="37C5D2ED">
      <w:pPr>
        <w:ind w:firstLine="600"/>
        <w:rPr>
          <w:rFonts w:ascii="宋体" w:hAnsi="宋体"/>
          <w:sz w:val="30"/>
          <w:szCs w:val="30"/>
        </w:rPr>
      </w:pPr>
      <w:r>
        <w:rPr>
          <w:rFonts w:hint="eastAsia" w:ascii="宋体" w:hAnsi="宋体"/>
          <w:sz w:val="30"/>
          <w:szCs w:val="30"/>
        </w:rPr>
        <w:t>承包人应按照第</w:t>
      </w:r>
      <w:r>
        <w:rPr>
          <w:rFonts w:ascii="宋体" w:hAnsi="宋体"/>
          <w:sz w:val="30"/>
          <w:szCs w:val="30"/>
        </w:rPr>
        <w:t>8.3</w:t>
      </w:r>
      <w:r>
        <w:rPr>
          <w:rFonts w:hint="eastAsia" w:ascii="宋体" w:hAnsi="宋体"/>
          <w:sz w:val="30"/>
          <w:szCs w:val="30"/>
        </w:rPr>
        <w:t>款[项目实施计划]约定编制并向工程师提交项目初步进度计划，经工程师批准后实施。除专用合同条件另有约定外，工程师应在21天内批复或提出修改意见，否则该项目初步进度计划视为已得到批准。对工程师提出的合理意见和要求，承包人应自费修改完善。</w:t>
      </w:r>
    </w:p>
    <w:p w14:paraId="0287441E">
      <w:pPr>
        <w:ind w:firstLine="600"/>
        <w:rPr>
          <w:rFonts w:ascii="宋体" w:hAnsi="宋体"/>
          <w:sz w:val="30"/>
          <w:szCs w:val="30"/>
        </w:rPr>
      </w:pPr>
      <w:r>
        <w:rPr>
          <w:rFonts w:hint="eastAsia" w:ascii="宋体" w:hAnsi="宋体"/>
          <w:sz w:val="30"/>
          <w:szCs w:val="30"/>
        </w:rPr>
        <w:t>经工程师批准的项目初步进度计划称为项目进度计划，是控制合同工程进度的依据，工程师有权按照进度计划检查工程进度情况。承包人还应根据项目进度计划，编制更为详细的分阶段或分项的进度计划，由工程师批准。</w:t>
      </w:r>
    </w:p>
    <w:p w14:paraId="47A5B5B8">
      <w:pPr>
        <w:pStyle w:val="994"/>
        <w:numPr>
          <w:ilvl w:val="0"/>
          <w:numId w:val="0"/>
        </w:numPr>
        <w:rPr>
          <w:sz w:val="30"/>
          <w:szCs w:val="30"/>
        </w:rPr>
      </w:pPr>
      <w:bookmarkStart w:id="350" w:name="_Ref4429079"/>
      <w:r>
        <w:rPr>
          <w:rFonts w:hint="eastAsia"/>
          <w:sz w:val="30"/>
          <w:szCs w:val="30"/>
        </w:rPr>
        <w:t>8</w:t>
      </w:r>
      <w:r>
        <w:rPr>
          <w:sz w:val="30"/>
          <w:szCs w:val="30"/>
        </w:rPr>
        <w:t xml:space="preserve">.4.2 </w:t>
      </w:r>
      <w:r>
        <w:rPr>
          <w:rFonts w:hint="eastAsia"/>
          <w:sz w:val="30"/>
          <w:szCs w:val="30"/>
        </w:rPr>
        <w:t>项目进度计划的内容</w:t>
      </w:r>
      <w:bookmarkEnd w:id="350"/>
    </w:p>
    <w:p w14:paraId="2122EBAF">
      <w:pPr>
        <w:ind w:firstLine="600"/>
        <w:rPr>
          <w:rFonts w:ascii="宋体" w:hAnsi="宋体"/>
          <w:sz w:val="30"/>
          <w:szCs w:val="30"/>
        </w:rPr>
      </w:pPr>
      <w:r>
        <w:rPr>
          <w:rFonts w:hint="eastAsia" w:ascii="宋体" w:hAnsi="宋体"/>
          <w:sz w:val="30"/>
          <w:szCs w:val="30"/>
        </w:rPr>
        <w:t>项目进度计划应当包括设计、承包人文件提交、采购、制造、检验、运达现场、施工、安装、试验的各个阶段的预期时间以及设计和施工组织方案说明等，其编制应当符合国家法律规定和一般工程实践惯例。项目进度计划的具体要求、关键路径及关键路径变化的确定原则、承包人提交的份数和时间等，在专用合同条件约定。</w:t>
      </w:r>
    </w:p>
    <w:p w14:paraId="3C0AEB2E">
      <w:pPr>
        <w:pStyle w:val="994"/>
        <w:numPr>
          <w:ilvl w:val="0"/>
          <w:numId w:val="0"/>
        </w:numPr>
        <w:rPr>
          <w:sz w:val="30"/>
          <w:szCs w:val="30"/>
        </w:rPr>
      </w:pPr>
      <w:bookmarkStart w:id="351" w:name="_Ref3848203"/>
      <w:r>
        <w:rPr>
          <w:rFonts w:hint="eastAsia"/>
          <w:sz w:val="30"/>
          <w:szCs w:val="30"/>
        </w:rPr>
        <w:t>8</w:t>
      </w:r>
      <w:r>
        <w:rPr>
          <w:sz w:val="30"/>
          <w:szCs w:val="30"/>
        </w:rPr>
        <w:t xml:space="preserve">.4.3 </w:t>
      </w:r>
      <w:r>
        <w:rPr>
          <w:rFonts w:hint="eastAsia"/>
          <w:sz w:val="30"/>
          <w:szCs w:val="30"/>
        </w:rPr>
        <w:t>项目进度计划的修订</w:t>
      </w:r>
      <w:bookmarkEnd w:id="351"/>
    </w:p>
    <w:p w14:paraId="734B7C57">
      <w:pPr>
        <w:ind w:firstLine="600"/>
        <w:rPr>
          <w:rFonts w:ascii="宋体" w:hAnsi="宋体"/>
          <w:sz w:val="30"/>
          <w:szCs w:val="30"/>
        </w:rPr>
      </w:pPr>
      <w:r>
        <w:rPr>
          <w:rFonts w:hint="eastAsia" w:ascii="宋体" w:hAnsi="宋体"/>
          <w:sz w:val="30"/>
          <w:szCs w:val="30"/>
        </w:rPr>
        <w:t>项目进度计划不符合合同要求或与工程的实际进度不一致的，承包人应向工程师提交修订的项目进度计划，并附具有关措施和相关资料。工程师也可以直接向承包人发出修订项目进度计划的通知，承包人如接受，应按该通知修订项目进度计划，报工程师批准。承包人如不接受，应当在14天内答复，如未按时答复视作已接受修订项目进度计划通知中的内容。</w:t>
      </w:r>
    </w:p>
    <w:p w14:paraId="62FE0832">
      <w:pPr>
        <w:ind w:firstLine="600"/>
        <w:rPr>
          <w:rFonts w:ascii="宋体" w:hAnsi="宋体"/>
          <w:sz w:val="30"/>
          <w:szCs w:val="30"/>
        </w:rPr>
      </w:pPr>
      <w:r>
        <w:rPr>
          <w:rFonts w:hint="eastAsia" w:ascii="宋体" w:hAnsi="宋体"/>
          <w:sz w:val="30"/>
          <w:szCs w:val="30"/>
        </w:rPr>
        <w:t>除专用合同条件另有约定外，工程师应在收到修订的项目进度计划后14天内完成审批或提出修改意见，如未按时答复视作已批准承包人修订后的项目进度计划。工程师对承包人提交的项目进度计划的确认，不能减轻或免除承包人根据法律规定和合同约定应承担的任何责任或义务。</w:t>
      </w:r>
    </w:p>
    <w:p w14:paraId="2A8CAD48">
      <w:pPr>
        <w:ind w:firstLine="600"/>
        <w:rPr>
          <w:rFonts w:ascii="宋体" w:hAnsi="宋体"/>
          <w:sz w:val="30"/>
          <w:szCs w:val="30"/>
        </w:rPr>
      </w:pPr>
      <w:r>
        <w:rPr>
          <w:rFonts w:hint="eastAsia" w:ascii="宋体" w:hAnsi="宋体"/>
          <w:sz w:val="30"/>
          <w:szCs w:val="30"/>
        </w:rPr>
        <w:t>除合同当事人另有约定外，项目进度计划的修订并不能减轻或者免除双方按第</w:t>
      </w:r>
      <w:r>
        <w:rPr>
          <w:rFonts w:ascii="宋体" w:hAnsi="宋体"/>
          <w:sz w:val="30"/>
          <w:szCs w:val="30"/>
        </w:rPr>
        <w:t>8.7</w:t>
      </w:r>
      <w:r>
        <w:rPr>
          <w:rFonts w:hint="eastAsia" w:ascii="宋体" w:hAnsi="宋体"/>
          <w:sz w:val="30"/>
          <w:szCs w:val="30"/>
        </w:rPr>
        <w:t>款[工期延误]、第</w:t>
      </w:r>
      <w:r>
        <w:rPr>
          <w:rFonts w:ascii="宋体" w:hAnsi="宋体"/>
          <w:sz w:val="30"/>
          <w:szCs w:val="30"/>
        </w:rPr>
        <w:t>8.8</w:t>
      </w:r>
      <w:r>
        <w:rPr>
          <w:rFonts w:hint="eastAsia" w:ascii="宋体" w:hAnsi="宋体"/>
          <w:sz w:val="30"/>
          <w:szCs w:val="30"/>
        </w:rPr>
        <w:t>款[工期提前]、第</w:t>
      </w:r>
      <w:r>
        <w:rPr>
          <w:rFonts w:ascii="宋体" w:hAnsi="宋体"/>
          <w:sz w:val="30"/>
          <w:szCs w:val="30"/>
        </w:rPr>
        <w:t>8.9</w:t>
      </w:r>
      <w:r>
        <w:rPr>
          <w:rFonts w:hint="eastAsia" w:ascii="宋体" w:hAnsi="宋体"/>
          <w:sz w:val="30"/>
          <w:szCs w:val="30"/>
        </w:rPr>
        <w:t>款[暂停工作]应承担的合同责任。</w:t>
      </w:r>
    </w:p>
    <w:p w14:paraId="5CFE88C9">
      <w:pPr>
        <w:pStyle w:val="969"/>
        <w:widowControl/>
        <w:numPr>
          <w:ilvl w:val="0"/>
          <w:numId w:val="0"/>
        </w:numPr>
        <w:rPr>
          <w:rFonts w:ascii="宋体" w:hAnsi="宋体" w:eastAsia="宋体"/>
          <w:b w:val="0"/>
          <w:sz w:val="30"/>
          <w:szCs w:val="30"/>
        </w:rPr>
      </w:pPr>
      <w:bookmarkStart w:id="352" w:name="_Ref532362278"/>
      <w:bookmarkStart w:id="353" w:name="_Toc54862252"/>
      <w:bookmarkStart w:id="354" w:name="_Ref532362276"/>
      <w:r>
        <w:rPr>
          <w:rFonts w:hint="eastAsia" w:ascii="宋体" w:hAnsi="宋体" w:eastAsia="宋体"/>
          <w:b w:val="0"/>
          <w:sz w:val="30"/>
          <w:szCs w:val="30"/>
        </w:rPr>
        <w:t>8</w:t>
      </w:r>
      <w:r>
        <w:rPr>
          <w:rFonts w:ascii="宋体" w:hAnsi="宋体" w:eastAsia="宋体"/>
          <w:b w:val="0"/>
          <w:sz w:val="30"/>
          <w:szCs w:val="30"/>
        </w:rPr>
        <w:t xml:space="preserve">.5 </w:t>
      </w:r>
      <w:r>
        <w:rPr>
          <w:rFonts w:hint="eastAsia" w:ascii="宋体" w:hAnsi="宋体" w:eastAsia="宋体"/>
          <w:b w:val="0"/>
          <w:sz w:val="30"/>
          <w:szCs w:val="30"/>
        </w:rPr>
        <w:t>进度报告</w:t>
      </w:r>
      <w:bookmarkEnd w:id="352"/>
      <w:bookmarkEnd w:id="353"/>
      <w:bookmarkEnd w:id="354"/>
    </w:p>
    <w:p w14:paraId="50E375ED">
      <w:pPr>
        <w:ind w:firstLine="600"/>
        <w:rPr>
          <w:rFonts w:ascii="宋体" w:hAnsi="宋体"/>
          <w:sz w:val="30"/>
          <w:szCs w:val="30"/>
        </w:rPr>
      </w:pPr>
      <w:r>
        <w:rPr>
          <w:rFonts w:hint="eastAsia" w:ascii="宋体" w:hAnsi="宋体"/>
          <w:sz w:val="30"/>
          <w:szCs w:val="30"/>
        </w:rPr>
        <w:t>项目实施过程中，承包人应进行实际进度记录，并根据工程师的要求编制月进度报告，并提交给工程师。进度报告应包含以下主要内容：</w:t>
      </w:r>
    </w:p>
    <w:p w14:paraId="7AEFEA2B">
      <w:pPr>
        <w:ind w:firstLine="600"/>
        <w:rPr>
          <w:rFonts w:ascii="宋体" w:hAnsi="宋体"/>
          <w:sz w:val="30"/>
          <w:szCs w:val="30"/>
        </w:rPr>
      </w:pPr>
      <w:r>
        <w:rPr>
          <w:rFonts w:hint="eastAsia" w:ascii="宋体" w:hAnsi="宋体"/>
          <w:sz w:val="30"/>
          <w:szCs w:val="30"/>
        </w:rPr>
        <w:t>（1） 工程设计、采购、施工等各个工作内容的进展报告；</w:t>
      </w:r>
    </w:p>
    <w:p w14:paraId="61B022AE">
      <w:pPr>
        <w:ind w:firstLine="600"/>
        <w:rPr>
          <w:rFonts w:ascii="宋体" w:hAnsi="宋体"/>
          <w:sz w:val="30"/>
          <w:szCs w:val="30"/>
        </w:rPr>
      </w:pPr>
      <w:r>
        <w:rPr>
          <w:rFonts w:hint="eastAsia" w:ascii="宋体" w:hAnsi="宋体"/>
          <w:sz w:val="30"/>
          <w:szCs w:val="30"/>
        </w:rPr>
        <w:t>（2） 工程施工方法的一般说明；</w:t>
      </w:r>
    </w:p>
    <w:p w14:paraId="5CC504D2">
      <w:pPr>
        <w:ind w:firstLine="600"/>
        <w:rPr>
          <w:rFonts w:ascii="宋体" w:hAnsi="宋体"/>
          <w:sz w:val="30"/>
          <w:szCs w:val="30"/>
        </w:rPr>
      </w:pPr>
      <w:r>
        <w:rPr>
          <w:rFonts w:hint="eastAsia" w:ascii="宋体" w:hAnsi="宋体"/>
          <w:sz w:val="30"/>
          <w:szCs w:val="30"/>
        </w:rPr>
        <w:t>（3） 当月工程实施介入的项目人员、设备和材料的预估明细报告；</w:t>
      </w:r>
    </w:p>
    <w:p w14:paraId="702D4B07">
      <w:pPr>
        <w:ind w:firstLine="600"/>
        <w:rPr>
          <w:rFonts w:ascii="宋体" w:hAnsi="宋体"/>
          <w:sz w:val="30"/>
          <w:szCs w:val="30"/>
        </w:rPr>
      </w:pPr>
      <w:r>
        <w:rPr>
          <w:rFonts w:hint="eastAsia" w:ascii="宋体" w:hAnsi="宋体"/>
          <w:sz w:val="30"/>
          <w:szCs w:val="30"/>
        </w:rPr>
        <w:t xml:space="preserve">（4） 当月实际进度与进度计划对比分析，以及提出未来可能引起工期延误的情形，同时提出应对措施；需要修订项目进度计划的，应对项目进度计划的修订部分进行说明； </w:t>
      </w:r>
    </w:p>
    <w:p w14:paraId="1B0D2C3F">
      <w:pPr>
        <w:ind w:firstLine="600"/>
        <w:rPr>
          <w:rFonts w:ascii="宋体" w:hAnsi="宋体"/>
          <w:sz w:val="30"/>
          <w:szCs w:val="30"/>
        </w:rPr>
      </w:pPr>
      <w:r>
        <w:rPr>
          <w:rFonts w:hint="eastAsia" w:ascii="宋体" w:hAnsi="宋体"/>
          <w:sz w:val="30"/>
          <w:szCs w:val="30"/>
        </w:rPr>
        <w:t>（5） 承包人对于解决工期延误所提出的建议；</w:t>
      </w:r>
    </w:p>
    <w:p w14:paraId="0E30C86F">
      <w:pPr>
        <w:ind w:firstLine="600"/>
        <w:rPr>
          <w:rFonts w:ascii="宋体" w:hAnsi="宋体"/>
          <w:sz w:val="30"/>
          <w:szCs w:val="30"/>
        </w:rPr>
      </w:pPr>
      <w:r>
        <w:rPr>
          <w:rFonts w:hint="eastAsia" w:ascii="宋体" w:hAnsi="宋体"/>
          <w:sz w:val="30"/>
          <w:szCs w:val="30"/>
        </w:rPr>
        <w:t>（6） 其他与工程有关的重大事项。</w:t>
      </w:r>
    </w:p>
    <w:p w14:paraId="23636A05">
      <w:pPr>
        <w:ind w:firstLine="600"/>
        <w:rPr>
          <w:rFonts w:ascii="宋体" w:hAnsi="宋体"/>
          <w:sz w:val="30"/>
          <w:szCs w:val="30"/>
        </w:rPr>
      </w:pPr>
      <w:r>
        <w:rPr>
          <w:rFonts w:hint="eastAsia" w:ascii="宋体" w:hAnsi="宋体"/>
          <w:sz w:val="30"/>
          <w:szCs w:val="30"/>
        </w:rPr>
        <w:t>进度报告的具体要求等，在专用合同条件约定。</w:t>
      </w:r>
    </w:p>
    <w:p w14:paraId="442176EF">
      <w:pPr>
        <w:pStyle w:val="969"/>
        <w:widowControl/>
        <w:numPr>
          <w:ilvl w:val="0"/>
          <w:numId w:val="0"/>
        </w:numPr>
        <w:rPr>
          <w:rFonts w:ascii="宋体" w:hAnsi="宋体" w:eastAsia="宋体"/>
          <w:b w:val="0"/>
          <w:sz w:val="30"/>
          <w:szCs w:val="30"/>
        </w:rPr>
      </w:pPr>
      <w:bookmarkStart w:id="355" w:name="_Toc54862253"/>
      <w:r>
        <w:rPr>
          <w:rFonts w:hint="eastAsia" w:ascii="宋体" w:hAnsi="宋体" w:eastAsia="宋体"/>
          <w:b w:val="0"/>
          <w:sz w:val="30"/>
          <w:szCs w:val="30"/>
        </w:rPr>
        <w:t>8</w:t>
      </w:r>
      <w:r>
        <w:rPr>
          <w:rFonts w:ascii="宋体" w:hAnsi="宋体" w:eastAsia="宋体"/>
          <w:b w:val="0"/>
          <w:sz w:val="30"/>
          <w:szCs w:val="30"/>
        </w:rPr>
        <w:t xml:space="preserve">.6 </w:t>
      </w:r>
      <w:r>
        <w:rPr>
          <w:rFonts w:hint="eastAsia" w:ascii="宋体" w:hAnsi="宋体" w:eastAsia="宋体"/>
          <w:b w:val="0"/>
          <w:sz w:val="30"/>
          <w:szCs w:val="30"/>
        </w:rPr>
        <w:t>提前预警</w:t>
      </w:r>
      <w:bookmarkEnd w:id="355"/>
    </w:p>
    <w:p w14:paraId="76E4C904">
      <w:pPr>
        <w:ind w:firstLine="600"/>
        <w:rPr>
          <w:rFonts w:ascii="宋体" w:hAnsi="宋体"/>
          <w:sz w:val="30"/>
          <w:szCs w:val="30"/>
        </w:rPr>
      </w:pPr>
      <w:r>
        <w:rPr>
          <w:rFonts w:hint="eastAsia" w:ascii="宋体" w:hAnsi="宋体"/>
          <w:sz w:val="30"/>
          <w:szCs w:val="30"/>
        </w:rPr>
        <w:t>任何一方应当在下列情形发生时尽快书面通知另一方：</w:t>
      </w:r>
    </w:p>
    <w:p w14:paraId="6C9AC2C0">
      <w:pPr>
        <w:ind w:firstLine="600"/>
        <w:rPr>
          <w:rFonts w:ascii="宋体" w:hAnsi="宋体"/>
          <w:sz w:val="30"/>
          <w:szCs w:val="30"/>
        </w:rPr>
      </w:pPr>
      <w:r>
        <w:rPr>
          <w:rFonts w:hint="eastAsia" w:ascii="宋体" w:hAnsi="宋体"/>
          <w:sz w:val="30"/>
          <w:szCs w:val="30"/>
        </w:rPr>
        <w:t>（1） 该情形可能对合同的履行或实现合同目的产生不利影响；</w:t>
      </w:r>
    </w:p>
    <w:p w14:paraId="3969A4C7">
      <w:pPr>
        <w:ind w:firstLine="600"/>
        <w:rPr>
          <w:rFonts w:ascii="宋体" w:hAnsi="宋体"/>
          <w:sz w:val="30"/>
          <w:szCs w:val="30"/>
        </w:rPr>
      </w:pPr>
      <w:r>
        <w:rPr>
          <w:rFonts w:hint="eastAsia" w:ascii="宋体" w:hAnsi="宋体"/>
          <w:sz w:val="30"/>
          <w:szCs w:val="30"/>
        </w:rPr>
        <w:t>（2） 该情形可能对工程完成后的使用产生不利影响；</w:t>
      </w:r>
    </w:p>
    <w:p w14:paraId="4B949BC7">
      <w:pPr>
        <w:ind w:firstLine="600"/>
        <w:rPr>
          <w:rFonts w:ascii="宋体" w:hAnsi="宋体"/>
          <w:sz w:val="30"/>
          <w:szCs w:val="30"/>
        </w:rPr>
      </w:pPr>
      <w:r>
        <w:rPr>
          <w:rFonts w:hint="eastAsia" w:ascii="宋体" w:hAnsi="宋体"/>
          <w:sz w:val="30"/>
          <w:szCs w:val="30"/>
        </w:rPr>
        <w:t>（3） 该情形可能导致合同价款增加；</w:t>
      </w:r>
    </w:p>
    <w:p w14:paraId="6C746A87">
      <w:pPr>
        <w:ind w:firstLine="600"/>
        <w:rPr>
          <w:rFonts w:ascii="宋体" w:hAnsi="宋体"/>
          <w:sz w:val="30"/>
          <w:szCs w:val="30"/>
        </w:rPr>
      </w:pPr>
      <w:r>
        <w:rPr>
          <w:rFonts w:hint="eastAsia" w:ascii="宋体" w:hAnsi="宋体"/>
          <w:sz w:val="30"/>
          <w:szCs w:val="30"/>
        </w:rPr>
        <w:t>（4） 该情形可能导致整个工程或单位/区段工程的工期延长。</w:t>
      </w:r>
    </w:p>
    <w:p w14:paraId="141A1716">
      <w:pPr>
        <w:ind w:firstLine="600"/>
        <w:rPr>
          <w:rFonts w:ascii="宋体" w:hAnsi="宋体"/>
          <w:sz w:val="30"/>
          <w:szCs w:val="30"/>
        </w:rPr>
      </w:pPr>
      <w:r>
        <w:rPr>
          <w:rFonts w:hint="eastAsia" w:ascii="宋体" w:hAnsi="宋体"/>
          <w:sz w:val="30"/>
          <w:szCs w:val="30"/>
        </w:rPr>
        <w:t>发包人有权要求承包人根据第</w:t>
      </w:r>
      <w:r>
        <w:rPr>
          <w:rFonts w:ascii="宋体" w:hAnsi="宋体"/>
          <w:sz w:val="30"/>
          <w:szCs w:val="30"/>
        </w:rPr>
        <w:t>13.2</w:t>
      </w:r>
      <w:r>
        <w:rPr>
          <w:rFonts w:hint="eastAsia" w:ascii="宋体" w:hAnsi="宋体"/>
          <w:sz w:val="30"/>
          <w:szCs w:val="30"/>
        </w:rPr>
        <w:t>款[承包人的合理化建议]的约定提交变更建议，采取措施尽量避免或最小化上述情形的发生或影响。</w:t>
      </w:r>
    </w:p>
    <w:p w14:paraId="64FD4B05">
      <w:pPr>
        <w:pStyle w:val="969"/>
        <w:widowControl/>
        <w:numPr>
          <w:ilvl w:val="0"/>
          <w:numId w:val="0"/>
        </w:numPr>
        <w:rPr>
          <w:rFonts w:ascii="宋体" w:hAnsi="宋体" w:eastAsia="宋体"/>
          <w:b w:val="0"/>
          <w:sz w:val="30"/>
          <w:szCs w:val="30"/>
        </w:rPr>
      </w:pPr>
      <w:bookmarkStart w:id="356" w:name="_Toc4784166"/>
      <w:bookmarkEnd w:id="356"/>
      <w:bookmarkStart w:id="357" w:name="_Toc4784164"/>
      <w:bookmarkEnd w:id="357"/>
      <w:bookmarkStart w:id="358" w:name="_Toc4784174"/>
      <w:bookmarkEnd w:id="358"/>
      <w:bookmarkStart w:id="359" w:name="_Toc4784165"/>
      <w:bookmarkEnd w:id="359"/>
      <w:bookmarkStart w:id="360" w:name="_Toc4784154"/>
      <w:bookmarkEnd w:id="360"/>
      <w:bookmarkStart w:id="361" w:name="_Toc4784162"/>
      <w:bookmarkEnd w:id="361"/>
      <w:bookmarkStart w:id="362" w:name="_Toc4784157"/>
      <w:bookmarkEnd w:id="362"/>
      <w:bookmarkStart w:id="363" w:name="_Toc4784159"/>
      <w:bookmarkEnd w:id="363"/>
      <w:bookmarkStart w:id="364" w:name="_Toc4784167"/>
      <w:bookmarkEnd w:id="364"/>
      <w:bookmarkStart w:id="365" w:name="_Toc4784161"/>
      <w:bookmarkEnd w:id="365"/>
      <w:bookmarkStart w:id="366" w:name="_Toc4784171"/>
      <w:bookmarkEnd w:id="366"/>
      <w:bookmarkStart w:id="367" w:name="_Toc4784168"/>
      <w:bookmarkEnd w:id="367"/>
      <w:bookmarkStart w:id="368" w:name="_Toc4784158"/>
      <w:bookmarkEnd w:id="368"/>
      <w:bookmarkStart w:id="369" w:name="_Toc4784163"/>
      <w:bookmarkEnd w:id="369"/>
      <w:bookmarkStart w:id="370" w:name="_Toc4784160"/>
      <w:bookmarkEnd w:id="370"/>
      <w:bookmarkStart w:id="371" w:name="_Toc4784173"/>
      <w:bookmarkEnd w:id="371"/>
      <w:bookmarkStart w:id="372" w:name="_Toc4784156"/>
      <w:bookmarkEnd w:id="372"/>
      <w:bookmarkStart w:id="373" w:name="_Toc4784169"/>
      <w:bookmarkEnd w:id="373"/>
      <w:bookmarkStart w:id="374" w:name="_Toc4784170"/>
      <w:bookmarkEnd w:id="374"/>
      <w:bookmarkStart w:id="375" w:name="_Toc4784172"/>
      <w:bookmarkEnd w:id="375"/>
      <w:bookmarkStart w:id="376" w:name="_Toc4784155"/>
      <w:bookmarkEnd w:id="376"/>
      <w:bookmarkStart w:id="377" w:name="_Toc4784175"/>
      <w:bookmarkEnd w:id="377"/>
      <w:bookmarkStart w:id="378" w:name="_Ref4770106"/>
      <w:bookmarkStart w:id="379" w:name="_Toc54862254"/>
      <w:bookmarkStart w:id="380" w:name="_Ref532362359"/>
      <w:bookmarkStart w:id="381" w:name="_Ref532362356"/>
      <w:r>
        <w:rPr>
          <w:rFonts w:hint="eastAsia" w:ascii="宋体" w:hAnsi="宋体" w:eastAsia="宋体"/>
          <w:b w:val="0"/>
          <w:sz w:val="30"/>
          <w:szCs w:val="30"/>
        </w:rPr>
        <w:t>8</w:t>
      </w:r>
      <w:r>
        <w:rPr>
          <w:rFonts w:ascii="宋体" w:hAnsi="宋体" w:eastAsia="宋体"/>
          <w:b w:val="0"/>
          <w:sz w:val="30"/>
          <w:szCs w:val="30"/>
        </w:rPr>
        <w:t xml:space="preserve">.7 </w:t>
      </w:r>
      <w:r>
        <w:rPr>
          <w:rFonts w:hint="eastAsia" w:ascii="宋体" w:hAnsi="宋体" w:eastAsia="宋体"/>
          <w:b w:val="0"/>
          <w:sz w:val="30"/>
          <w:szCs w:val="30"/>
        </w:rPr>
        <w:t>工期延误</w:t>
      </w:r>
      <w:bookmarkEnd w:id="378"/>
      <w:bookmarkEnd w:id="379"/>
    </w:p>
    <w:p w14:paraId="4CE435E7">
      <w:pPr>
        <w:pStyle w:val="994"/>
        <w:numPr>
          <w:ilvl w:val="0"/>
          <w:numId w:val="0"/>
        </w:numPr>
        <w:rPr>
          <w:sz w:val="30"/>
          <w:szCs w:val="30"/>
        </w:rPr>
      </w:pPr>
      <w:bookmarkStart w:id="382" w:name="_Ref4796050"/>
      <w:r>
        <w:rPr>
          <w:rFonts w:hint="eastAsia"/>
          <w:sz w:val="30"/>
          <w:szCs w:val="30"/>
        </w:rPr>
        <w:t>8</w:t>
      </w:r>
      <w:r>
        <w:rPr>
          <w:sz w:val="30"/>
          <w:szCs w:val="30"/>
        </w:rPr>
        <w:t xml:space="preserve">.7.1 </w:t>
      </w:r>
      <w:r>
        <w:rPr>
          <w:rFonts w:hint="eastAsia"/>
          <w:sz w:val="30"/>
          <w:szCs w:val="30"/>
        </w:rPr>
        <w:t>因发包人原因导致工期延误</w:t>
      </w:r>
      <w:bookmarkEnd w:id="382"/>
    </w:p>
    <w:p w14:paraId="33EB22FF">
      <w:pPr>
        <w:ind w:firstLine="600"/>
        <w:rPr>
          <w:rFonts w:ascii="宋体" w:hAnsi="宋体"/>
          <w:sz w:val="30"/>
          <w:szCs w:val="30"/>
        </w:rPr>
      </w:pPr>
      <w:r>
        <w:rPr>
          <w:rFonts w:hint="eastAsia" w:ascii="宋体" w:hAnsi="宋体"/>
          <w:sz w:val="30"/>
          <w:szCs w:val="30"/>
        </w:rPr>
        <w:t>在合同履行过程中，因下列情况导致工期延误和（或）费用增加的，由发包人承担由此延误的工期和（或）增加的费用，且发包人应支付承包人合理的利润：</w:t>
      </w:r>
    </w:p>
    <w:p w14:paraId="73B93C65">
      <w:pPr>
        <w:ind w:firstLine="600"/>
        <w:rPr>
          <w:rFonts w:ascii="宋体" w:hAnsi="宋体"/>
          <w:sz w:val="30"/>
          <w:szCs w:val="30"/>
        </w:rPr>
      </w:pPr>
      <w:r>
        <w:rPr>
          <w:rFonts w:hint="eastAsia" w:ascii="宋体" w:hAnsi="宋体"/>
          <w:sz w:val="30"/>
          <w:szCs w:val="30"/>
        </w:rPr>
        <w:t>（1） 根据第</w:t>
      </w:r>
      <w:r>
        <w:rPr>
          <w:rFonts w:ascii="宋体" w:hAnsi="宋体"/>
          <w:sz w:val="30"/>
          <w:szCs w:val="30"/>
        </w:rPr>
        <w:t>13条</w:t>
      </w:r>
      <w:r>
        <w:rPr>
          <w:rFonts w:hint="eastAsia" w:ascii="宋体" w:hAnsi="宋体"/>
          <w:sz w:val="30"/>
          <w:szCs w:val="30"/>
        </w:rPr>
        <w:t>[变更与调整]的约定构成一项变更的；</w:t>
      </w:r>
    </w:p>
    <w:p w14:paraId="1ABDDE3F">
      <w:pPr>
        <w:ind w:firstLine="600"/>
        <w:rPr>
          <w:rFonts w:ascii="宋体" w:hAnsi="宋体"/>
          <w:sz w:val="30"/>
          <w:szCs w:val="30"/>
        </w:rPr>
      </w:pPr>
      <w:r>
        <w:rPr>
          <w:rFonts w:hint="eastAsia" w:ascii="宋体" w:hAnsi="宋体"/>
          <w:sz w:val="30"/>
          <w:szCs w:val="30"/>
        </w:rPr>
        <w:t>（2） 发包人违反本合同约定，导致工期延误和（或）费用增加的；</w:t>
      </w:r>
    </w:p>
    <w:p w14:paraId="3F7AC1E8">
      <w:pPr>
        <w:ind w:firstLine="600"/>
        <w:rPr>
          <w:rFonts w:ascii="宋体" w:hAnsi="宋体"/>
          <w:sz w:val="30"/>
          <w:szCs w:val="30"/>
        </w:rPr>
      </w:pPr>
      <w:r>
        <w:rPr>
          <w:rFonts w:hint="eastAsia" w:ascii="宋体" w:hAnsi="宋体"/>
          <w:sz w:val="30"/>
          <w:szCs w:val="30"/>
        </w:rPr>
        <w:t>（3） 发包人、发包人代表、工程师或发包人聘请的任意第三方造成或引起的任何延误、妨碍和阻碍；</w:t>
      </w:r>
    </w:p>
    <w:p w14:paraId="351343D1">
      <w:pPr>
        <w:ind w:firstLine="600"/>
        <w:rPr>
          <w:rFonts w:ascii="宋体" w:hAnsi="宋体"/>
          <w:sz w:val="30"/>
          <w:szCs w:val="30"/>
        </w:rPr>
      </w:pPr>
      <w:r>
        <w:rPr>
          <w:rFonts w:hint="eastAsia" w:ascii="宋体" w:hAnsi="宋体"/>
          <w:sz w:val="30"/>
          <w:szCs w:val="30"/>
        </w:rPr>
        <w:t>（4） 发包人未能依据第</w:t>
      </w:r>
      <w:r>
        <w:rPr>
          <w:rFonts w:ascii="宋体" w:hAnsi="宋体"/>
          <w:sz w:val="30"/>
          <w:szCs w:val="30"/>
        </w:rPr>
        <w:t>6.2.1</w:t>
      </w:r>
      <w:r>
        <w:rPr>
          <w:rFonts w:hint="eastAsia" w:ascii="宋体" w:hAnsi="宋体"/>
          <w:sz w:val="30"/>
          <w:szCs w:val="30"/>
        </w:rPr>
        <w:t>项[发包人提供的材料和工程设备]的约定提供材料和工程设备导致工期延误和（或）费用增加的；</w:t>
      </w:r>
    </w:p>
    <w:p w14:paraId="0F356BBC">
      <w:pPr>
        <w:ind w:firstLine="600"/>
        <w:rPr>
          <w:rFonts w:ascii="宋体" w:hAnsi="宋体"/>
          <w:sz w:val="30"/>
          <w:szCs w:val="30"/>
        </w:rPr>
      </w:pPr>
      <w:r>
        <w:rPr>
          <w:rFonts w:hint="eastAsia" w:ascii="宋体" w:hAnsi="宋体"/>
          <w:sz w:val="30"/>
          <w:szCs w:val="30"/>
        </w:rPr>
        <w:t>（5） 因发包人原因导致的暂停施工；</w:t>
      </w:r>
    </w:p>
    <w:p w14:paraId="089C5195">
      <w:pPr>
        <w:ind w:firstLine="600"/>
        <w:rPr>
          <w:rFonts w:ascii="宋体" w:hAnsi="宋体"/>
          <w:sz w:val="30"/>
          <w:szCs w:val="30"/>
        </w:rPr>
      </w:pPr>
      <w:r>
        <w:rPr>
          <w:rFonts w:hint="eastAsia" w:ascii="宋体" w:hAnsi="宋体"/>
          <w:sz w:val="30"/>
          <w:szCs w:val="30"/>
        </w:rPr>
        <w:t>（6） 发包人未及时履行相关合同义务，造成工期延误的其他原因。</w:t>
      </w:r>
    </w:p>
    <w:p w14:paraId="23CFD413">
      <w:pPr>
        <w:pStyle w:val="994"/>
        <w:numPr>
          <w:ilvl w:val="0"/>
          <w:numId w:val="0"/>
        </w:numPr>
        <w:rPr>
          <w:sz w:val="30"/>
          <w:szCs w:val="30"/>
        </w:rPr>
      </w:pPr>
      <w:bookmarkStart w:id="383" w:name="_Ref4770209"/>
      <w:r>
        <w:rPr>
          <w:rFonts w:hint="eastAsia"/>
          <w:sz w:val="30"/>
          <w:szCs w:val="30"/>
        </w:rPr>
        <w:t>8</w:t>
      </w:r>
      <w:r>
        <w:rPr>
          <w:sz w:val="30"/>
          <w:szCs w:val="30"/>
        </w:rPr>
        <w:t xml:space="preserve">.7.2 </w:t>
      </w:r>
      <w:r>
        <w:rPr>
          <w:rFonts w:hint="eastAsia"/>
          <w:sz w:val="30"/>
          <w:szCs w:val="30"/>
        </w:rPr>
        <w:t>因承包人原因导致工期延误</w:t>
      </w:r>
      <w:bookmarkEnd w:id="383"/>
    </w:p>
    <w:p w14:paraId="345C5CAD">
      <w:pPr>
        <w:ind w:firstLine="600"/>
        <w:rPr>
          <w:rFonts w:ascii="宋体" w:hAnsi="宋体"/>
          <w:sz w:val="30"/>
          <w:szCs w:val="30"/>
        </w:rPr>
      </w:pPr>
      <w:r>
        <w:rPr>
          <w:rFonts w:hint="eastAsia" w:ascii="宋体" w:hAnsi="宋体"/>
          <w:sz w:val="30"/>
          <w:szCs w:val="30"/>
        </w:rPr>
        <w:t>由于承包人的原因，未能按项目进度计划完成工作，承包人应采取措施加快进度，并承担加快进度所增加的费用。</w:t>
      </w:r>
    </w:p>
    <w:p w14:paraId="58BB7871">
      <w:pPr>
        <w:ind w:firstLine="600"/>
        <w:rPr>
          <w:rFonts w:ascii="宋体" w:hAnsi="宋体"/>
          <w:sz w:val="30"/>
          <w:szCs w:val="30"/>
        </w:rPr>
      </w:pPr>
      <w:r>
        <w:rPr>
          <w:rFonts w:hint="eastAsia" w:ascii="宋体" w:hAnsi="宋体"/>
          <w:sz w:val="30"/>
          <w:szCs w:val="30"/>
        </w:rPr>
        <w:t>由于承包人原因造成工期延误并导致逾期竣工的，承包人应支付逾期竣工违约金。逾期竣工违约金的计算方法和最高限额在专用合同条件中约定。承包人支付逾期竣工违约金，不免除承包人完成工作及修补缺陷的义务，且发包人有权从工程进度款、竣工结算款或约定提交的履约担保中扣除相当于逾期竣工违约金的金额。</w:t>
      </w:r>
    </w:p>
    <w:p w14:paraId="255DD965">
      <w:pPr>
        <w:pStyle w:val="994"/>
        <w:numPr>
          <w:ilvl w:val="0"/>
          <w:numId w:val="0"/>
        </w:numPr>
        <w:rPr>
          <w:sz w:val="30"/>
          <w:szCs w:val="30"/>
        </w:rPr>
      </w:pPr>
      <w:bookmarkStart w:id="384" w:name="_Ref4770872"/>
      <w:r>
        <w:rPr>
          <w:rFonts w:hint="eastAsia"/>
          <w:sz w:val="30"/>
          <w:szCs w:val="30"/>
        </w:rPr>
        <w:t>8</w:t>
      </w:r>
      <w:r>
        <w:rPr>
          <w:sz w:val="30"/>
          <w:szCs w:val="30"/>
        </w:rPr>
        <w:t xml:space="preserve">.7.3 </w:t>
      </w:r>
      <w:r>
        <w:rPr>
          <w:rFonts w:hint="eastAsia"/>
          <w:sz w:val="30"/>
          <w:szCs w:val="30"/>
        </w:rPr>
        <w:t>行政审批迟延</w:t>
      </w:r>
      <w:bookmarkEnd w:id="384"/>
      <w:r>
        <w:rPr>
          <w:rFonts w:hint="eastAsia"/>
          <w:sz w:val="30"/>
          <w:szCs w:val="30"/>
        </w:rPr>
        <w:t xml:space="preserve"> </w:t>
      </w:r>
    </w:p>
    <w:p w14:paraId="26D36903">
      <w:pPr>
        <w:ind w:firstLine="600"/>
        <w:rPr>
          <w:rFonts w:ascii="宋体" w:hAnsi="宋体"/>
          <w:sz w:val="30"/>
          <w:szCs w:val="30"/>
        </w:rPr>
      </w:pPr>
      <w:r>
        <w:rPr>
          <w:rFonts w:hint="eastAsia" w:ascii="宋体" w:hAnsi="宋体"/>
          <w:sz w:val="30"/>
          <w:szCs w:val="30"/>
        </w:rPr>
        <w:t>合同约定范围内的工作需国家有关部门审批的，发包人和（或）承包人应按照专用合同条件约定的职责分工完成行政审批报送。因国家有关部门审批迟延造成工期延误的，竣工日期相应顺延。造成费用增加的，由双方在负责的范围内各自承担。</w:t>
      </w:r>
    </w:p>
    <w:p w14:paraId="404759AB">
      <w:pPr>
        <w:pStyle w:val="994"/>
        <w:numPr>
          <w:ilvl w:val="0"/>
          <w:numId w:val="0"/>
        </w:numPr>
        <w:rPr>
          <w:sz w:val="30"/>
          <w:szCs w:val="30"/>
        </w:rPr>
      </w:pPr>
      <w:bookmarkStart w:id="385" w:name="_Ref4770933"/>
      <w:r>
        <w:rPr>
          <w:rFonts w:hint="eastAsia"/>
          <w:sz w:val="30"/>
          <w:szCs w:val="30"/>
        </w:rPr>
        <w:t>8</w:t>
      </w:r>
      <w:r>
        <w:rPr>
          <w:sz w:val="30"/>
          <w:szCs w:val="30"/>
        </w:rPr>
        <w:t xml:space="preserve">.7.4 </w:t>
      </w:r>
      <w:r>
        <w:rPr>
          <w:rFonts w:hint="eastAsia"/>
          <w:sz w:val="30"/>
          <w:szCs w:val="30"/>
        </w:rPr>
        <w:t>异常恶劣的气候条件</w:t>
      </w:r>
      <w:bookmarkEnd w:id="385"/>
    </w:p>
    <w:p w14:paraId="0D41A12A">
      <w:pPr>
        <w:ind w:firstLine="600"/>
        <w:rPr>
          <w:rFonts w:ascii="宋体" w:hAnsi="宋体"/>
          <w:sz w:val="30"/>
          <w:szCs w:val="30"/>
        </w:rPr>
      </w:pPr>
      <w:r>
        <w:rPr>
          <w:rFonts w:hint="eastAsia" w:ascii="宋体" w:hAnsi="宋体"/>
          <w:sz w:val="30"/>
          <w:szCs w:val="30"/>
        </w:rPr>
        <w:t>异常恶劣的气候条件是指在施工过程中遇到的，有经验的承包人在订立合同时不可预见的，对合同履行造成实质性影响的，但尚未构成不可抗力事件的恶劣气候条件。合同当事人可以在专用合同条件中约定异常恶劣的气候条件的具体情形。</w:t>
      </w:r>
    </w:p>
    <w:p w14:paraId="41C407C4">
      <w:pPr>
        <w:ind w:firstLine="600"/>
        <w:rPr>
          <w:rFonts w:ascii="宋体" w:hAnsi="宋体"/>
          <w:sz w:val="30"/>
          <w:szCs w:val="30"/>
        </w:rPr>
      </w:pPr>
      <w:r>
        <w:rPr>
          <w:rFonts w:hint="eastAsia" w:ascii="宋体" w:hAnsi="宋体"/>
          <w:sz w:val="30"/>
          <w:szCs w:val="30"/>
        </w:rPr>
        <w:t>承包人应采取克服异常恶劣的气候条件的合理措施继续施工，并及时通知工程师。工程师应当及时发出指示，指示构成变更的，按第</w:t>
      </w:r>
      <w:r>
        <w:rPr>
          <w:rFonts w:ascii="宋体" w:hAnsi="宋体"/>
          <w:sz w:val="30"/>
          <w:szCs w:val="30"/>
        </w:rPr>
        <w:t>13条</w:t>
      </w:r>
      <w:r>
        <w:rPr>
          <w:rFonts w:hint="eastAsia" w:ascii="宋体" w:hAnsi="宋体"/>
          <w:sz w:val="30"/>
          <w:szCs w:val="30"/>
        </w:rPr>
        <w:t>[变更与调整]约定办理。承包人因采取合理措施而延误的工期由发包人承担。</w:t>
      </w:r>
    </w:p>
    <w:p w14:paraId="7534C22D">
      <w:pPr>
        <w:pStyle w:val="969"/>
        <w:widowControl/>
        <w:numPr>
          <w:ilvl w:val="0"/>
          <w:numId w:val="0"/>
        </w:numPr>
        <w:rPr>
          <w:rFonts w:ascii="宋体" w:hAnsi="宋体" w:eastAsia="宋体"/>
          <w:b w:val="0"/>
          <w:sz w:val="30"/>
          <w:szCs w:val="30"/>
        </w:rPr>
      </w:pPr>
      <w:bookmarkStart w:id="386" w:name="_Toc54862255"/>
      <w:bookmarkStart w:id="387" w:name="_Ref4781828"/>
      <w:r>
        <w:rPr>
          <w:rFonts w:hint="eastAsia" w:ascii="宋体" w:hAnsi="宋体" w:eastAsia="宋体"/>
          <w:b w:val="0"/>
          <w:sz w:val="30"/>
          <w:szCs w:val="30"/>
        </w:rPr>
        <w:t>8</w:t>
      </w:r>
      <w:r>
        <w:rPr>
          <w:rFonts w:ascii="宋体" w:hAnsi="宋体" w:eastAsia="宋体"/>
          <w:b w:val="0"/>
          <w:sz w:val="30"/>
          <w:szCs w:val="30"/>
        </w:rPr>
        <w:t xml:space="preserve">.8 </w:t>
      </w:r>
      <w:r>
        <w:rPr>
          <w:rFonts w:hint="eastAsia" w:ascii="宋体" w:hAnsi="宋体" w:eastAsia="宋体"/>
          <w:b w:val="0"/>
          <w:sz w:val="30"/>
          <w:szCs w:val="30"/>
        </w:rPr>
        <w:t>工期提前</w:t>
      </w:r>
      <w:bookmarkEnd w:id="380"/>
      <w:bookmarkEnd w:id="381"/>
      <w:bookmarkEnd w:id="386"/>
      <w:bookmarkEnd w:id="387"/>
    </w:p>
    <w:p w14:paraId="692D311B">
      <w:pPr>
        <w:pStyle w:val="994"/>
        <w:numPr>
          <w:ilvl w:val="0"/>
          <w:numId w:val="0"/>
        </w:numPr>
        <w:rPr>
          <w:sz w:val="30"/>
          <w:szCs w:val="30"/>
        </w:rPr>
      </w:pPr>
      <w:r>
        <w:rPr>
          <w:rFonts w:hint="eastAsia"/>
          <w:sz w:val="30"/>
          <w:szCs w:val="30"/>
        </w:rPr>
        <w:t>8</w:t>
      </w:r>
      <w:r>
        <w:rPr>
          <w:sz w:val="30"/>
          <w:szCs w:val="30"/>
        </w:rPr>
        <w:t xml:space="preserve">.8.1 </w:t>
      </w:r>
      <w:r>
        <w:rPr>
          <w:rFonts w:hint="eastAsia"/>
          <w:sz w:val="30"/>
          <w:szCs w:val="30"/>
        </w:rPr>
        <w:t>发包人指示承包人提前竣工且被承包人接受的，应与承包人共同协商采取加快工程进度的措施和修订项目进度计划。发包人应承担承包人由此增加的费用，增加的费用按第</w:t>
      </w:r>
      <w:r>
        <w:rPr>
          <w:sz w:val="30"/>
          <w:szCs w:val="30"/>
        </w:rPr>
        <w:t>13条</w:t>
      </w:r>
      <w:r>
        <w:rPr>
          <w:rFonts w:hint="eastAsia"/>
          <w:sz w:val="30"/>
          <w:szCs w:val="30"/>
        </w:rPr>
        <w:t>[</w:t>
      </w:r>
      <w:r>
        <w:rPr>
          <w:sz w:val="30"/>
          <w:szCs w:val="30"/>
        </w:rPr>
        <w:t>变更与调整</w:t>
      </w:r>
      <w:r>
        <w:rPr>
          <w:rFonts w:hint="eastAsia"/>
          <w:sz w:val="30"/>
          <w:szCs w:val="30"/>
        </w:rPr>
        <w:t>]的约定执行；发包人不得以任何理由要求承包人超过合理限度压缩工期。承包人有权不接受提前竣工的指示，工期按照合同约定执行。</w:t>
      </w:r>
    </w:p>
    <w:p w14:paraId="35B12A6F">
      <w:pPr>
        <w:pStyle w:val="994"/>
        <w:numPr>
          <w:ilvl w:val="0"/>
          <w:numId w:val="0"/>
        </w:numPr>
        <w:rPr>
          <w:sz w:val="30"/>
          <w:szCs w:val="30"/>
        </w:rPr>
      </w:pPr>
      <w:bookmarkStart w:id="388" w:name="_Ref4429347"/>
      <w:r>
        <w:rPr>
          <w:rFonts w:hint="eastAsia"/>
          <w:sz w:val="30"/>
          <w:szCs w:val="30"/>
        </w:rPr>
        <w:t>8</w:t>
      </w:r>
      <w:r>
        <w:rPr>
          <w:sz w:val="30"/>
          <w:szCs w:val="30"/>
        </w:rPr>
        <w:t xml:space="preserve">.8.2 </w:t>
      </w:r>
      <w:r>
        <w:rPr>
          <w:rFonts w:hint="eastAsia"/>
          <w:sz w:val="30"/>
          <w:szCs w:val="30"/>
        </w:rPr>
        <w:t>承包人提出提前竣工的建议且发包人接受的，应与发包人共同协商采取加快工程进度的措施和修订项目进度计划。发包人应承担承包人由此增加的费用，增加的费用按第</w:t>
      </w:r>
      <w:r>
        <w:rPr>
          <w:sz w:val="30"/>
          <w:szCs w:val="30"/>
        </w:rPr>
        <w:t>13条</w:t>
      </w:r>
      <w:r>
        <w:rPr>
          <w:rFonts w:hint="eastAsia"/>
          <w:sz w:val="30"/>
          <w:szCs w:val="30"/>
        </w:rPr>
        <w:t>[</w:t>
      </w:r>
      <w:r>
        <w:rPr>
          <w:sz w:val="30"/>
          <w:szCs w:val="30"/>
        </w:rPr>
        <w:t>变更与调整</w:t>
      </w:r>
      <w:r>
        <w:rPr>
          <w:rFonts w:hint="eastAsia"/>
          <w:sz w:val="30"/>
          <w:szCs w:val="30"/>
        </w:rPr>
        <w:t>]的约定执行，并向承包人支付专用合同条件约定的相应奖励金。</w:t>
      </w:r>
      <w:bookmarkEnd w:id="388"/>
    </w:p>
    <w:p w14:paraId="2F4237B6">
      <w:pPr>
        <w:pStyle w:val="969"/>
        <w:widowControl/>
        <w:numPr>
          <w:ilvl w:val="0"/>
          <w:numId w:val="0"/>
        </w:numPr>
        <w:rPr>
          <w:rFonts w:ascii="宋体" w:hAnsi="宋体" w:eastAsia="宋体"/>
          <w:b w:val="0"/>
          <w:sz w:val="30"/>
          <w:szCs w:val="30"/>
        </w:rPr>
      </w:pPr>
      <w:bookmarkStart w:id="389" w:name="_Ref4615040"/>
      <w:bookmarkStart w:id="390" w:name="_Toc54862256"/>
      <w:bookmarkStart w:id="391" w:name="_Ref4615031"/>
      <w:r>
        <w:rPr>
          <w:rFonts w:hint="eastAsia" w:ascii="宋体" w:hAnsi="宋体" w:eastAsia="宋体"/>
          <w:b w:val="0"/>
          <w:sz w:val="30"/>
          <w:szCs w:val="30"/>
        </w:rPr>
        <w:t>8</w:t>
      </w:r>
      <w:r>
        <w:rPr>
          <w:rFonts w:ascii="宋体" w:hAnsi="宋体" w:eastAsia="宋体"/>
          <w:b w:val="0"/>
          <w:sz w:val="30"/>
          <w:szCs w:val="30"/>
        </w:rPr>
        <w:t xml:space="preserve">.9 </w:t>
      </w:r>
      <w:r>
        <w:rPr>
          <w:rFonts w:hint="eastAsia" w:ascii="宋体" w:hAnsi="宋体" w:eastAsia="宋体"/>
          <w:b w:val="0"/>
          <w:sz w:val="30"/>
          <w:szCs w:val="30"/>
        </w:rPr>
        <w:t>暂停工作</w:t>
      </w:r>
      <w:bookmarkEnd w:id="389"/>
      <w:bookmarkEnd w:id="390"/>
      <w:bookmarkEnd w:id="391"/>
      <w:r>
        <w:rPr>
          <w:rFonts w:hint="eastAsia" w:ascii="宋体" w:hAnsi="宋体" w:eastAsia="宋体"/>
          <w:b w:val="0"/>
          <w:sz w:val="30"/>
          <w:szCs w:val="30"/>
        </w:rPr>
        <w:t xml:space="preserve"> </w:t>
      </w:r>
    </w:p>
    <w:p w14:paraId="58DB4C41">
      <w:pPr>
        <w:pStyle w:val="994"/>
        <w:numPr>
          <w:ilvl w:val="0"/>
          <w:numId w:val="0"/>
        </w:numPr>
        <w:rPr>
          <w:sz w:val="30"/>
          <w:szCs w:val="30"/>
        </w:rPr>
      </w:pPr>
      <w:bookmarkStart w:id="392" w:name="_Ref4709151"/>
      <w:r>
        <w:rPr>
          <w:rFonts w:hint="eastAsia"/>
          <w:sz w:val="30"/>
          <w:szCs w:val="30"/>
        </w:rPr>
        <w:t>8</w:t>
      </w:r>
      <w:r>
        <w:rPr>
          <w:sz w:val="30"/>
          <w:szCs w:val="30"/>
        </w:rPr>
        <w:t xml:space="preserve">.9.1 </w:t>
      </w:r>
      <w:r>
        <w:rPr>
          <w:rFonts w:hint="eastAsia"/>
          <w:sz w:val="30"/>
          <w:szCs w:val="30"/>
        </w:rPr>
        <w:t>由发包人暂停工作</w:t>
      </w:r>
      <w:bookmarkEnd w:id="392"/>
    </w:p>
    <w:p w14:paraId="4DDE279B">
      <w:pPr>
        <w:ind w:firstLine="600"/>
        <w:rPr>
          <w:rFonts w:ascii="宋体" w:hAnsi="宋体"/>
          <w:sz w:val="30"/>
          <w:szCs w:val="30"/>
        </w:rPr>
      </w:pPr>
      <w:r>
        <w:rPr>
          <w:rFonts w:hint="eastAsia" w:ascii="宋体" w:hAnsi="宋体"/>
          <w:sz w:val="30"/>
          <w:szCs w:val="30"/>
        </w:rPr>
        <w:t>发包人认为必要时，可通过工程师向承包人发出经发包人签认的暂停工作通知，应列明暂停原因、暂停的日期及预计暂停的期限。承包人应按该通知暂停工作。</w:t>
      </w:r>
      <w:bookmarkStart w:id="393" w:name="_Ref4709233"/>
    </w:p>
    <w:p w14:paraId="5143FE9B">
      <w:pPr>
        <w:ind w:firstLine="600"/>
        <w:rPr>
          <w:rFonts w:ascii="宋体" w:hAnsi="宋体"/>
          <w:sz w:val="30"/>
          <w:szCs w:val="30"/>
        </w:rPr>
      </w:pPr>
      <w:r>
        <w:rPr>
          <w:rFonts w:hint="eastAsia" w:ascii="宋体" w:hAnsi="宋体"/>
          <w:sz w:val="30"/>
          <w:szCs w:val="30"/>
        </w:rPr>
        <w:t>承包人因执行暂停工作通知而造成费用的增加和（或）工期延误由发包人承担，并有权要求发包人支付合理利润，但</w:t>
      </w:r>
      <w:bookmarkEnd w:id="393"/>
      <w:r>
        <w:rPr>
          <w:rFonts w:hint="eastAsia" w:ascii="宋体" w:hAnsi="宋体"/>
          <w:sz w:val="30"/>
          <w:szCs w:val="30"/>
        </w:rPr>
        <w:t>由于承包人原因造成发包人暂停工作的除外。</w:t>
      </w:r>
    </w:p>
    <w:p w14:paraId="3927A374">
      <w:pPr>
        <w:pStyle w:val="994"/>
        <w:numPr>
          <w:ilvl w:val="0"/>
          <w:numId w:val="0"/>
        </w:numPr>
        <w:rPr>
          <w:sz w:val="30"/>
          <w:szCs w:val="30"/>
        </w:rPr>
      </w:pPr>
      <w:bookmarkStart w:id="394" w:name="_Ref18972173"/>
      <w:r>
        <w:rPr>
          <w:rFonts w:hint="eastAsia"/>
          <w:sz w:val="30"/>
          <w:szCs w:val="30"/>
        </w:rPr>
        <w:t>8</w:t>
      </w:r>
      <w:r>
        <w:rPr>
          <w:sz w:val="30"/>
          <w:szCs w:val="30"/>
        </w:rPr>
        <w:t xml:space="preserve">.9.2 </w:t>
      </w:r>
      <w:r>
        <w:rPr>
          <w:rFonts w:hint="eastAsia"/>
          <w:sz w:val="30"/>
          <w:szCs w:val="30"/>
        </w:rPr>
        <w:t>由承包人暂停工作</w:t>
      </w:r>
      <w:bookmarkEnd w:id="394"/>
      <w:r>
        <w:rPr>
          <w:rFonts w:hint="eastAsia"/>
          <w:sz w:val="30"/>
          <w:szCs w:val="30"/>
        </w:rPr>
        <w:t xml:space="preserve"> </w:t>
      </w:r>
    </w:p>
    <w:p w14:paraId="19D9360C">
      <w:pPr>
        <w:ind w:firstLine="600"/>
        <w:rPr>
          <w:rFonts w:ascii="宋体" w:hAnsi="宋体"/>
          <w:sz w:val="30"/>
          <w:szCs w:val="30"/>
        </w:rPr>
      </w:pPr>
      <w:r>
        <w:rPr>
          <w:rFonts w:hint="eastAsia" w:ascii="宋体" w:hAnsi="宋体"/>
          <w:sz w:val="30"/>
          <w:szCs w:val="30"/>
        </w:rPr>
        <w:t>因承包人原因所造成部分或全部工程的暂停，承包人应采取措施尽快复工并赶上进度，由此造成费用的增加或工期延误由承包人承担。因此造成逾期竣工的，承包人应按第</w:t>
      </w:r>
      <w:r>
        <w:rPr>
          <w:rFonts w:ascii="宋体" w:hAnsi="宋体"/>
          <w:sz w:val="30"/>
          <w:szCs w:val="30"/>
        </w:rPr>
        <w:t>8.7.2</w:t>
      </w:r>
      <w:r>
        <w:rPr>
          <w:rFonts w:hint="eastAsia" w:ascii="宋体" w:hAnsi="宋体"/>
          <w:sz w:val="30"/>
          <w:szCs w:val="30"/>
        </w:rPr>
        <w:t>项[</w:t>
      </w:r>
      <w:r>
        <w:rPr>
          <w:rFonts w:ascii="宋体" w:hAnsi="宋体"/>
          <w:sz w:val="30"/>
          <w:szCs w:val="30"/>
        </w:rPr>
        <w:t>因承包人原因导致工期延误</w:t>
      </w:r>
      <w:r>
        <w:rPr>
          <w:rFonts w:hint="eastAsia" w:ascii="宋体" w:hAnsi="宋体"/>
          <w:sz w:val="30"/>
          <w:szCs w:val="30"/>
        </w:rPr>
        <w:t>]承担逾期竣工违约责任。</w:t>
      </w:r>
    </w:p>
    <w:p w14:paraId="6D9EEB21">
      <w:pPr>
        <w:ind w:firstLine="600"/>
        <w:rPr>
          <w:rFonts w:ascii="宋体" w:hAnsi="宋体"/>
          <w:sz w:val="30"/>
          <w:szCs w:val="30"/>
        </w:rPr>
      </w:pPr>
      <w:r>
        <w:rPr>
          <w:rFonts w:hint="eastAsia" w:ascii="宋体" w:hAnsi="宋体"/>
          <w:sz w:val="30"/>
          <w:szCs w:val="30"/>
        </w:rPr>
        <w:t>合同履行过程中发生下列情形之一的，承包人可向发包人发出通知，要求发包人采取有效措施予以纠正。发包人收到承包人通知后的28天内仍不予以纠正，承包人有权暂停施工，并通知工程师。承包人有权要求发包人延长工期和（或）增加费用，并支付合理利润：</w:t>
      </w:r>
    </w:p>
    <w:p w14:paraId="498777D0">
      <w:pPr>
        <w:ind w:firstLine="600"/>
        <w:rPr>
          <w:rFonts w:ascii="宋体" w:hAnsi="宋体"/>
          <w:sz w:val="30"/>
          <w:szCs w:val="30"/>
        </w:rPr>
      </w:pPr>
      <w:bookmarkStart w:id="395" w:name="_Ref4709224"/>
      <w:r>
        <w:rPr>
          <w:rFonts w:hint="eastAsia" w:ascii="宋体" w:hAnsi="宋体"/>
          <w:sz w:val="30"/>
          <w:szCs w:val="30"/>
        </w:rPr>
        <w:t>（1） 发包人拖延、拒绝批准付款申请和支付证书，或未能按合同约定支付价款，导致付款延误的；</w:t>
      </w:r>
      <w:bookmarkEnd w:id="395"/>
    </w:p>
    <w:p w14:paraId="0A261D57">
      <w:pPr>
        <w:ind w:firstLine="600"/>
        <w:rPr>
          <w:rFonts w:ascii="宋体" w:hAnsi="宋体"/>
          <w:sz w:val="30"/>
          <w:szCs w:val="30"/>
        </w:rPr>
      </w:pPr>
      <w:r>
        <w:rPr>
          <w:rFonts w:hint="eastAsia" w:ascii="宋体" w:hAnsi="宋体"/>
          <w:sz w:val="30"/>
          <w:szCs w:val="30"/>
        </w:rPr>
        <w:t>（2） 发包人未按约定履行合同其他义务导致承包人无法继续履行合同的，或者发包人明确表示暂停或实质上已暂停履行合同的。</w:t>
      </w:r>
    </w:p>
    <w:p w14:paraId="45B440B8">
      <w:pPr>
        <w:pStyle w:val="994"/>
        <w:numPr>
          <w:ilvl w:val="0"/>
          <w:numId w:val="0"/>
        </w:numPr>
        <w:rPr>
          <w:sz w:val="30"/>
          <w:szCs w:val="30"/>
        </w:rPr>
      </w:pPr>
      <w:r>
        <w:rPr>
          <w:rFonts w:hint="eastAsia"/>
          <w:sz w:val="30"/>
          <w:szCs w:val="30"/>
        </w:rPr>
        <w:t>8</w:t>
      </w:r>
      <w:r>
        <w:rPr>
          <w:sz w:val="30"/>
          <w:szCs w:val="30"/>
        </w:rPr>
        <w:t xml:space="preserve">.9.3 </w:t>
      </w:r>
      <w:r>
        <w:rPr>
          <w:rFonts w:hint="eastAsia"/>
          <w:sz w:val="30"/>
          <w:szCs w:val="30"/>
        </w:rPr>
        <w:t>除上述原因以外的暂停工作，双方应遵守第1</w:t>
      </w:r>
      <w:r>
        <w:rPr>
          <w:sz w:val="30"/>
          <w:szCs w:val="30"/>
        </w:rPr>
        <w:t>7</w:t>
      </w:r>
      <w:r>
        <w:rPr>
          <w:rFonts w:hint="eastAsia"/>
          <w:sz w:val="30"/>
          <w:szCs w:val="30"/>
        </w:rPr>
        <w:t>条[不可抗力]的相关约定。</w:t>
      </w:r>
    </w:p>
    <w:p w14:paraId="225E029D">
      <w:pPr>
        <w:pStyle w:val="994"/>
        <w:numPr>
          <w:ilvl w:val="0"/>
          <w:numId w:val="0"/>
        </w:numPr>
        <w:rPr>
          <w:sz w:val="30"/>
          <w:szCs w:val="30"/>
        </w:rPr>
      </w:pPr>
      <w:bookmarkStart w:id="396" w:name="_Ref4709158"/>
      <w:r>
        <w:rPr>
          <w:rFonts w:hint="eastAsia"/>
          <w:sz w:val="30"/>
          <w:szCs w:val="30"/>
        </w:rPr>
        <w:t>8</w:t>
      </w:r>
      <w:r>
        <w:rPr>
          <w:sz w:val="30"/>
          <w:szCs w:val="30"/>
        </w:rPr>
        <w:t xml:space="preserve">.9.4 </w:t>
      </w:r>
      <w:r>
        <w:rPr>
          <w:rFonts w:hint="eastAsia"/>
          <w:sz w:val="30"/>
          <w:szCs w:val="30"/>
        </w:rPr>
        <w:t>暂停工作期间的工程照管</w:t>
      </w:r>
      <w:bookmarkEnd w:id="396"/>
      <w:r>
        <w:rPr>
          <w:rFonts w:hint="eastAsia"/>
          <w:sz w:val="30"/>
          <w:szCs w:val="30"/>
        </w:rPr>
        <w:t xml:space="preserve"> </w:t>
      </w:r>
    </w:p>
    <w:p w14:paraId="4AE29CF5">
      <w:pPr>
        <w:ind w:firstLine="600"/>
        <w:rPr>
          <w:rFonts w:ascii="宋体" w:hAnsi="宋体"/>
          <w:sz w:val="30"/>
          <w:szCs w:val="30"/>
        </w:rPr>
      </w:pPr>
      <w:r>
        <w:rPr>
          <w:rFonts w:hint="eastAsia" w:ascii="宋体" w:hAnsi="宋体"/>
          <w:sz w:val="30"/>
          <w:szCs w:val="30"/>
        </w:rPr>
        <w:t>不论由于何种原因引起暂停工作的，暂停工作期间，承包人应负责对工程、工程物资及文件等进行照管和保护，并提供安全保障，由此增加的费用按第</w:t>
      </w:r>
      <w:r>
        <w:rPr>
          <w:rFonts w:ascii="宋体" w:hAnsi="宋体"/>
          <w:sz w:val="30"/>
          <w:szCs w:val="30"/>
        </w:rPr>
        <w:t>8.9.1</w:t>
      </w:r>
      <w:r>
        <w:rPr>
          <w:rFonts w:hint="eastAsia" w:ascii="宋体" w:hAnsi="宋体"/>
          <w:sz w:val="30"/>
          <w:szCs w:val="30"/>
        </w:rPr>
        <w:t>项[由发包人暂停工作]和第</w:t>
      </w:r>
      <w:r>
        <w:rPr>
          <w:rFonts w:ascii="宋体" w:hAnsi="宋体"/>
          <w:sz w:val="30"/>
          <w:szCs w:val="30"/>
        </w:rPr>
        <w:t>8.9.2</w:t>
      </w:r>
      <w:r>
        <w:rPr>
          <w:rFonts w:hint="eastAsia" w:ascii="宋体" w:hAnsi="宋体"/>
          <w:sz w:val="30"/>
          <w:szCs w:val="30"/>
        </w:rPr>
        <w:t>项[由承包人暂停工作]的约定承担。</w:t>
      </w:r>
    </w:p>
    <w:p w14:paraId="57A33C41">
      <w:pPr>
        <w:ind w:firstLine="600"/>
        <w:rPr>
          <w:rFonts w:ascii="宋体" w:hAnsi="宋体"/>
          <w:sz w:val="30"/>
          <w:szCs w:val="30"/>
        </w:rPr>
      </w:pPr>
      <w:r>
        <w:rPr>
          <w:rFonts w:hint="eastAsia" w:ascii="宋体" w:hAnsi="宋体"/>
          <w:sz w:val="30"/>
          <w:szCs w:val="30"/>
        </w:rPr>
        <w:t>因承包人未能尽到照管、保护的责任造成损失的，使发包人的费用增加，（或）竣工日期延误的，由承包人按本合同约定承担责任。</w:t>
      </w:r>
    </w:p>
    <w:p w14:paraId="45F95843">
      <w:pPr>
        <w:pStyle w:val="994"/>
        <w:numPr>
          <w:ilvl w:val="0"/>
          <w:numId w:val="0"/>
        </w:numPr>
        <w:rPr>
          <w:sz w:val="30"/>
          <w:szCs w:val="30"/>
        </w:rPr>
      </w:pPr>
      <w:r>
        <w:rPr>
          <w:rFonts w:hint="eastAsia"/>
          <w:sz w:val="30"/>
          <w:szCs w:val="30"/>
        </w:rPr>
        <w:t>8</w:t>
      </w:r>
      <w:r>
        <w:rPr>
          <w:sz w:val="30"/>
          <w:szCs w:val="30"/>
        </w:rPr>
        <w:t xml:space="preserve">.9.5 </w:t>
      </w:r>
      <w:r>
        <w:rPr>
          <w:rFonts w:hint="eastAsia"/>
          <w:sz w:val="30"/>
          <w:szCs w:val="30"/>
        </w:rPr>
        <w:t>拖长的暂停</w:t>
      </w:r>
    </w:p>
    <w:p w14:paraId="26EE6CB0">
      <w:pPr>
        <w:ind w:firstLine="600"/>
        <w:rPr>
          <w:rFonts w:ascii="宋体" w:hAnsi="宋体"/>
          <w:sz w:val="30"/>
          <w:szCs w:val="30"/>
        </w:rPr>
      </w:pPr>
      <w:r>
        <w:rPr>
          <w:rFonts w:hint="eastAsia" w:ascii="宋体" w:hAnsi="宋体"/>
          <w:sz w:val="30"/>
          <w:szCs w:val="30"/>
        </w:rPr>
        <w:t>根据第</w:t>
      </w:r>
      <w:r>
        <w:rPr>
          <w:rFonts w:ascii="宋体" w:hAnsi="宋体"/>
          <w:sz w:val="30"/>
          <w:szCs w:val="30"/>
        </w:rPr>
        <w:t>8.9.1</w:t>
      </w:r>
      <w:r>
        <w:rPr>
          <w:rFonts w:hint="eastAsia" w:ascii="宋体" w:hAnsi="宋体"/>
          <w:sz w:val="30"/>
          <w:szCs w:val="30"/>
        </w:rPr>
        <w:t>项[由发包人暂停工作]暂停工作持续超过56天的，承包人可向发包人发出要求复工的通知。如果发包人没有在收到书面通知后28天内准许已暂停工作的全部或部分继续工作，承包人有权根据第</w:t>
      </w:r>
      <w:r>
        <w:rPr>
          <w:rFonts w:ascii="宋体" w:hAnsi="宋体"/>
          <w:sz w:val="30"/>
          <w:szCs w:val="30"/>
        </w:rPr>
        <w:t>13条</w:t>
      </w:r>
      <w:r>
        <w:rPr>
          <w:rFonts w:hint="eastAsia" w:ascii="宋体" w:hAnsi="宋体"/>
          <w:sz w:val="30"/>
          <w:szCs w:val="30"/>
        </w:rPr>
        <w:t>[变更与调整]的约定，要求以变更方式调减受暂停影响的部分工程。发包人的暂停超过56天且暂停影响到整个工程的，承包人有权根据第</w:t>
      </w:r>
      <w:r>
        <w:rPr>
          <w:rFonts w:ascii="宋体" w:hAnsi="宋体"/>
          <w:sz w:val="30"/>
          <w:szCs w:val="30"/>
        </w:rPr>
        <w:t>16.2</w:t>
      </w:r>
      <w:r>
        <w:rPr>
          <w:rFonts w:hint="eastAsia" w:ascii="宋体" w:hAnsi="宋体"/>
          <w:sz w:val="30"/>
          <w:szCs w:val="30"/>
        </w:rPr>
        <w:t>款[</w:t>
      </w:r>
      <w:r>
        <w:rPr>
          <w:rFonts w:ascii="宋体" w:hAnsi="宋体"/>
          <w:sz w:val="30"/>
          <w:szCs w:val="30"/>
        </w:rPr>
        <w:t>由承包人解除合同</w:t>
      </w:r>
      <w:r>
        <w:rPr>
          <w:rFonts w:hint="eastAsia" w:ascii="宋体" w:hAnsi="宋体"/>
          <w:sz w:val="30"/>
          <w:szCs w:val="30"/>
        </w:rPr>
        <w:t>]的约定，发出解除合同的通知。</w:t>
      </w:r>
    </w:p>
    <w:p w14:paraId="0EDDE067">
      <w:pPr>
        <w:pStyle w:val="969"/>
        <w:widowControl/>
        <w:numPr>
          <w:ilvl w:val="0"/>
          <w:numId w:val="0"/>
        </w:numPr>
        <w:rPr>
          <w:rFonts w:ascii="宋体" w:hAnsi="宋体" w:eastAsia="宋体"/>
          <w:b w:val="0"/>
          <w:sz w:val="30"/>
          <w:szCs w:val="30"/>
        </w:rPr>
      </w:pPr>
      <w:bookmarkStart w:id="397" w:name="_Toc54862257"/>
      <w:r>
        <w:rPr>
          <w:rFonts w:hint="eastAsia" w:ascii="宋体" w:hAnsi="宋体" w:eastAsia="宋体"/>
          <w:b w:val="0"/>
          <w:sz w:val="30"/>
          <w:szCs w:val="30"/>
        </w:rPr>
        <w:t>8</w:t>
      </w:r>
      <w:r>
        <w:rPr>
          <w:rFonts w:ascii="宋体" w:hAnsi="宋体" w:eastAsia="宋体"/>
          <w:b w:val="0"/>
          <w:sz w:val="30"/>
          <w:szCs w:val="30"/>
        </w:rPr>
        <w:t xml:space="preserve">.10 </w:t>
      </w:r>
      <w:r>
        <w:rPr>
          <w:rFonts w:hint="eastAsia" w:ascii="宋体" w:hAnsi="宋体" w:eastAsia="宋体"/>
          <w:b w:val="0"/>
          <w:sz w:val="30"/>
          <w:szCs w:val="30"/>
        </w:rPr>
        <w:t>复工</w:t>
      </w:r>
      <w:bookmarkEnd w:id="397"/>
      <w:r>
        <w:rPr>
          <w:rFonts w:hint="eastAsia" w:ascii="宋体" w:hAnsi="宋体" w:eastAsia="宋体"/>
          <w:b w:val="0"/>
          <w:sz w:val="30"/>
          <w:szCs w:val="30"/>
        </w:rPr>
        <w:t xml:space="preserve"> </w:t>
      </w:r>
    </w:p>
    <w:p w14:paraId="35E644AA">
      <w:pPr>
        <w:pStyle w:val="994"/>
        <w:numPr>
          <w:ilvl w:val="0"/>
          <w:numId w:val="0"/>
        </w:numPr>
        <w:rPr>
          <w:sz w:val="30"/>
          <w:szCs w:val="30"/>
        </w:rPr>
      </w:pPr>
      <w:r>
        <w:rPr>
          <w:rFonts w:hint="eastAsia"/>
          <w:sz w:val="30"/>
          <w:szCs w:val="30"/>
        </w:rPr>
        <w:t>8</w:t>
      </w:r>
      <w:r>
        <w:rPr>
          <w:sz w:val="30"/>
          <w:szCs w:val="30"/>
        </w:rPr>
        <w:t xml:space="preserve">.10.1 </w:t>
      </w:r>
      <w:r>
        <w:rPr>
          <w:rFonts w:hint="eastAsia"/>
          <w:sz w:val="30"/>
          <w:szCs w:val="30"/>
        </w:rPr>
        <w:t>收到发包人的复工通知后，承包人应按通知时间复工；发包人通知的复工时间应当给予承包人必要的准备复工时间。</w:t>
      </w:r>
    </w:p>
    <w:p w14:paraId="3457B08E">
      <w:pPr>
        <w:pStyle w:val="994"/>
        <w:numPr>
          <w:ilvl w:val="0"/>
          <w:numId w:val="0"/>
        </w:numPr>
        <w:rPr>
          <w:sz w:val="30"/>
          <w:szCs w:val="30"/>
        </w:rPr>
      </w:pPr>
      <w:r>
        <w:rPr>
          <w:rFonts w:hint="eastAsia"/>
          <w:sz w:val="30"/>
          <w:szCs w:val="30"/>
        </w:rPr>
        <w:t>8</w:t>
      </w:r>
      <w:r>
        <w:rPr>
          <w:sz w:val="30"/>
          <w:szCs w:val="30"/>
        </w:rPr>
        <w:t xml:space="preserve">.10.2 </w:t>
      </w:r>
      <w:r>
        <w:rPr>
          <w:rFonts w:hint="eastAsia"/>
          <w:sz w:val="30"/>
          <w:szCs w:val="30"/>
        </w:rPr>
        <w:t>不论由于何种原因引起暂停工作，双方均可要求对方一同对受暂停影响的工程、工程设备和工程物资进行检查，承包人应将检查结果及需要恢复、修复的内容和估算通知发包人。</w:t>
      </w:r>
    </w:p>
    <w:p w14:paraId="0EDBD2C5">
      <w:pPr>
        <w:pStyle w:val="994"/>
        <w:numPr>
          <w:ilvl w:val="0"/>
          <w:numId w:val="0"/>
        </w:numPr>
        <w:rPr>
          <w:sz w:val="30"/>
          <w:szCs w:val="30"/>
        </w:rPr>
      </w:pPr>
      <w:r>
        <w:rPr>
          <w:rFonts w:hint="eastAsia"/>
          <w:sz w:val="30"/>
          <w:szCs w:val="30"/>
        </w:rPr>
        <w:t>8</w:t>
      </w:r>
      <w:r>
        <w:rPr>
          <w:sz w:val="30"/>
          <w:szCs w:val="30"/>
        </w:rPr>
        <w:t xml:space="preserve">.10.3 </w:t>
      </w:r>
      <w:r>
        <w:rPr>
          <w:rFonts w:hint="eastAsia"/>
          <w:sz w:val="30"/>
          <w:szCs w:val="30"/>
        </w:rPr>
        <w:t>除第</w:t>
      </w:r>
      <w:r>
        <w:rPr>
          <w:sz w:val="30"/>
          <w:szCs w:val="30"/>
        </w:rPr>
        <w:t>17条</w:t>
      </w:r>
      <w:r>
        <w:rPr>
          <w:rFonts w:hint="eastAsia"/>
          <w:sz w:val="30"/>
          <w:szCs w:val="30"/>
        </w:rPr>
        <w:t>[不可抗力]另有约定外，发生的恢复、修复价款及工期延误的后果由责任方承担。</w:t>
      </w:r>
    </w:p>
    <w:p w14:paraId="192120AB">
      <w:pPr>
        <w:pStyle w:val="991"/>
        <w:numPr>
          <w:ilvl w:val="0"/>
          <w:numId w:val="0"/>
        </w:numPr>
        <w:wordWrap/>
        <w:topLinePunct w:val="0"/>
        <w:rPr>
          <w:rFonts w:ascii="宋体" w:hAnsi="宋体" w:eastAsia="宋体"/>
          <w:b w:val="0"/>
          <w:kern w:val="2"/>
          <w:sz w:val="30"/>
          <w:szCs w:val="30"/>
        </w:rPr>
      </w:pPr>
      <w:bookmarkStart w:id="398" w:name="_Ref4621029"/>
      <w:bookmarkStart w:id="399" w:name="_Toc54862258"/>
      <w:bookmarkStart w:id="400" w:name="_Ref4621041"/>
      <w:r>
        <w:rPr>
          <w:rFonts w:hint="eastAsia" w:ascii="宋体" w:hAnsi="宋体" w:eastAsia="宋体"/>
          <w:b w:val="0"/>
          <w:kern w:val="2"/>
          <w:sz w:val="30"/>
          <w:szCs w:val="30"/>
        </w:rPr>
        <w:t>第9条 竣工试验</w:t>
      </w:r>
      <w:bookmarkEnd w:id="326"/>
      <w:bookmarkEnd w:id="398"/>
      <w:bookmarkEnd w:id="399"/>
      <w:bookmarkEnd w:id="400"/>
      <w:r>
        <w:rPr>
          <w:rFonts w:hint="eastAsia" w:ascii="宋体" w:hAnsi="宋体" w:eastAsia="宋体"/>
          <w:b w:val="0"/>
          <w:kern w:val="2"/>
          <w:sz w:val="30"/>
          <w:szCs w:val="30"/>
        </w:rPr>
        <w:t xml:space="preserve"> </w:t>
      </w:r>
    </w:p>
    <w:p w14:paraId="735E1F1E">
      <w:pPr>
        <w:pStyle w:val="969"/>
        <w:widowControl/>
        <w:numPr>
          <w:ilvl w:val="0"/>
          <w:numId w:val="0"/>
        </w:numPr>
        <w:rPr>
          <w:rFonts w:ascii="宋体" w:hAnsi="宋体" w:eastAsia="宋体"/>
          <w:b w:val="0"/>
          <w:sz w:val="30"/>
          <w:szCs w:val="30"/>
        </w:rPr>
      </w:pPr>
      <w:bookmarkStart w:id="401" w:name="_Ref532586251"/>
      <w:bookmarkStart w:id="402" w:name="_Toc54862259"/>
      <w:bookmarkStart w:id="403" w:name="_Ref532586248"/>
      <w:r>
        <w:rPr>
          <w:rFonts w:hint="eastAsia" w:ascii="宋体" w:hAnsi="宋体" w:eastAsia="宋体"/>
          <w:b w:val="0"/>
          <w:sz w:val="30"/>
          <w:szCs w:val="30"/>
        </w:rPr>
        <w:t>9</w:t>
      </w:r>
      <w:r>
        <w:rPr>
          <w:rFonts w:ascii="宋体" w:hAnsi="宋体" w:eastAsia="宋体"/>
          <w:b w:val="0"/>
          <w:sz w:val="30"/>
          <w:szCs w:val="30"/>
        </w:rPr>
        <w:t xml:space="preserve">.1 </w:t>
      </w:r>
      <w:r>
        <w:rPr>
          <w:rFonts w:hint="eastAsia" w:ascii="宋体" w:hAnsi="宋体" w:eastAsia="宋体"/>
          <w:b w:val="0"/>
          <w:sz w:val="30"/>
          <w:szCs w:val="30"/>
        </w:rPr>
        <w:t>竣工试验的义务</w:t>
      </w:r>
      <w:bookmarkEnd w:id="401"/>
      <w:bookmarkEnd w:id="402"/>
      <w:bookmarkEnd w:id="403"/>
    </w:p>
    <w:p w14:paraId="4D487EAA">
      <w:pPr>
        <w:pStyle w:val="994"/>
        <w:numPr>
          <w:ilvl w:val="0"/>
          <w:numId w:val="0"/>
        </w:numPr>
        <w:rPr>
          <w:sz w:val="30"/>
          <w:szCs w:val="30"/>
        </w:rPr>
      </w:pPr>
      <w:r>
        <w:rPr>
          <w:rFonts w:hint="eastAsia"/>
          <w:sz w:val="30"/>
          <w:szCs w:val="30"/>
        </w:rPr>
        <w:t>9</w:t>
      </w:r>
      <w:r>
        <w:rPr>
          <w:sz w:val="30"/>
          <w:szCs w:val="30"/>
        </w:rPr>
        <w:t xml:space="preserve">.1.1 </w:t>
      </w:r>
      <w:r>
        <w:rPr>
          <w:rFonts w:hint="eastAsia"/>
          <w:sz w:val="30"/>
          <w:szCs w:val="30"/>
        </w:rPr>
        <w:t>承包人完成工程或区段工程进行竣工试验所需的作业，并根据第</w:t>
      </w:r>
      <w:r>
        <w:rPr>
          <w:sz w:val="30"/>
          <w:szCs w:val="30"/>
        </w:rPr>
        <w:t>5.4</w:t>
      </w:r>
      <w:r>
        <w:rPr>
          <w:rFonts w:hint="eastAsia"/>
          <w:sz w:val="30"/>
          <w:szCs w:val="30"/>
        </w:rPr>
        <w:t>款[竣工文件]和第</w:t>
      </w:r>
      <w:r>
        <w:rPr>
          <w:sz w:val="30"/>
          <w:szCs w:val="30"/>
        </w:rPr>
        <w:t>5.5</w:t>
      </w:r>
      <w:r>
        <w:rPr>
          <w:rFonts w:hint="eastAsia"/>
          <w:sz w:val="30"/>
          <w:szCs w:val="30"/>
        </w:rPr>
        <w:t>款[操作和维修手册]提交文件后，进行竣工试验。</w:t>
      </w:r>
      <w:bookmarkStart w:id="404" w:name="_Ref532586608"/>
    </w:p>
    <w:p w14:paraId="4C12853F">
      <w:pPr>
        <w:pStyle w:val="994"/>
        <w:numPr>
          <w:ilvl w:val="0"/>
          <w:numId w:val="0"/>
        </w:numPr>
        <w:rPr>
          <w:sz w:val="30"/>
          <w:szCs w:val="30"/>
        </w:rPr>
      </w:pPr>
      <w:bookmarkStart w:id="405" w:name="_Ref11919920"/>
      <w:r>
        <w:rPr>
          <w:rFonts w:hint="eastAsia"/>
          <w:sz w:val="30"/>
          <w:szCs w:val="30"/>
        </w:rPr>
        <w:t>9</w:t>
      </w:r>
      <w:r>
        <w:rPr>
          <w:sz w:val="30"/>
          <w:szCs w:val="30"/>
        </w:rPr>
        <w:t xml:space="preserve">.1.2 </w:t>
      </w:r>
      <w:r>
        <w:rPr>
          <w:rFonts w:hint="eastAsia"/>
          <w:sz w:val="30"/>
          <w:szCs w:val="30"/>
        </w:rPr>
        <w:t>承包人应在进行竣工试验之前，至少提前42天向工程师提交详细的竣工试验计划，该计划应载明竣工试验的内容、地点、拟开展时间和需要发包人提供的资源条件。</w:t>
      </w:r>
      <w:bookmarkEnd w:id="404"/>
      <w:r>
        <w:rPr>
          <w:rFonts w:hint="eastAsia"/>
          <w:sz w:val="30"/>
          <w:szCs w:val="30"/>
        </w:rPr>
        <w:t>工程师应在收到计划后的14天内进行审查，并就该计划不符合合同的部分提出意见，承包人应在收到意见后的14天内自费对计划进行修正。工程师逾期未提出意见的，视为竣工试验计划已得到确认。除提交竣工试验计划外，承包人还应提前21天将可以开始进行各项竣工试验的日期通知工程师，并在该日期后的14天内或工程师指示的日期进行竣工试验。</w:t>
      </w:r>
      <w:bookmarkEnd w:id="405"/>
    </w:p>
    <w:p w14:paraId="03E31B51">
      <w:pPr>
        <w:pStyle w:val="994"/>
        <w:numPr>
          <w:ilvl w:val="0"/>
          <w:numId w:val="0"/>
        </w:numPr>
        <w:rPr>
          <w:sz w:val="30"/>
          <w:szCs w:val="30"/>
        </w:rPr>
      </w:pPr>
      <w:bookmarkStart w:id="406" w:name="_Ref532688147"/>
      <w:r>
        <w:rPr>
          <w:rFonts w:hint="eastAsia"/>
          <w:sz w:val="30"/>
          <w:szCs w:val="30"/>
        </w:rPr>
        <w:t>9</w:t>
      </w:r>
      <w:r>
        <w:rPr>
          <w:sz w:val="30"/>
          <w:szCs w:val="30"/>
        </w:rPr>
        <w:t xml:space="preserve">.1.3 </w:t>
      </w:r>
      <w:r>
        <w:rPr>
          <w:rFonts w:hint="eastAsia"/>
          <w:sz w:val="30"/>
          <w:szCs w:val="30"/>
        </w:rPr>
        <w:t>承包人应根据经确认的竣工试验计划以及第</w:t>
      </w:r>
      <w:r>
        <w:rPr>
          <w:sz w:val="30"/>
          <w:szCs w:val="30"/>
        </w:rPr>
        <w:t>6.5</w:t>
      </w:r>
      <w:r>
        <w:rPr>
          <w:rFonts w:hint="eastAsia"/>
          <w:sz w:val="30"/>
          <w:szCs w:val="30"/>
        </w:rPr>
        <w:t>款[</w:t>
      </w:r>
      <w:r>
        <w:rPr>
          <w:sz w:val="30"/>
          <w:szCs w:val="30"/>
        </w:rPr>
        <w:t>由承包人试验</w:t>
      </w:r>
      <w:r>
        <w:rPr>
          <w:rFonts w:hint="eastAsia"/>
          <w:sz w:val="30"/>
          <w:szCs w:val="30"/>
        </w:rPr>
        <w:t>和</w:t>
      </w:r>
      <w:r>
        <w:rPr>
          <w:sz w:val="30"/>
          <w:szCs w:val="30"/>
        </w:rPr>
        <w:t>检验</w:t>
      </w:r>
      <w:r>
        <w:rPr>
          <w:rFonts w:hint="eastAsia"/>
          <w:sz w:val="30"/>
          <w:szCs w:val="30"/>
        </w:rPr>
        <w:t>]进行竣工试验。除《发包人要求》中另有说明外，竣工试验应按以下顺序分阶段进行，即只有在工程或区段工程已通过上一阶段试验的情况下，才可进行下一阶段试验：</w:t>
      </w:r>
      <w:bookmarkEnd w:id="406"/>
    </w:p>
    <w:p w14:paraId="0223ED84">
      <w:pPr>
        <w:ind w:firstLine="600"/>
        <w:rPr>
          <w:rFonts w:ascii="宋体" w:hAnsi="宋体"/>
          <w:sz w:val="30"/>
          <w:szCs w:val="30"/>
        </w:rPr>
      </w:pPr>
      <w:r>
        <w:rPr>
          <w:rFonts w:hint="eastAsia" w:ascii="宋体" w:hAnsi="宋体"/>
          <w:sz w:val="30"/>
          <w:szCs w:val="30"/>
        </w:rPr>
        <w:t>（1） 承包人进行启动前试验，包括适当的检查和功能性试验，以证明工程或区段工程的每一部分均能够安全地承受下一阶段试验；</w:t>
      </w:r>
    </w:p>
    <w:p w14:paraId="20FDECBD">
      <w:pPr>
        <w:ind w:firstLine="600"/>
        <w:rPr>
          <w:rFonts w:ascii="宋体" w:hAnsi="宋体"/>
          <w:sz w:val="30"/>
          <w:szCs w:val="30"/>
        </w:rPr>
      </w:pPr>
      <w:r>
        <w:rPr>
          <w:rFonts w:hint="eastAsia" w:ascii="宋体" w:hAnsi="宋体"/>
          <w:sz w:val="30"/>
          <w:szCs w:val="30"/>
        </w:rPr>
        <w:t>（2） 承包人进行启动试验，以证明工程或区段工程能够在所有可利用的操作条件下安全运行，并按照专用合同条件和《发包人要求》中的规定操作；</w:t>
      </w:r>
    </w:p>
    <w:p w14:paraId="63FE8728">
      <w:pPr>
        <w:ind w:firstLine="600"/>
        <w:rPr>
          <w:rFonts w:ascii="宋体" w:hAnsi="宋体"/>
          <w:sz w:val="30"/>
          <w:szCs w:val="30"/>
        </w:rPr>
      </w:pPr>
      <w:r>
        <w:rPr>
          <w:rFonts w:hint="eastAsia" w:ascii="宋体" w:hAnsi="宋体"/>
          <w:sz w:val="30"/>
          <w:szCs w:val="30"/>
        </w:rPr>
        <w:t>（3） 承包人进行试运行试验。当工程或区段工程能稳定安全运行时，承包人应通知工程师，可以进行其他竣工试验，包括各种性能测试，以证明工程或区段工程符合《发包人要求》中列明的性能保证指标。</w:t>
      </w:r>
    </w:p>
    <w:p w14:paraId="0A3C022B">
      <w:pPr>
        <w:ind w:firstLine="600"/>
        <w:rPr>
          <w:rFonts w:ascii="宋体" w:hAnsi="宋体"/>
          <w:sz w:val="30"/>
          <w:szCs w:val="30"/>
        </w:rPr>
      </w:pPr>
      <w:r>
        <w:rPr>
          <w:rFonts w:hint="eastAsia" w:ascii="宋体" w:hAnsi="宋体"/>
          <w:sz w:val="30"/>
          <w:szCs w:val="30"/>
        </w:rPr>
        <w:t>进行上述试验不应构成第</w:t>
      </w:r>
      <w:r>
        <w:rPr>
          <w:rFonts w:ascii="宋体" w:hAnsi="宋体"/>
          <w:sz w:val="30"/>
          <w:szCs w:val="30"/>
        </w:rPr>
        <w:t>10条</w:t>
      </w:r>
      <w:r>
        <w:rPr>
          <w:rFonts w:hint="eastAsia" w:ascii="宋体" w:hAnsi="宋体"/>
          <w:sz w:val="30"/>
          <w:szCs w:val="30"/>
        </w:rPr>
        <w:t>[验收和工程接收]规定的接收，但试验所产生的任何产品或其他收益均应归属于发包人。</w:t>
      </w:r>
    </w:p>
    <w:p w14:paraId="41078F55">
      <w:pPr>
        <w:pStyle w:val="994"/>
        <w:numPr>
          <w:ilvl w:val="0"/>
          <w:numId w:val="0"/>
        </w:numPr>
        <w:rPr>
          <w:sz w:val="30"/>
          <w:szCs w:val="30"/>
        </w:rPr>
      </w:pPr>
      <w:r>
        <w:rPr>
          <w:rFonts w:hint="eastAsia"/>
          <w:sz w:val="30"/>
          <w:szCs w:val="30"/>
        </w:rPr>
        <w:t>9</w:t>
      </w:r>
      <w:r>
        <w:rPr>
          <w:sz w:val="30"/>
          <w:szCs w:val="30"/>
        </w:rPr>
        <w:t xml:space="preserve">.1.4 </w:t>
      </w:r>
      <w:r>
        <w:rPr>
          <w:rFonts w:hint="eastAsia"/>
          <w:sz w:val="30"/>
          <w:szCs w:val="30"/>
        </w:rPr>
        <w:t>完成上述各阶段竣工试验后，承包人应向工程师提交试验结果报告，试验结果须符合约定的标准、规范和数据。工程师应在收到报告后14天内予以回复，逾期未回复的，视为认可竣工试验结果。但在考虑工程或区段工程是否通过竣工试验时，应适当考虑发包人对工程或其任何部分的使用，对工程或区段工程的性能、特性和试验结果产生的影响。</w:t>
      </w:r>
    </w:p>
    <w:p w14:paraId="68D71BAE">
      <w:pPr>
        <w:pStyle w:val="969"/>
        <w:widowControl/>
        <w:numPr>
          <w:ilvl w:val="0"/>
          <w:numId w:val="0"/>
        </w:numPr>
        <w:rPr>
          <w:rFonts w:ascii="宋体" w:hAnsi="宋体" w:eastAsia="宋体"/>
          <w:b w:val="0"/>
          <w:sz w:val="30"/>
          <w:szCs w:val="30"/>
        </w:rPr>
      </w:pPr>
      <w:bookmarkStart w:id="407" w:name="_Toc54862260"/>
      <w:r>
        <w:rPr>
          <w:rFonts w:hint="eastAsia" w:ascii="宋体" w:hAnsi="宋体" w:eastAsia="宋体"/>
          <w:b w:val="0"/>
          <w:sz w:val="30"/>
          <w:szCs w:val="30"/>
        </w:rPr>
        <w:t>9</w:t>
      </w:r>
      <w:r>
        <w:rPr>
          <w:rFonts w:ascii="宋体" w:hAnsi="宋体" w:eastAsia="宋体"/>
          <w:b w:val="0"/>
          <w:sz w:val="30"/>
          <w:szCs w:val="30"/>
        </w:rPr>
        <w:t xml:space="preserve">.2 </w:t>
      </w:r>
      <w:r>
        <w:rPr>
          <w:rFonts w:hint="eastAsia" w:ascii="宋体" w:hAnsi="宋体" w:eastAsia="宋体"/>
          <w:b w:val="0"/>
          <w:sz w:val="30"/>
          <w:szCs w:val="30"/>
        </w:rPr>
        <w:t>延误的试验</w:t>
      </w:r>
      <w:bookmarkEnd w:id="407"/>
    </w:p>
    <w:p w14:paraId="2F41CA64">
      <w:pPr>
        <w:pStyle w:val="994"/>
        <w:numPr>
          <w:ilvl w:val="0"/>
          <w:numId w:val="0"/>
        </w:numPr>
        <w:rPr>
          <w:sz w:val="30"/>
          <w:szCs w:val="30"/>
        </w:rPr>
      </w:pPr>
      <w:r>
        <w:rPr>
          <w:rFonts w:hint="eastAsia"/>
          <w:sz w:val="30"/>
          <w:szCs w:val="30"/>
        </w:rPr>
        <w:t>9</w:t>
      </w:r>
      <w:r>
        <w:rPr>
          <w:sz w:val="30"/>
          <w:szCs w:val="30"/>
        </w:rPr>
        <w:t xml:space="preserve">.2.1 </w:t>
      </w:r>
      <w:r>
        <w:rPr>
          <w:rFonts w:hint="eastAsia"/>
          <w:sz w:val="30"/>
          <w:szCs w:val="30"/>
        </w:rPr>
        <w:t>如果承包人已根据第</w:t>
      </w:r>
      <w:r>
        <w:rPr>
          <w:sz w:val="30"/>
          <w:szCs w:val="30"/>
        </w:rPr>
        <w:t>9.1</w:t>
      </w:r>
      <w:r>
        <w:rPr>
          <w:rFonts w:hint="eastAsia"/>
          <w:sz w:val="30"/>
          <w:szCs w:val="30"/>
        </w:rPr>
        <w:t>款[竣工试验的义务]就可以开始进行各项竣工试验的日期通知工程师，但该等试验因发包人原因被延误14天以上的，发包人应承担由此增加的费用和工期延误，并支付承包人合理利润。同时，承包人应在合理可行的情况下尽快进行竣工试验。</w:t>
      </w:r>
    </w:p>
    <w:p w14:paraId="1A46E36C">
      <w:pPr>
        <w:pStyle w:val="994"/>
        <w:numPr>
          <w:ilvl w:val="0"/>
          <w:numId w:val="0"/>
        </w:numPr>
        <w:rPr>
          <w:sz w:val="30"/>
          <w:szCs w:val="30"/>
        </w:rPr>
      </w:pPr>
      <w:r>
        <w:rPr>
          <w:rFonts w:hint="eastAsia"/>
          <w:sz w:val="30"/>
          <w:szCs w:val="30"/>
        </w:rPr>
        <w:t>9</w:t>
      </w:r>
      <w:r>
        <w:rPr>
          <w:sz w:val="30"/>
          <w:szCs w:val="30"/>
        </w:rPr>
        <w:t xml:space="preserve">.2.2 </w:t>
      </w:r>
      <w:r>
        <w:rPr>
          <w:rFonts w:hint="eastAsia"/>
          <w:sz w:val="30"/>
          <w:szCs w:val="30"/>
        </w:rPr>
        <w:t>承包人无正当理由延误进行竣工试验的，工程师可向其发出通知，要求其在收到通知后的21天内进行该项竣工试验。承包人应在该21天的期限内确定进行试验的日期，并至少提前7天通知工程师。</w:t>
      </w:r>
    </w:p>
    <w:p w14:paraId="2009BBD8">
      <w:pPr>
        <w:pStyle w:val="994"/>
        <w:numPr>
          <w:ilvl w:val="0"/>
          <w:numId w:val="0"/>
        </w:numPr>
        <w:rPr>
          <w:sz w:val="30"/>
          <w:szCs w:val="30"/>
        </w:rPr>
      </w:pPr>
      <w:r>
        <w:rPr>
          <w:rFonts w:hint="eastAsia"/>
          <w:sz w:val="30"/>
          <w:szCs w:val="30"/>
        </w:rPr>
        <w:t>9</w:t>
      </w:r>
      <w:r>
        <w:rPr>
          <w:sz w:val="30"/>
          <w:szCs w:val="30"/>
        </w:rPr>
        <w:t xml:space="preserve">.2.3 </w:t>
      </w:r>
      <w:r>
        <w:rPr>
          <w:rFonts w:hint="eastAsia"/>
          <w:sz w:val="30"/>
          <w:szCs w:val="30"/>
        </w:rPr>
        <w:t>如果承包人未在该期限内进行竣工试验，则发包人有权自行组织该项竣工试验，由此产生的合理费用由承包人承担。发包人应在试验完成后28天内向承包人发送试验结果。</w:t>
      </w:r>
    </w:p>
    <w:p w14:paraId="16EE4F7F">
      <w:pPr>
        <w:pStyle w:val="969"/>
        <w:widowControl/>
        <w:numPr>
          <w:ilvl w:val="0"/>
          <w:numId w:val="0"/>
        </w:numPr>
        <w:rPr>
          <w:rFonts w:ascii="宋体" w:hAnsi="宋体" w:eastAsia="宋体"/>
          <w:b w:val="0"/>
          <w:sz w:val="30"/>
          <w:szCs w:val="30"/>
        </w:rPr>
      </w:pPr>
      <w:bookmarkStart w:id="408" w:name="_Ref532594588"/>
      <w:bookmarkStart w:id="409" w:name="_Toc54862261"/>
      <w:bookmarkStart w:id="410" w:name="_Ref532594592"/>
      <w:r>
        <w:rPr>
          <w:rFonts w:hint="eastAsia" w:ascii="宋体" w:hAnsi="宋体" w:eastAsia="宋体"/>
          <w:b w:val="0"/>
          <w:sz w:val="30"/>
          <w:szCs w:val="30"/>
        </w:rPr>
        <w:t>9</w:t>
      </w:r>
      <w:r>
        <w:rPr>
          <w:rFonts w:ascii="宋体" w:hAnsi="宋体" w:eastAsia="宋体"/>
          <w:b w:val="0"/>
          <w:sz w:val="30"/>
          <w:szCs w:val="30"/>
        </w:rPr>
        <w:t xml:space="preserve">.3 </w:t>
      </w:r>
      <w:r>
        <w:rPr>
          <w:rFonts w:hint="eastAsia" w:ascii="宋体" w:hAnsi="宋体" w:eastAsia="宋体"/>
          <w:b w:val="0"/>
          <w:sz w:val="30"/>
          <w:szCs w:val="30"/>
        </w:rPr>
        <w:t>重新试验</w:t>
      </w:r>
      <w:bookmarkEnd w:id="408"/>
      <w:bookmarkEnd w:id="409"/>
      <w:bookmarkEnd w:id="410"/>
      <w:r>
        <w:rPr>
          <w:rFonts w:hint="eastAsia" w:ascii="宋体" w:hAnsi="宋体" w:eastAsia="宋体"/>
          <w:b w:val="0"/>
          <w:sz w:val="30"/>
          <w:szCs w:val="30"/>
        </w:rPr>
        <w:t xml:space="preserve"> </w:t>
      </w:r>
    </w:p>
    <w:p w14:paraId="1A23C447">
      <w:pPr>
        <w:ind w:firstLine="600"/>
        <w:rPr>
          <w:rFonts w:ascii="宋体" w:hAnsi="宋体"/>
          <w:sz w:val="30"/>
          <w:szCs w:val="30"/>
        </w:rPr>
      </w:pPr>
      <w:r>
        <w:rPr>
          <w:rFonts w:hint="eastAsia" w:ascii="宋体" w:hAnsi="宋体"/>
          <w:sz w:val="30"/>
          <w:szCs w:val="30"/>
        </w:rPr>
        <w:t>如果工程或区段工程未能通过竣工试验，则承包人应根据第</w:t>
      </w:r>
      <w:r>
        <w:rPr>
          <w:rFonts w:ascii="宋体" w:hAnsi="宋体"/>
          <w:sz w:val="30"/>
          <w:szCs w:val="30"/>
        </w:rPr>
        <w:t>6.6</w:t>
      </w:r>
      <w:r>
        <w:rPr>
          <w:rFonts w:hint="eastAsia" w:ascii="宋体" w:hAnsi="宋体"/>
          <w:sz w:val="30"/>
          <w:szCs w:val="30"/>
        </w:rPr>
        <w:t>款[缺陷和修补]修补缺陷。发包人或承包人可要求按相同的条件，重新进行未通过的试验以及相关工程或区段工程的竣工试验。该等重新进行的试验仍应适用本条对于竣工试验的规定。</w:t>
      </w:r>
    </w:p>
    <w:p w14:paraId="0E3BF7A7">
      <w:pPr>
        <w:pStyle w:val="969"/>
        <w:widowControl/>
        <w:numPr>
          <w:ilvl w:val="0"/>
          <w:numId w:val="0"/>
        </w:numPr>
        <w:rPr>
          <w:rFonts w:ascii="宋体" w:hAnsi="宋体" w:eastAsia="宋体"/>
          <w:b w:val="0"/>
          <w:sz w:val="30"/>
          <w:szCs w:val="30"/>
        </w:rPr>
      </w:pPr>
      <w:bookmarkStart w:id="411" w:name="_Ref532688226"/>
      <w:bookmarkStart w:id="412" w:name="_Ref532688221"/>
      <w:bookmarkStart w:id="413" w:name="_Toc54862262"/>
      <w:r>
        <w:rPr>
          <w:rFonts w:hint="eastAsia" w:ascii="宋体" w:hAnsi="宋体" w:eastAsia="宋体"/>
          <w:b w:val="0"/>
          <w:sz w:val="30"/>
          <w:szCs w:val="30"/>
        </w:rPr>
        <w:t>9</w:t>
      </w:r>
      <w:r>
        <w:rPr>
          <w:rFonts w:ascii="宋体" w:hAnsi="宋体" w:eastAsia="宋体"/>
          <w:b w:val="0"/>
          <w:sz w:val="30"/>
          <w:szCs w:val="30"/>
        </w:rPr>
        <w:t xml:space="preserve">.4 </w:t>
      </w:r>
      <w:r>
        <w:rPr>
          <w:rFonts w:hint="eastAsia" w:ascii="宋体" w:hAnsi="宋体" w:eastAsia="宋体"/>
          <w:b w:val="0"/>
          <w:sz w:val="30"/>
          <w:szCs w:val="30"/>
        </w:rPr>
        <w:t>未能通过竣工试验</w:t>
      </w:r>
      <w:bookmarkEnd w:id="411"/>
      <w:bookmarkEnd w:id="412"/>
      <w:bookmarkEnd w:id="413"/>
    </w:p>
    <w:p w14:paraId="40ED57A4">
      <w:pPr>
        <w:pStyle w:val="994"/>
        <w:numPr>
          <w:ilvl w:val="0"/>
          <w:numId w:val="0"/>
        </w:numPr>
        <w:rPr>
          <w:sz w:val="30"/>
          <w:szCs w:val="30"/>
        </w:rPr>
      </w:pPr>
      <w:r>
        <w:rPr>
          <w:rFonts w:hint="eastAsia"/>
          <w:sz w:val="30"/>
          <w:szCs w:val="30"/>
        </w:rPr>
        <w:t>9</w:t>
      </w:r>
      <w:r>
        <w:rPr>
          <w:sz w:val="30"/>
          <w:szCs w:val="30"/>
        </w:rPr>
        <w:t xml:space="preserve">.4.1 </w:t>
      </w:r>
      <w:r>
        <w:rPr>
          <w:rFonts w:hint="eastAsia"/>
          <w:sz w:val="30"/>
          <w:szCs w:val="30"/>
        </w:rPr>
        <w:t>因发包人原因导致竣工试验未能通过的，承包人进行竣工试验的费用由发包人承担，竣工日期相应顺延。</w:t>
      </w:r>
    </w:p>
    <w:p w14:paraId="12BDBA9E">
      <w:pPr>
        <w:pStyle w:val="994"/>
        <w:numPr>
          <w:ilvl w:val="0"/>
          <w:numId w:val="0"/>
        </w:numPr>
        <w:rPr>
          <w:sz w:val="30"/>
          <w:szCs w:val="30"/>
        </w:rPr>
      </w:pPr>
      <w:r>
        <w:rPr>
          <w:rFonts w:hint="eastAsia"/>
          <w:sz w:val="30"/>
          <w:szCs w:val="30"/>
        </w:rPr>
        <w:t>9</w:t>
      </w:r>
      <w:r>
        <w:rPr>
          <w:sz w:val="30"/>
          <w:szCs w:val="30"/>
        </w:rPr>
        <w:t xml:space="preserve">.4.2 </w:t>
      </w:r>
      <w:r>
        <w:rPr>
          <w:rFonts w:hint="eastAsia"/>
          <w:sz w:val="30"/>
          <w:szCs w:val="30"/>
        </w:rPr>
        <w:t>如果工程或区段工程未能通过根据第</w:t>
      </w:r>
      <w:r>
        <w:rPr>
          <w:sz w:val="30"/>
          <w:szCs w:val="30"/>
        </w:rPr>
        <w:t>9.3</w:t>
      </w:r>
      <w:r>
        <w:rPr>
          <w:rFonts w:hint="eastAsia"/>
          <w:sz w:val="30"/>
          <w:szCs w:val="30"/>
        </w:rPr>
        <w:t>款[重新试验]重新进行的竣工试验的，则：</w:t>
      </w:r>
    </w:p>
    <w:p w14:paraId="45C4330E">
      <w:pPr>
        <w:ind w:firstLine="600"/>
        <w:rPr>
          <w:rFonts w:ascii="宋体" w:hAnsi="宋体"/>
          <w:sz w:val="30"/>
          <w:szCs w:val="30"/>
        </w:rPr>
      </w:pPr>
      <w:r>
        <w:rPr>
          <w:rFonts w:hint="eastAsia" w:ascii="宋体" w:hAnsi="宋体"/>
          <w:sz w:val="30"/>
          <w:szCs w:val="30"/>
        </w:rPr>
        <w:t>（1） 发包人有权要求承包人根据第</w:t>
      </w:r>
      <w:r>
        <w:rPr>
          <w:rFonts w:ascii="宋体" w:hAnsi="宋体"/>
          <w:sz w:val="30"/>
          <w:szCs w:val="30"/>
        </w:rPr>
        <w:t>6.6</w:t>
      </w:r>
      <w:r>
        <w:rPr>
          <w:rFonts w:hint="eastAsia" w:ascii="宋体" w:hAnsi="宋体"/>
          <w:sz w:val="30"/>
          <w:szCs w:val="30"/>
        </w:rPr>
        <w:t>款[缺陷和修补]继续进行修补和改正，并根据第</w:t>
      </w:r>
      <w:r>
        <w:rPr>
          <w:rFonts w:ascii="宋体" w:hAnsi="宋体"/>
          <w:sz w:val="30"/>
          <w:szCs w:val="30"/>
        </w:rPr>
        <w:t>9.3</w:t>
      </w:r>
      <w:r>
        <w:rPr>
          <w:rFonts w:hint="eastAsia" w:ascii="宋体" w:hAnsi="宋体"/>
          <w:sz w:val="30"/>
          <w:szCs w:val="30"/>
        </w:rPr>
        <w:t>款[重新试验]再次进行竣工试验；</w:t>
      </w:r>
    </w:p>
    <w:p w14:paraId="5BF0886E">
      <w:pPr>
        <w:ind w:firstLine="600"/>
        <w:rPr>
          <w:rFonts w:ascii="宋体" w:hAnsi="宋体"/>
          <w:sz w:val="30"/>
          <w:szCs w:val="30"/>
        </w:rPr>
      </w:pPr>
      <w:r>
        <w:rPr>
          <w:rFonts w:hint="eastAsia" w:ascii="宋体" w:hAnsi="宋体"/>
          <w:sz w:val="30"/>
          <w:szCs w:val="30"/>
        </w:rPr>
        <w:t>（2） 未能通过竣工试验，对工程或区段工程的操作或使用未产生实质性影响的，发包人有权要求承包人自费修复，承担因此增加的费用和误期损害赔偿责任，并赔偿发包人的相应损失；无法修复时，发包人有权扣减该部分的相应付款，同时视为通过竣工验收；</w:t>
      </w:r>
    </w:p>
    <w:p w14:paraId="093FBE2A">
      <w:pPr>
        <w:ind w:firstLine="600"/>
        <w:rPr>
          <w:rFonts w:ascii="宋体" w:hAnsi="宋体"/>
          <w:sz w:val="30"/>
          <w:szCs w:val="30"/>
        </w:rPr>
      </w:pPr>
      <w:bookmarkStart w:id="414" w:name="_Ref4621461"/>
      <w:r>
        <w:rPr>
          <w:rFonts w:hint="eastAsia" w:ascii="宋体" w:hAnsi="宋体"/>
          <w:sz w:val="30"/>
          <w:szCs w:val="30"/>
        </w:rPr>
        <w:t>（3） 未能通过竣工试验，使工程或区段工程的任何主要部分丧失了生产、使用功能时，发包人有权指令承包人更换相关部分，承包人应承担因此增加的费用和误期损害赔偿责任，并赔偿发包人的相应损失</w:t>
      </w:r>
      <w:bookmarkEnd w:id="414"/>
      <w:r>
        <w:rPr>
          <w:rFonts w:hint="eastAsia" w:ascii="宋体" w:hAnsi="宋体"/>
          <w:sz w:val="30"/>
          <w:szCs w:val="30"/>
        </w:rPr>
        <w:t>；</w:t>
      </w:r>
    </w:p>
    <w:p w14:paraId="184962BD">
      <w:pPr>
        <w:ind w:firstLine="600"/>
        <w:rPr>
          <w:rFonts w:ascii="宋体" w:hAnsi="宋体"/>
          <w:sz w:val="30"/>
          <w:szCs w:val="30"/>
        </w:rPr>
      </w:pPr>
      <w:r>
        <w:rPr>
          <w:rFonts w:hint="eastAsia" w:ascii="宋体" w:hAnsi="宋体"/>
          <w:sz w:val="30"/>
          <w:szCs w:val="30"/>
        </w:rPr>
        <w:t>（4） 未能通过竣工试验，使整个工程或区段工程丧失了生产、使用功能时，发包人可拒收工程或区段工程，或指令承包人重新设计、重置相关部分，承包人应承担因此增加的费用和误期损害赔偿责任，并赔偿发包人的相应损失。同时发包人有权根据第</w:t>
      </w:r>
      <w:r>
        <w:rPr>
          <w:rFonts w:ascii="宋体" w:hAnsi="宋体"/>
          <w:sz w:val="30"/>
          <w:szCs w:val="30"/>
        </w:rPr>
        <w:t>16.1</w:t>
      </w:r>
      <w:r>
        <w:rPr>
          <w:rFonts w:hint="eastAsia" w:ascii="宋体" w:hAnsi="宋体"/>
          <w:sz w:val="30"/>
          <w:szCs w:val="30"/>
        </w:rPr>
        <w:t>款[由发包人解除合同]的约定解除合同。</w:t>
      </w:r>
    </w:p>
    <w:p w14:paraId="25AC160D">
      <w:pPr>
        <w:pStyle w:val="991"/>
        <w:numPr>
          <w:ilvl w:val="0"/>
          <w:numId w:val="0"/>
        </w:numPr>
        <w:wordWrap/>
        <w:topLinePunct w:val="0"/>
        <w:rPr>
          <w:rFonts w:ascii="宋体" w:hAnsi="宋体" w:eastAsia="宋体"/>
          <w:b w:val="0"/>
          <w:kern w:val="2"/>
          <w:sz w:val="30"/>
          <w:szCs w:val="30"/>
        </w:rPr>
      </w:pPr>
      <w:bookmarkStart w:id="415" w:name="_Ref4618338"/>
      <w:bookmarkStart w:id="416" w:name="_Ref4618348"/>
      <w:bookmarkStart w:id="417" w:name="_Toc54862263"/>
      <w:bookmarkStart w:id="418" w:name="_Ref4624043"/>
      <w:r>
        <w:rPr>
          <w:rFonts w:hint="eastAsia" w:ascii="宋体" w:hAnsi="宋体" w:eastAsia="宋体"/>
          <w:b w:val="0"/>
          <w:kern w:val="2"/>
          <w:sz w:val="30"/>
          <w:szCs w:val="30"/>
        </w:rPr>
        <w:t>第1</w:t>
      </w:r>
      <w:r>
        <w:rPr>
          <w:rFonts w:ascii="宋体" w:hAnsi="宋体" w:eastAsia="宋体"/>
          <w:b w:val="0"/>
          <w:kern w:val="2"/>
          <w:sz w:val="30"/>
          <w:szCs w:val="30"/>
        </w:rPr>
        <w:t>0</w:t>
      </w:r>
      <w:r>
        <w:rPr>
          <w:rFonts w:hint="eastAsia" w:ascii="宋体" w:hAnsi="宋体" w:eastAsia="宋体"/>
          <w:b w:val="0"/>
          <w:kern w:val="2"/>
          <w:sz w:val="30"/>
          <w:szCs w:val="30"/>
        </w:rPr>
        <w:t>条 验收和工程接收</w:t>
      </w:r>
      <w:bookmarkEnd w:id="415"/>
      <w:bookmarkEnd w:id="416"/>
      <w:bookmarkEnd w:id="417"/>
      <w:bookmarkEnd w:id="418"/>
    </w:p>
    <w:p w14:paraId="7FE73335">
      <w:pPr>
        <w:pStyle w:val="969"/>
        <w:widowControl/>
        <w:numPr>
          <w:ilvl w:val="0"/>
          <w:numId w:val="0"/>
        </w:numPr>
        <w:rPr>
          <w:rFonts w:ascii="宋体" w:hAnsi="宋体" w:eastAsia="宋体"/>
          <w:b w:val="0"/>
          <w:sz w:val="30"/>
          <w:szCs w:val="30"/>
        </w:rPr>
      </w:pPr>
      <w:bookmarkStart w:id="419" w:name="_Ref532300804"/>
      <w:bookmarkStart w:id="420" w:name="_Ref532359152"/>
      <w:bookmarkStart w:id="421" w:name="_Toc54862264"/>
      <w:bookmarkStart w:id="422" w:name="_Ref532359143"/>
      <w:bookmarkStart w:id="423" w:name="_Ref532300801"/>
      <w:bookmarkStart w:id="424" w:name="_Ref532301202"/>
      <w:bookmarkStart w:id="425" w:name="_Ref532301199"/>
      <w:r>
        <w:rPr>
          <w:rFonts w:hint="eastAsia" w:ascii="宋体" w:hAnsi="宋体" w:eastAsia="宋体"/>
          <w:b w:val="0"/>
          <w:sz w:val="30"/>
          <w:szCs w:val="30"/>
        </w:rPr>
        <w:t>1</w:t>
      </w:r>
      <w:r>
        <w:rPr>
          <w:rFonts w:ascii="宋体" w:hAnsi="宋体" w:eastAsia="宋体"/>
          <w:b w:val="0"/>
          <w:sz w:val="30"/>
          <w:szCs w:val="30"/>
        </w:rPr>
        <w:t xml:space="preserve">0.1 </w:t>
      </w:r>
      <w:r>
        <w:rPr>
          <w:rFonts w:hint="eastAsia" w:ascii="宋体" w:hAnsi="宋体" w:eastAsia="宋体"/>
          <w:b w:val="0"/>
          <w:sz w:val="30"/>
          <w:szCs w:val="30"/>
        </w:rPr>
        <w:t>竣工验收</w:t>
      </w:r>
      <w:bookmarkEnd w:id="419"/>
      <w:bookmarkEnd w:id="420"/>
      <w:bookmarkEnd w:id="421"/>
      <w:bookmarkEnd w:id="422"/>
      <w:bookmarkEnd w:id="423"/>
      <w:bookmarkEnd w:id="424"/>
      <w:bookmarkEnd w:id="425"/>
    </w:p>
    <w:p w14:paraId="57B64D75">
      <w:pPr>
        <w:pStyle w:val="994"/>
        <w:numPr>
          <w:ilvl w:val="0"/>
          <w:numId w:val="0"/>
        </w:numPr>
        <w:rPr>
          <w:sz w:val="30"/>
          <w:szCs w:val="30"/>
        </w:rPr>
      </w:pPr>
      <w:bookmarkStart w:id="426" w:name="_Ref532628356"/>
      <w:r>
        <w:rPr>
          <w:rFonts w:hint="eastAsia"/>
          <w:sz w:val="30"/>
          <w:szCs w:val="30"/>
        </w:rPr>
        <w:t>1</w:t>
      </w:r>
      <w:r>
        <w:rPr>
          <w:sz w:val="30"/>
          <w:szCs w:val="30"/>
        </w:rPr>
        <w:t xml:space="preserve">0.1.1 </w:t>
      </w:r>
      <w:r>
        <w:rPr>
          <w:rFonts w:hint="eastAsia"/>
          <w:sz w:val="30"/>
          <w:szCs w:val="30"/>
        </w:rPr>
        <w:t>竣工验收条件</w:t>
      </w:r>
    </w:p>
    <w:p w14:paraId="4DFC8448">
      <w:pPr>
        <w:ind w:firstLine="600"/>
        <w:rPr>
          <w:rFonts w:ascii="宋体" w:hAnsi="宋体"/>
          <w:sz w:val="30"/>
          <w:szCs w:val="30"/>
        </w:rPr>
      </w:pPr>
      <w:r>
        <w:rPr>
          <w:rFonts w:hint="eastAsia" w:ascii="宋体" w:hAnsi="宋体"/>
          <w:sz w:val="30"/>
          <w:szCs w:val="30"/>
        </w:rPr>
        <w:t>工程具备以下条件的，承包人可以申请竣工验收：</w:t>
      </w:r>
    </w:p>
    <w:p w14:paraId="519759DE">
      <w:pPr>
        <w:ind w:firstLine="600"/>
        <w:rPr>
          <w:rFonts w:ascii="宋体" w:hAnsi="宋体"/>
          <w:sz w:val="30"/>
          <w:szCs w:val="30"/>
        </w:rPr>
      </w:pPr>
      <w:r>
        <w:rPr>
          <w:rFonts w:hint="eastAsia" w:ascii="宋体" w:hAnsi="宋体"/>
          <w:sz w:val="30"/>
          <w:szCs w:val="30"/>
        </w:rPr>
        <w:t>（1） 除因第</w:t>
      </w:r>
      <w:r>
        <w:rPr>
          <w:rFonts w:ascii="宋体" w:hAnsi="宋体"/>
          <w:sz w:val="30"/>
          <w:szCs w:val="30"/>
        </w:rPr>
        <w:t>13条</w:t>
      </w:r>
      <w:r>
        <w:rPr>
          <w:rFonts w:hint="eastAsia" w:ascii="宋体" w:hAnsi="宋体"/>
          <w:sz w:val="30"/>
          <w:szCs w:val="30"/>
        </w:rPr>
        <w:t>[变更与调整]导致的工程量删减和第</w:t>
      </w:r>
      <w:r>
        <w:rPr>
          <w:rFonts w:ascii="宋体" w:hAnsi="宋体"/>
          <w:sz w:val="30"/>
          <w:szCs w:val="30"/>
        </w:rPr>
        <w:t>14.5.3</w:t>
      </w:r>
      <w:r>
        <w:rPr>
          <w:rFonts w:hint="eastAsia" w:ascii="宋体" w:hAnsi="宋体"/>
          <w:sz w:val="30"/>
          <w:szCs w:val="30"/>
        </w:rPr>
        <w:t>项[扫尾工作清单]列入缺陷责任期内完成的扫尾工程和缺陷修补工作外，合同范围内的全部单位/区段工程以及有关工作，包括合同要求的试验和竣工试验均已完成，并符合合同要求；</w:t>
      </w:r>
    </w:p>
    <w:p w14:paraId="0D7E62D1">
      <w:pPr>
        <w:ind w:firstLine="600"/>
        <w:rPr>
          <w:rFonts w:ascii="宋体" w:hAnsi="宋体"/>
          <w:sz w:val="30"/>
          <w:szCs w:val="30"/>
        </w:rPr>
      </w:pPr>
      <w:r>
        <w:rPr>
          <w:rFonts w:hint="eastAsia" w:ascii="宋体" w:hAnsi="宋体"/>
          <w:sz w:val="30"/>
          <w:szCs w:val="30"/>
        </w:rPr>
        <w:t>（2） 已按合同约定编制了扫尾工作和缺陷修补工作清单以及相应实施计划；</w:t>
      </w:r>
    </w:p>
    <w:p w14:paraId="0B05956F">
      <w:pPr>
        <w:ind w:firstLine="600"/>
        <w:rPr>
          <w:rFonts w:ascii="宋体" w:hAnsi="宋体"/>
          <w:sz w:val="30"/>
          <w:szCs w:val="30"/>
        </w:rPr>
      </w:pPr>
      <w:r>
        <w:rPr>
          <w:rFonts w:hint="eastAsia" w:ascii="宋体" w:hAnsi="宋体"/>
          <w:sz w:val="30"/>
          <w:szCs w:val="30"/>
        </w:rPr>
        <w:t>（3） 已按合同约定的内容和份数备齐竣工资料；</w:t>
      </w:r>
    </w:p>
    <w:p w14:paraId="4AE65299">
      <w:pPr>
        <w:ind w:firstLine="600"/>
        <w:rPr>
          <w:rFonts w:ascii="宋体" w:hAnsi="宋体"/>
          <w:sz w:val="30"/>
          <w:szCs w:val="30"/>
        </w:rPr>
      </w:pPr>
      <w:r>
        <w:rPr>
          <w:rFonts w:hint="eastAsia" w:ascii="宋体" w:hAnsi="宋体"/>
          <w:sz w:val="30"/>
          <w:szCs w:val="30"/>
        </w:rPr>
        <w:t>（4） 合同约定要求在竣工验收前应完成的其他工作。</w:t>
      </w:r>
    </w:p>
    <w:bookmarkEnd w:id="426"/>
    <w:p w14:paraId="695A3F47">
      <w:pPr>
        <w:pStyle w:val="994"/>
        <w:numPr>
          <w:ilvl w:val="0"/>
          <w:numId w:val="0"/>
        </w:numPr>
        <w:rPr>
          <w:sz w:val="30"/>
          <w:szCs w:val="30"/>
        </w:rPr>
      </w:pPr>
      <w:bookmarkStart w:id="427" w:name="_Ref4429424"/>
      <w:bookmarkStart w:id="428" w:name="_Hlk51506601"/>
      <w:r>
        <w:rPr>
          <w:rFonts w:hint="eastAsia"/>
          <w:sz w:val="30"/>
          <w:szCs w:val="30"/>
        </w:rPr>
        <w:t>1</w:t>
      </w:r>
      <w:r>
        <w:rPr>
          <w:sz w:val="30"/>
          <w:szCs w:val="30"/>
        </w:rPr>
        <w:t xml:space="preserve">0.1.2 </w:t>
      </w:r>
      <w:r>
        <w:rPr>
          <w:rFonts w:hint="eastAsia"/>
          <w:sz w:val="30"/>
          <w:szCs w:val="30"/>
        </w:rPr>
        <w:t>竣工验收程序</w:t>
      </w:r>
      <w:bookmarkEnd w:id="427"/>
    </w:p>
    <w:bookmarkEnd w:id="428"/>
    <w:p w14:paraId="47CCFB43">
      <w:pPr>
        <w:ind w:firstLine="600"/>
        <w:rPr>
          <w:rFonts w:ascii="宋体" w:hAnsi="宋体"/>
          <w:sz w:val="30"/>
          <w:szCs w:val="30"/>
        </w:rPr>
      </w:pPr>
      <w:r>
        <w:rPr>
          <w:rFonts w:hint="eastAsia" w:ascii="宋体" w:hAnsi="宋体"/>
          <w:sz w:val="30"/>
          <w:szCs w:val="30"/>
        </w:rPr>
        <w:t>除专用合同条件另有约定外，承包人申请竣工验收的，应当按照以下程序进行：</w:t>
      </w:r>
    </w:p>
    <w:p w14:paraId="5B2A0973">
      <w:pPr>
        <w:ind w:firstLine="600"/>
        <w:rPr>
          <w:rFonts w:ascii="宋体" w:hAnsi="宋体"/>
          <w:sz w:val="30"/>
          <w:szCs w:val="30"/>
        </w:rPr>
      </w:pPr>
      <w:r>
        <w:rPr>
          <w:rFonts w:hint="eastAsia" w:ascii="宋体" w:hAnsi="宋体"/>
          <w:sz w:val="30"/>
          <w:szCs w:val="30"/>
        </w:rPr>
        <w:t>（1） 承包人向工程师报送竣工验收申请报告，工程师应在收到竣工验收申请报告后14天内完成审查并报送发包人。工程师审查后认为尚不具备竣工验收条件的，应在收到竣工验收申请报告后的</w:t>
      </w:r>
      <w:r>
        <w:rPr>
          <w:rFonts w:ascii="宋体" w:hAnsi="宋体"/>
          <w:sz w:val="30"/>
          <w:szCs w:val="30"/>
        </w:rPr>
        <w:t>14</w:t>
      </w:r>
      <w:r>
        <w:rPr>
          <w:rFonts w:hint="eastAsia" w:ascii="宋体" w:hAnsi="宋体"/>
          <w:sz w:val="30"/>
          <w:szCs w:val="30"/>
        </w:rPr>
        <w:t>天内通知承包人，指出在颁发接收证书前承包人还需进行的工作内容。承包人完成工程师通知的全部工作内容后，应再次提交竣工验收申请报告，直至工程师同意为止。</w:t>
      </w:r>
    </w:p>
    <w:p w14:paraId="1AFBFAE1">
      <w:pPr>
        <w:ind w:firstLine="600"/>
        <w:rPr>
          <w:rFonts w:ascii="宋体" w:hAnsi="宋体"/>
          <w:sz w:val="30"/>
          <w:szCs w:val="30"/>
        </w:rPr>
      </w:pPr>
      <w:r>
        <w:rPr>
          <w:rFonts w:hint="eastAsia" w:ascii="宋体" w:hAnsi="宋体"/>
          <w:sz w:val="30"/>
          <w:szCs w:val="30"/>
        </w:rPr>
        <w:t>（2） 工程师同意承包人提交的竣工验收申请报告的，或工程师收到竣工验收申请报告后</w:t>
      </w:r>
      <w:r>
        <w:rPr>
          <w:rFonts w:ascii="宋体" w:hAnsi="宋体"/>
          <w:sz w:val="30"/>
          <w:szCs w:val="30"/>
        </w:rPr>
        <w:t>14</w:t>
      </w:r>
      <w:r>
        <w:rPr>
          <w:rFonts w:hint="eastAsia" w:ascii="宋体" w:hAnsi="宋体"/>
          <w:sz w:val="30"/>
          <w:szCs w:val="30"/>
        </w:rPr>
        <w:t>天内不予答复的，视为发包人收到并同意承包人的竣工验收申请，发包人应在收到该竣工验收申请报告后的28天内进行竣工验收。工程经竣工验收合格的，以竣工验收合格之日为实际竣工日期，并在工程接收证书中载明；完成竣工验收但发包人不予签发工程接收证书的，视为竣工验收合格，以完成竣工验收之日为实际竣工日期。</w:t>
      </w:r>
    </w:p>
    <w:p w14:paraId="62A4C42F">
      <w:pPr>
        <w:ind w:firstLine="600"/>
        <w:rPr>
          <w:rFonts w:ascii="宋体" w:hAnsi="宋体"/>
          <w:sz w:val="30"/>
          <w:szCs w:val="30"/>
        </w:rPr>
      </w:pPr>
      <w:r>
        <w:rPr>
          <w:rFonts w:hint="eastAsia" w:ascii="宋体" w:hAnsi="宋体"/>
          <w:sz w:val="30"/>
          <w:szCs w:val="30"/>
        </w:rPr>
        <w:t>（3） 竣工验收不合格的，工程师应按照验收意见发出指示，要求承包人对不合格工程返工、修复或采取其他补救措施，由此增加的费用和（或）延误的工期由承包人承担。承包人在完成不合格工程的返工、修复或采取其他补救措施后，应重新提交竣工验收申请报告，并按本项约定的程序重新进行验收。</w:t>
      </w:r>
    </w:p>
    <w:p w14:paraId="03E1AF10">
      <w:pPr>
        <w:ind w:firstLine="600"/>
        <w:rPr>
          <w:rFonts w:ascii="宋体" w:hAnsi="宋体"/>
          <w:sz w:val="30"/>
          <w:szCs w:val="30"/>
        </w:rPr>
      </w:pPr>
      <w:bookmarkStart w:id="429" w:name="_Hlk51506640"/>
      <w:r>
        <w:rPr>
          <w:rFonts w:hint="eastAsia" w:ascii="宋体" w:hAnsi="宋体"/>
          <w:sz w:val="30"/>
          <w:szCs w:val="30"/>
        </w:rPr>
        <w:t>（4） 因发包人原因，未在工程师收到承包人竣工验收申请报告之日起</w:t>
      </w:r>
      <w:r>
        <w:rPr>
          <w:rFonts w:ascii="宋体" w:hAnsi="宋体"/>
          <w:sz w:val="30"/>
          <w:szCs w:val="30"/>
        </w:rPr>
        <w:t>42</w:t>
      </w:r>
      <w:r>
        <w:rPr>
          <w:rFonts w:hint="eastAsia" w:ascii="宋体" w:hAnsi="宋体"/>
          <w:sz w:val="30"/>
          <w:szCs w:val="30"/>
        </w:rPr>
        <w:t>天内完成竣工验收的，以承包人提交竣工验收申请报告之日</w:t>
      </w:r>
      <w:r>
        <w:rPr>
          <w:rFonts w:ascii="宋体" w:hAnsi="宋体"/>
          <w:sz w:val="30"/>
          <w:szCs w:val="30"/>
        </w:rPr>
        <w:t>作为工程实际竣工日期</w:t>
      </w:r>
      <w:r>
        <w:rPr>
          <w:rFonts w:hint="eastAsia" w:ascii="宋体" w:hAnsi="宋体"/>
          <w:sz w:val="30"/>
          <w:szCs w:val="30"/>
        </w:rPr>
        <w:t>。</w:t>
      </w:r>
    </w:p>
    <w:bookmarkEnd w:id="429"/>
    <w:p w14:paraId="484F02DF">
      <w:pPr>
        <w:ind w:firstLine="600"/>
        <w:rPr>
          <w:rFonts w:ascii="宋体" w:hAnsi="宋体"/>
          <w:sz w:val="30"/>
          <w:szCs w:val="30"/>
        </w:rPr>
      </w:pPr>
      <w:r>
        <w:rPr>
          <w:rFonts w:hint="eastAsia" w:ascii="宋体" w:hAnsi="宋体"/>
          <w:sz w:val="30"/>
          <w:szCs w:val="30"/>
        </w:rPr>
        <w:t>（5） 工程未经竣工验收，发包人擅自使用的，以转移占有工程之日为实际竣工日期。</w:t>
      </w:r>
    </w:p>
    <w:p w14:paraId="3B66A103">
      <w:pPr>
        <w:ind w:firstLine="600"/>
        <w:rPr>
          <w:rFonts w:ascii="宋体" w:hAnsi="宋体"/>
          <w:sz w:val="30"/>
          <w:szCs w:val="30"/>
        </w:rPr>
      </w:pPr>
      <w:r>
        <w:rPr>
          <w:rFonts w:hint="eastAsia" w:ascii="宋体" w:hAnsi="宋体"/>
          <w:sz w:val="30"/>
          <w:szCs w:val="30"/>
        </w:rPr>
        <w:t>除专用合同条件另有约定外，发包人不按照本项和第</w:t>
      </w:r>
      <w:r>
        <w:rPr>
          <w:rFonts w:ascii="宋体" w:hAnsi="宋体"/>
          <w:sz w:val="30"/>
          <w:szCs w:val="30"/>
        </w:rPr>
        <w:t>10.4</w:t>
      </w:r>
      <w:r>
        <w:rPr>
          <w:rFonts w:hint="eastAsia" w:ascii="宋体" w:hAnsi="宋体"/>
          <w:sz w:val="30"/>
          <w:szCs w:val="30"/>
        </w:rPr>
        <w:t>款</w:t>
      </w:r>
      <w:r>
        <w:rPr>
          <w:rFonts w:ascii="宋体" w:hAnsi="宋体"/>
          <w:sz w:val="30"/>
          <w:szCs w:val="30"/>
        </w:rPr>
        <w:t>[接收证书]</w:t>
      </w:r>
      <w:r>
        <w:rPr>
          <w:rFonts w:hint="eastAsia" w:ascii="宋体" w:hAnsi="宋体"/>
          <w:sz w:val="30"/>
          <w:szCs w:val="30"/>
        </w:rPr>
        <w:t>约定组织竣工验收、颁发工程接收证书的，每逾期一天，应以签约合同价为基数，按照贷款市场报价利率（LPR）支付违约金。</w:t>
      </w:r>
    </w:p>
    <w:p w14:paraId="09C6D3B0">
      <w:pPr>
        <w:pStyle w:val="969"/>
        <w:widowControl/>
        <w:numPr>
          <w:ilvl w:val="0"/>
          <w:numId w:val="0"/>
        </w:numPr>
        <w:rPr>
          <w:rFonts w:ascii="宋体" w:hAnsi="宋体" w:eastAsia="宋体"/>
          <w:b w:val="0"/>
          <w:sz w:val="30"/>
          <w:szCs w:val="30"/>
        </w:rPr>
      </w:pPr>
      <w:bookmarkStart w:id="430" w:name="_Ref532301213"/>
      <w:bookmarkStart w:id="431" w:name="_Ref532301210"/>
      <w:bookmarkStart w:id="432" w:name="_Toc54862265"/>
      <w:r>
        <w:rPr>
          <w:rFonts w:hint="eastAsia" w:ascii="宋体" w:hAnsi="宋体" w:eastAsia="宋体"/>
          <w:b w:val="0"/>
          <w:sz w:val="30"/>
          <w:szCs w:val="30"/>
        </w:rPr>
        <w:t>1</w:t>
      </w:r>
      <w:r>
        <w:rPr>
          <w:rFonts w:ascii="宋体" w:hAnsi="宋体" w:eastAsia="宋体"/>
          <w:b w:val="0"/>
          <w:sz w:val="30"/>
          <w:szCs w:val="30"/>
        </w:rPr>
        <w:t xml:space="preserve">0.2 </w:t>
      </w:r>
      <w:r>
        <w:rPr>
          <w:rFonts w:hint="eastAsia" w:ascii="宋体" w:hAnsi="宋体" w:eastAsia="宋体"/>
          <w:b w:val="0"/>
          <w:sz w:val="30"/>
          <w:szCs w:val="30"/>
        </w:rPr>
        <w:t>单位/区段工程的验收</w:t>
      </w:r>
      <w:bookmarkEnd w:id="430"/>
      <w:bookmarkEnd w:id="431"/>
      <w:bookmarkEnd w:id="432"/>
    </w:p>
    <w:p w14:paraId="7C64B34D">
      <w:pPr>
        <w:pStyle w:val="994"/>
        <w:numPr>
          <w:ilvl w:val="0"/>
          <w:numId w:val="0"/>
        </w:numPr>
        <w:rPr>
          <w:sz w:val="30"/>
          <w:szCs w:val="30"/>
        </w:rPr>
      </w:pPr>
      <w:r>
        <w:rPr>
          <w:rFonts w:hint="eastAsia"/>
          <w:sz w:val="30"/>
          <w:szCs w:val="30"/>
        </w:rPr>
        <w:t>1</w:t>
      </w:r>
      <w:r>
        <w:rPr>
          <w:sz w:val="30"/>
          <w:szCs w:val="30"/>
        </w:rPr>
        <w:t xml:space="preserve">0.2.1 </w:t>
      </w:r>
      <w:r>
        <w:rPr>
          <w:rFonts w:hint="eastAsia"/>
          <w:sz w:val="30"/>
          <w:szCs w:val="30"/>
        </w:rPr>
        <w:t>发包人根据项目进度计划安排，在全部工程竣工前需要使用已经竣工的单位/区段工程时，或承包人提出经发包人同意时，可进行单位/区段工程验收。验收的程序可参照第</w:t>
      </w:r>
      <w:r>
        <w:rPr>
          <w:sz w:val="30"/>
          <w:szCs w:val="30"/>
        </w:rPr>
        <w:t>10.1</w:t>
      </w:r>
      <w:r>
        <w:rPr>
          <w:rFonts w:hint="eastAsia"/>
          <w:sz w:val="30"/>
          <w:szCs w:val="30"/>
        </w:rPr>
        <w:t>款[竣工验收]的约定进行。验收合格后，由工程师向承包人出具经发包人签认的单位/区段工程验收证书。单位/区段工程的验收成果和结论作为全部工程竣工验收申请报告的附件。</w:t>
      </w:r>
    </w:p>
    <w:p w14:paraId="2AC14D22">
      <w:pPr>
        <w:pStyle w:val="994"/>
        <w:numPr>
          <w:ilvl w:val="0"/>
          <w:numId w:val="0"/>
        </w:numPr>
        <w:rPr>
          <w:sz w:val="30"/>
          <w:szCs w:val="30"/>
        </w:rPr>
      </w:pPr>
      <w:r>
        <w:rPr>
          <w:rFonts w:hint="eastAsia"/>
          <w:sz w:val="30"/>
          <w:szCs w:val="30"/>
        </w:rPr>
        <w:t>1</w:t>
      </w:r>
      <w:r>
        <w:rPr>
          <w:sz w:val="30"/>
          <w:szCs w:val="30"/>
        </w:rPr>
        <w:t xml:space="preserve">0.2.2 </w:t>
      </w:r>
      <w:r>
        <w:rPr>
          <w:rFonts w:hint="eastAsia"/>
          <w:sz w:val="30"/>
          <w:szCs w:val="30"/>
        </w:rPr>
        <w:t>发包人在全部工程竣工前，使用已接收的单位/区段工程导致承包人费用增加的，发包人应承担由此增加的费用和（或）工期延误，并支付承包人合理利润。</w:t>
      </w:r>
    </w:p>
    <w:p w14:paraId="57D6A2B5">
      <w:pPr>
        <w:pStyle w:val="969"/>
        <w:widowControl/>
        <w:numPr>
          <w:ilvl w:val="0"/>
          <w:numId w:val="0"/>
        </w:numPr>
        <w:rPr>
          <w:rFonts w:ascii="宋体" w:hAnsi="宋体" w:eastAsia="宋体"/>
          <w:b w:val="0"/>
          <w:sz w:val="30"/>
          <w:szCs w:val="30"/>
        </w:rPr>
      </w:pPr>
      <w:bookmarkStart w:id="433" w:name="_Toc54862266"/>
      <w:bookmarkStart w:id="434" w:name="_Ref4429473"/>
      <w:bookmarkStart w:id="435" w:name="_Ref532688354"/>
      <w:bookmarkStart w:id="436" w:name="_Ref532688351"/>
      <w:r>
        <w:rPr>
          <w:rFonts w:hint="eastAsia" w:ascii="宋体" w:hAnsi="宋体" w:eastAsia="宋体"/>
          <w:b w:val="0"/>
          <w:sz w:val="30"/>
          <w:szCs w:val="30"/>
        </w:rPr>
        <w:t>1</w:t>
      </w:r>
      <w:r>
        <w:rPr>
          <w:rFonts w:ascii="宋体" w:hAnsi="宋体" w:eastAsia="宋体"/>
          <w:b w:val="0"/>
          <w:sz w:val="30"/>
          <w:szCs w:val="30"/>
        </w:rPr>
        <w:t xml:space="preserve">0.3 </w:t>
      </w:r>
      <w:r>
        <w:rPr>
          <w:rFonts w:hint="eastAsia" w:ascii="宋体" w:hAnsi="宋体" w:eastAsia="宋体"/>
          <w:b w:val="0"/>
          <w:sz w:val="30"/>
          <w:szCs w:val="30"/>
        </w:rPr>
        <w:t>工程的接收</w:t>
      </w:r>
      <w:bookmarkEnd w:id="433"/>
    </w:p>
    <w:p w14:paraId="6FBB4F48">
      <w:pPr>
        <w:pStyle w:val="994"/>
        <w:numPr>
          <w:ilvl w:val="0"/>
          <w:numId w:val="0"/>
        </w:numPr>
        <w:rPr>
          <w:sz w:val="30"/>
          <w:szCs w:val="30"/>
        </w:rPr>
      </w:pPr>
      <w:r>
        <w:rPr>
          <w:rFonts w:hint="eastAsia"/>
          <w:sz w:val="30"/>
          <w:szCs w:val="30"/>
        </w:rPr>
        <w:t>1</w:t>
      </w:r>
      <w:r>
        <w:rPr>
          <w:sz w:val="30"/>
          <w:szCs w:val="30"/>
        </w:rPr>
        <w:t xml:space="preserve">0.3.1 </w:t>
      </w:r>
      <w:r>
        <w:rPr>
          <w:rFonts w:hint="eastAsia"/>
          <w:sz w:val="30"/>
          <w:szCs w:val="30"/>
        </w:rPr>
        <w:t>根据工程项目的具体情况和特点，可按工程或单位/区段工程进行接收，并在专用合同条件约定接收的先后顺序、时间安排和其他要求。</w:t>
      </w:r>
    </w:p>
    <w:p w14:paraId="59D929F6">
      <w:pPr>
        <w:pStyle w:val="994"/>
        <w:numPr>
          <w:ilvl w:val="0"/>
          <w:numId w:val="0"/>
        </w:numPr>
        <w:rPr>
          <w:sz w:val="30"/>
          <w:szCs w:val="30"/>
        </w:rPr>
      </w:pPr>
      <w:r>
        <w:rPr>
          <w:rFonts w:hint="eastAsia"/>
          <w:sz w:val="30"/>
          <w:szCs w:val="30"/>
        </w:rPr>
        <w:t>1</w:t>
      </w:r>
      <w:r>
        <w:rPr>
          <w:sz w:val="30"/>
          <w:szCs w:val="30"/>
        </w:rPr>
        <w:t xml:space="preserve">0.3.2 </w:t>
      </w:r>
      <w:r>
        <w:rPr>
          <w:rFonts w:hint="eastAsia"/>
          <w:sz w:val="30"/>
          <w:szCs w:val="30"/>
        </w:rPr>
        <w:t>除按本条约定已经提交的资料外，接收工程时承包人需提交竣工验收资料的类别、内容、份数和提交时间，在专用合同条件中约定。</w:t>
      </w:r>
    </w:p>
    <w:p w14:paraId="67A59EA5">
      <w:pPr>
        <w:pStyle w:val="994"/>
        <w:numPr>
          <w:ilvl w:val="0"/>
          <w:numId w:val="0"/>
        </w:numPr>
        <w:rPr>
          <w:sz w:val="30"/>
          <w:szCs w:val="30"/>
        </w:rPr>
      </w:pPr>
      <w:r>
        <w:rPr>
          <w:rFonts w:hint="eastAsia"/>
          <w:sz w:val="30"/>
          <w:szCs w:val="30"/>
        </w:rPr>
        <w:t>1</w:t>
      </w:r>
      <w:r>
        <w:rPr>
          <w:sz w:val="30"/>
          <w:szCs w:val="30"/>
        </w:rPr>
        <w:t xml:space="preserve">0.3.3 </w:t>
      </w:r>
      <w:r>
        <w:rPr>
          <w:rFonts w:hint="eastAsia"/>
          <w:sz w:val="30"/>
          <w:szCs w:val="30"/>
        </w:rPr>
        <w:t>发包人无正当理由不接收工程的，发包人自应当接收工程之日起，承担工程照管、成品保护、保管等与工程有关的各项费用，合同当事人可以在专用合同条件中另行约定发包人逾期接收工程的违约责任。</w:t>
      </w:r>
    </w:p>
    <w:p w14:paraId="34E5D3BE">
      <w:pPr>
        <w:pStyle w:val="994"/>
        <w:numPr>
          <w:ilvl w:val="0"/>
          <w:numId w:val="0"/>
        </w:numPr>
        <w:rPr>
          <w:sz w:val="30"/>
          <w:szCs w:val="30"/>
        </w:rPr>
      </w:pPr>
      <w:r>
        <w:rPr>
          <w:rFonts w:hint="eastAsia"/>
          <w:sz w:val="30"/>
          <w:szCs w:val="30"/>
        </w:rPr>
        <w:t>1</w:t>
      </w:r>
      <w:r>
        <w:rPr>
          <w:sz w:val="30"/>
          <w:szCs w:val="30"/>
        </w:rPr>
        <w:t xml:space="preserve">0.3.4 </w:t>
      </w:r>
      <w:r>
        <w:rPr>
          <w:rFonts w:hint="eastAsia"/>
          <w:sz w:val="30"/>
          <w:szCs w:val="30"/>
        </w:rPr>
        <w:t>承包人无正当理由不移交工程的，承包人应承担工程照管、成品保护、保管等与工程有关的各项费用，合同当事人可以在专用合同条件中另行约定承包人无正当理由不移交工程的违约责任。</w:t>
      </w:r>
    </w:p>
    <w:p w14:paraId="206FCFD4">
      <w:pPr>
        <w:pStyle w:val="969"/>
        <w:widowControl/>
        <w:numPr>
          <w:ilvl w:val="0"/>
          <w:numId w:val="0"/>
        </w:numPr>
        <w:rPr>
          <w:rFonts w:ascii="宋体" w:hAnsi="宋体" w:eastAsia="宋体"/>
          <w:b w:val="0"/>
          <w:sz w:val="30"/>
          <w:szCs w:val="30"/>
        </w:rPr>
      </w:pPr>
      <w:bookmarkStart w:id="437" w:name="_Toc54862267"/>
      <w:r>
        <w:rPr>
          <w:rFonts w:hint="eastAsia" w:ascii="宋体" w:hAnsi="宋体" w:eastAsia="宋体"/>
          <w:b w:val="0"/>
          <w:sz w:val="30"/>
          <w:szCs w:val="30"/>
        </w:rPr>
        <w:t>1</w:t>
      </w:r>
      <w:r>
        <w:rPr>
          <w:rFonts w:ascii="宋体" w:hAnsi="宋体" w:eastAsia="宋体"/>
          <w:b w:val="0"/>
          <w:sz w:val="30"/>
          <w:szCs w:val="30"/>
        </w:rPr>
        <w:t xml:space="preserve">0.4 </w:t>
      </w:r>
      <w:r>
        <w:rPr>
          <w:rFonts w:hint="eastAsia" w:ascii="宋体" w:hAnsi="宋体" w:eastAsia="宋体"/>
          <w:b w:val="0"/>
          <w:sz w:val="30"/>
          <w:szCs w:val="30"/>
        </w:rPr>
        <w:t>接收证书</w:t>
      </w:r>
      <w:bookmarkEnd w:id="434"/>
      <w:bookmarkEnd w:id="437"/>
    </w:p>
    <w:p w14:paraId="3EA1BF6A">
      <w:pPr>
        <w:pStyle w:val="994"/>
        <w:numPr>
          <w:ilvl w:val="0"/>
          <w:numId w:val="0"/>
        </w:numPr>
        <w:rPr>
          <w:sz w:val="30"/>
          <w:szCs w:val="30"/>
        </w:rPr>
      </w:pPr>
      <w:bookmarkStart w:id="438" w:name="_Ref4429542"/>
      <w:r>
        <w:rPr>
          <w:rFonts w:hint="eastAsia"/>
          <w:sz w:val="30"/>
          <w:szCs w:val="30"/>
        </w:rPr>
        <w:t>1</w:t>
      </w:r>
      <w:r>
        <w:rPr>
          <w:sz w:val="30"/>
          <w:szCs w:val="30"/>
        </w:rPr>
        <w:t xml:space="preserve">0.4.1 </w:t>
      </w:r>
      <w:r>
        <w:rPr>
          <w:rFonts w:hint="eastAsia"/>
          <w:sz w:val="30"/>
          <w:szCs w:val="30"/>
        </w:rPr>
        <w:t>除专用合同条件另有约定外，承包人应在竣工验收合格后向发包人提交第</w:t>
      </w:r>
      <w:r>
        <w:rPr>
          <w:sz w:val="30"/>
          <w:szCs w:val="30"/>
        </w:rPr>
        <w:t>14.6</w:t>
      </w:r>
      <w:r>
        <w:rPr>
          <w:rFonts w:hint="eastAsia"/>
          <w:sz w:val="30"/>
          <w:szCs w:val="30"/>
        </w:rPr>
        <w:t>款[质量保证金]约定的质量保证金，发包人应在竣工验收合格且工程具备接收条件后的14天内向承包人颁发工程接收证书，但承包人未提交质量保证金的，发包人有权拒绝颁发。发包人拒绝颁发工程接收证书的，应向承包人发出通知，说明理由并指出在颁发接收证书前承包人需要做的工作，需要修补的缺陷和承包人需要提供的文件。</w:t>
      </w:r>
      <w:bookmarkEnd w:id="438"/>
    </w:p>
    <w:p w14:paraId="557AD84A">
      <w:pPr>
        <w:pStyle w:val="994"/>
        <w:numPr>
          <w:ilvl w:val="0"/>
          <w:numId w:val="0"/>
        </w:numPr>
        <w:rPr>
          <w:sz w:val="30"/>
          <w:szCs w:val="30"/>
        </w:rPr>
      </w:pPr>
      <w:r>
        <w:rPr>
          <w:rFonts w:hint="eastAsia"/>
          <w:sz w:val="30"/>
          <w:szCs w:val="30"/>
        </w:rPr>
        <w:t>1</w:t>
      </w:r>
      <w:r>
        <w:rPr>
          <w:sz w:val="30"/>
          <w:szCs w:val="30"/>
        </w:rPr>
        <w:t xml:space="preserve">0.4.2 </w:t>
      </w:r>
      <w:r>
        <w:rPr>
          <w:rFonts w:hint="eastAsia"/>
          <w:sz w:val="30"/>
          <w:szCs w:val="30"/>
        </w:rPr>
        <w:t>发包人向承包人颁发的接收证书，应注明工程或单位/区段工程经验收合格的实际竣工日期，并列明不在接收范围内的，在收尾工作和缺陷修补完成之前对工程或单位/区段工程预期使用目的没有实质影响的少量收尾工作和缺陷。</w:t>
      </w:r>
    </w:p>
    <w:p w14:paraId="40BAFBE1">
      <w:pPr>
        <w:pStyle w:val="994"/>
        <w:numPr>
          <w:ilvl w:val="0"/>
          <w:numId w:val="0"/>
        </w:numPr>
        <w:rPr>
          <w:sz w:val="30"/>
          <w:szCs w:val="30"/>
        </w:rPr>
      </w:pPr>
      <w:r>
        <w:rPr>
          <w:rFonts w:hint="eastAsia"/>
          <w:sz w:val="30"/>
          <w:szCs w:val="30"/>
        </w:rPr>
        <w:t>1</w:t>
      </w:r>
      <w:r>
        <w:rPr>
          <w:sz w:val="30"/>
          <w:szCs w:val="30"/>
        </w:rPr>
        <w:t xml:space="preserve">0.4.3 </w:t>
      </w:r>
      <w:r>
        <w:rPr>
          <w:rFonts w:hint="eastAsia"/>
          <w:sz w:val="30"/>
          <w:szCs w:val="30"/>
        </w:rPr>
        <w:t>竣工验收合格而发包人无正当理由逾期不颁发工程接收证书的，自验收合格后第15天起视为已颁发工程接收证书。</w:t>
      </w:r>
    </w:p>
    <w:p w14:paraId="04FF88D0">
      <w:pPr>
        <w:pStyle w:val="994"/>
        <w:numPr>
          <w:ilvl w:val="0"/>
          <w:numId w:val="0"/>
        </w:numPr>
        <w:rPr>
          <w:sz w:val="30"/>
          <w:szCs w:val="30"/>
        </w:rPr>
      </w:pPr>
      <w:r>
        <w:rPr>
          <w:rFonts w:hint="eastAsia"/>
          <w:sz w:val="30"/>
          <w:szCs w:val="30"/>
        </w:rPr>
        <w:t>1</w:t>
      </w:r>
      <w:r>
        <w:rPr>
          <w:sz w:val="30"/>
          <w:szCs w:val="30"/>
        </w:rPr>
        <w:t xml:space="preserve">0.4.4 </w:t>
      </w:r>
      <w:r>
        <w:rPr>
          <w:rFonts w:hint="eastAsia"/>
          <w:sz w:val="30"/>
          <w:szCs w:val="30"/>
        </w:rPr>
        <w:t>工程未经验收或验收不合格，发包人擅自使用的，应在转移占有工程后7天内向承包人颁发工程接收证书；发包人无正当理由逾期不颁发工程接收证书的，自转移占有后第15天起视为已颁发工程接收证书。</w:t>
      </w:r>
    </w:p>
    <w:p w14:paraId="2F6F7A3C">
      <w:pPr>
        <w:pStyle w:val="994"/>
        <w:numPr>
          <w:ilvl w:val="0"/>
          <w:numId w:val="0"/>
        </w:numPr>
        <w:rPr>
          <w:sz w:val="30"/>
          <w:szCs w:val="30"/>
        </w:rPr>
      </w:pPr>
      <w:r>
        <w:rPr>
          <w:rFonts w:hint="eastAsia"/>
          <w:sz w:val="30"/>
          <w:szCs w:val="30"/>
        </w:rPr>
        <w:t>1</w:t>
      </w:r>
      <w:r>
        <w:rPr>
          <w:sz w:val="30"/>
          <w:szCs w:val="30"/>
        </w:rPr>
        <w:t xml:space="preserve">0.4.5 </w:t>
      </w:r>
      <w:r>
        <w:rPr>
          <w:rFonts w:hint="eastAsia"/>
          <w:sz w:val="30"/>
          <w:szCs w:val="30"/>
        </w:rPr>
        <w:t>存在扫尾工作的，工程接收证书中应当将第</w:t>
      </w:r>
      <w:r>
        <w:rPr>
          <w:sz w:val="30"/>
          <w:szCs w:val="30"/>
        </w:rPr>
        <w:t>14.5.3</w:t>
      </w:r>
      <w:r>
        <w:rPr>
          <w:rFonts w:hint="eastAsia"/>
          <w:sz w:val="30"/>
          <w:szCs w:val="30"/>
        </w:rPr>
        <w:t>项[扫尾工作清单]中约定的扫尾工作清单作为工程接收证书附件。</w:t>
      </w:r>
    </w:p>
    <w:bookmarkEnd w:id="435"/>
    <w:bookmarkEnd w:id="436"/>
    <w:p w14:paraId="505ADDE7">
      <w:pPr>
        <w:pStyle w:val="969"/>
        <w:widowControl/>
        <w:numPr>
          <w:ilvl w:val="0"/>
          <w:numId w:val="0"/>
        </w:numPr>
        <w:rPr>
          <w:rFonts w:ascii="宋体" w:hAnsi="宋体" w:eastAsia="宋体"/>
          <w:b w:val="0"/>
          <w:sz w:val="30"/>
          <w:szCs w:val="30"/>
        </w:rPr>
      </w:pPr>
      <w:bookmarkStart w:id="439" w:name="_Ref4429935"/>
      <w:bookmarkStart w:id="440" w:name="_Toc54862268"/>
      <w:bookmarkStart w:id="441" w:name="_Ref4429932"/>
      <w:r>
        <w:rPr>
          <w:rFonts w:hint="eastAsia" w:ascii="宋体" w:hAnsi="宋体" w:eastAsia="宋体"/>
          <w:b w:val="0"/>
          <w:sz w:val="30"/>
          <w:szCs w:val="30"/>
        </w:rPr>
        <w:t>1</w:t>
      </w:r>
      <w:r>
        <w:rPr>
          <w:rFonts w:ascii="宋体" w:hAnsi="宋体" w:eastAsia="宋体"/>
          <w:b w:val="0"/>
          <w:sz w:val="30"/>
          <w:szCs w:val="30"/>
        </w:rPr>
        <w:t xml:space="preserve">0.5 </w:t>
      </w:r>
      <w:r>
        <w:rPr>
          <w:rFonts w:hint="eastAsia" w:ascii="宋体" w:hAnsi="宋体" w:eastAsia="宋体"/>
          <w:b w:val="0"/>
          <w:sz w:val="30"/>
          <w:szCs w:val="30"/>
        </w:rPr>
        <w:t>竣工退场</w:t>
      </w:r>
      <w:bookmarkEnd w:id="439"/>
      <w:bookmarkEnd w:id="440"/>
      <w:bookmarkEnd w:id="441"/>
    </w:p>
    <w:p w14:paraId="3CA57124">
      <w:pPr>
        <w:pStyle w:val="994"/>
        <w:numPr>
          <w:ilvl w:val="0"/>
          <w:numId w:val="0"/>
        </w:numPr>
        <w:rPr>
          <w:sz w:val="30"/>
          <w:szCs w:val="30"/>
        </w:rPr>
      </w:pPr>
      <w:bookmarkStart w:id="442" w:name="_Ref4429943"/>
      <w:r>
        <w:rPr>
          <w:rFonts w:hint="eastAsia"/>
          <w:sz w:val="30"/>
          <w:szCs w:val="30"/>
        </w:rPr>
        <w:t>1</w:t>
      </w:r>
      <w:r>
        <w:rPr>
          <w:sz w:val="30"/>
          <w:szCs w:val="30"/>
        </w:rPr>
        <w:t xml:space="preserve">0.5.1 </w:t>
      </w:r>
      <w:r>
        <w:rPr>
          <w:rFonts w:hint="eastAsia"/>
          <w:sz w:val="30"/>
          <w:szCs w:val="30"/>
        </w:rPr>
        <w:t>竣工退场</w:t>
      </w:r>
      <w:bookmarkEnd w:id="442"/>
    </w:p>
    <w:p w14:paraId="791FDF46">
      <w:pPr>
        <w:ind w:firstLine="600"/>
        <w:rPr>
          <w:rFonts w:ascii="宋体" w:hAnsi="宋体"/>
          <w:sz w:val="30"/>
          <w:szCs w:val="30"/>
        </w:rPr>
      </w:pPr>
      <w:r>
        <w:rPr>
          <w:rFonts w:hint="eastAsia" w:ascii="宋体" w:hAnsi="宋体"/>
          <w:sz w:val="30"/>
          <w:szCs w:val="30"/>
        </w:rPr>
        <w:t>颁发工程接收证书后，承包人应对施工现场进行清理，并撤离相关人员，使得施工现场处于以下状态，直至工程师检验合格为止：</w:t>
      </w:r>
    </w:p>
    <w:p w14:paraId="74B571F2">
      <w:pPr>
        <w:ind w:firstLine="600"/>
        <w:rPr>
          <w:rFonts w:ascii="宋体" w:hAnsi="宋体"/>
          <w:sz w:val="30"/>
          <w:szCs w:val="30"/>
        </w:rPr>
      </w:pPr>
      <w:r>
        <w:rPr>
          <w:rFonts w:hint="eastAsia" w:ascii="宋体" w:hAnsi="宋体"/>
          <w:sz w:val="30"/>
          <w:szCs w:val="30"/>
        </w:rPr>
        <w:t>（1） 施工现场内残留的垃圾已全部清除出场；</w:t>
      </w:r>
    </w:p>
    <w:p w14:paraId="4BB3FE3F">
      <w:pPr>
        <w:ind w:firstLine="600"/>
        <w:rPr>
          <w:rFonts w:ascii="宋体" w:hAnsi="宋体"/>
          <w:sz w:val="30"/>
          <w:szCs w:val="30"/>
        </w:rPr>
      </w:pPr>
      <w:r>
        <w:rPr>
          <w:rFonts w:hint="eastAsia" w:ascii="宋体" w:hAnsi="宋体"/>
          <w:sz w:val="30"/>
          <w:szCs w:val="30"/>
        </w:rPr>
        <w:t>（2） 临时工程已拆除，场地已按合同约定进行清理、平整或复原；</w:t>
      </w:r>
    </w:p>
    <w:p w14:paraId="65886576">
      <w:pPr>
        <w:ind w:firstLine="600"/>
        <w:rPr>
          <w:rFonts w:ascii="宋体" w:hAnsi="宋体"/>
          <w:sz w:val="30"/>
          <w:szCs w:val="30"/>
        </w:rPr>
      </w:pPr>
      <w:r>
        <w:rPr>
          <w:rFonts w:hint="eastAsia" w:ascii="宋体" w:hAnsi="宋体"/>
          <w:sz w:val="30"/>
          <w:szCs w:val="30"/>
        </w:rPr>
        <w:t>（3） 按合同约定应撤离的人员、承包人提供的施工设备和剩余的材料，包括废弃的施工设备和材料，已按计划撤离施工现场；</w:t>
      </w:r>
    </w:p>
    <w:p w14:paraId="58B4B150">
      <w:pPr>
        <w:ind w:firstLine="600"/>
        <w:rPr>
          <w:rFonts w:ascii="宋体" w:hAnsi="宋体"/>
          <w:sz w:val="30"/>
          <w:szCs w:val="30"/>
        </w:rPr>
      </w:pPr>
      <w:r>
        <w:rPr>
          <w:rFonts w:hint="eastAsia" w:ascii="宋体" w:hAnsi="宋体"/>
          <w:sz w:val="30"/>
          <w:szCs w:val="30"/>
        </w:rPr>
        <w:t>（4） 施工现场周边及其附近道路、河道的施工堆积物，已全部清理；</w:t>
      </w:r>
    </w:p>
    <w:p w14:paraId="3EB2290B">
      <w:pPr>
        <w:ind w:firstLine="600"/>
        <w:rPr>
          <w:rFonts w:ascii="宋体" w:hAnsi="宋体"/>
          <w:sz w:val="30"/>
          <w:szCs w:val="30"/>
        </w:rPr>
      </w:pPr>
      <w:r>
        <w:rPr>
          <w:rFonts w:hint="eastAsia" w:ascii="宋体" w:hAnsi="宋体"/>
          <w:sz w:val="30"/>
          <w:szCs w:val="30"/>
        </w:rPr>
        <w:t>（5） 施工现场其他竣工退场工作已全部完成。</w:t>
      </w:r>
    </w:p>
    <w:p w14:paraId="37886C48">
      <w:pPr>
        <w:ind w:firstLine="600"/>
        <w:rPr>
          <w:rFonts w:ascii="宋体" w:hAnsi="宋体"/>
          <w:sz w:val="30"/>
          <w:szCs w:val="30"/>
        </w:rPr>
      </w:pPr>
      <w:r>
        <w:rPr>
          <w:rFonts w:hint="eastAsia" w:ascii="宋体" w:hAnsi="宋体"/>
          <w:sz w:val="30"/>
          <w:szCs w:val="30"/>
        </w:rPr>
        <w:t>施工现场的竣工退场费用由承包人承担。承包人应在专用合同条件约定的期限内完成竣工退场，逾期未完成的，发包人有权出售或另行处理承包人遗留的物品，由此支出的费用由承包人承担，发包人出售承包人遗留物品所得款项在扣除必要费用后应返还承包人。</w:t>
      </w:r>
    </w:p>
    <w:p w14:paraId="5A7C8DE8">
      <w:pPr>
        <w:pStyle w:val="994"/>
        <w:numPr>
          <w:ilvl w:val="0"/>
          <w:numId w:val="0"/>
        </w:numPr>
        <w:rPr>
          <w:sz w:val="30"/>
          <w:szCs w:val="30"/>
        </w:rPr>
      </w:pPr>
      <w:r>
        <w:rPr>
          <w:rFonts w:hint="eastAsia"/>
          <w:sz w:val="30"/>
          <w:szCs w:val="30"/>
        </w:rPr>
        <w:t>1</w:t>
      </w:r>
      <w:r>
        <w:rPr>
          <w:sz w:val="30"/>
          <w:szCs w:val="30"/>
        </w:rPr>
        <w:t xml:space="preserve">0.5.2 </w:t>
      </w:r>
      <w:r>
        <w:rPr>
          <w:rFonts w:hint="eastAsia"/>
          <w:sz w:val="30"/>
          <w:szCs w:val="30"/>
        </w:rPr>
        <w:t>地表还原</w:t>
      </w:r>
    </w:p>
    <w:p w14:paraId="0C3748B9">
      <w:pPr>
        <w:ind w:firstLine="600"/>
        <w:rPr>
          <w:rFonts w:ascii="宋体" w:hAnsi="宋体"/>
          <w:sz w:val="30"/>
          <w:szCs w:val="30"/>
        </w:rPr>
      </w:pPr>
      <w:r>
        <w:rPr>
          <w:rFonts w:hint="eastAsia" w:ascii="宋体" w:hAnsi="宋体"/>
          <w:sz w:val="30"/>
          <w:szCs w:val="30"/>
        </w:rPr>
        <w:t>承包人应按合同约定和工程师的要求恢复临时占地及清理场地，否则发包人有权委托其他人恢复或清理，所发生的费用由承包人承担。</w:t>
      </w:r>
    </w:p>
    <w:p w14:paraId="00B8E650">
      <w:pPr>
        <w:pStyle w:val="994"/>
        <w:numPr>
          <w:ilvl w:val="0"/>
          <w:numId w:val="0"/>
        </w:numPr>
        <w:rPr>
          <w:sz w:val="30"/>
          <w:szCs w:val="30"/>
        </w:rPr>
      </w:pPr>
      <w:bookmarkStart w:id="443" w:name="_Ref20159437"/>
      <w:r>
        <w:rPr>
          <w:rFonts w:hint="eastAsia"/>
          <w:sz w:val="30"/>
          <w:szCs w:val="30"/>
        </w:rPr>
        <w:t>1</w:t>
      </w:r>
      <w:r>
        <w:rPr>
          <w:sz w:val="30"/>
          <w:szCs w:val="30"/>
        </w:rPr>
        <w:t xml:space="preserve">0.5.3 </w:t>
      </w:r>
      <w:r>
        <w:rPr>
          <w:rFonts w:hint="eastAsia"/>
          <w:sz w:val="30"/>
          <w:szCs w:val="30"/>
        </w:rPr>
        <w:t>人员撤离</w:t>
      </w:r>
      <w:bookmarkEnd w:id="443"/>
    </w:p>
    <w:p w14:paraId="5CF57EE2">
      <w:pPr>
        <w:ind w:firstLine="600"/>
        <w:rPr>
          <w:rFonts w:ascii="宋体" w:hAnsi="宋体"/>
          <w:sz w:val="30"/>
          <w:szCs w:val="30"/>
        </w:rPr>
      </w:pPr>
      <w:r>
        <w:rPr>
          <w:rFonts w:hint="eastAsia" w:ascii="宋体" w:hAnsi="宋体"/>
          <w:sz w:val="30"/>
          <w:szCs w:val="30"/>
        </w:rPr>
        <w:t>除了经工程师同意需在缺陷责任期内继续工作和使用的人员、施工设备和临时工程外，承包人应按专用合同条件约定和工程师的要求将其余的人员、施工设备和临时工程撤离施工现场或拆除。除专用合同条件另有约定外，缺陷责任期满时，承包人的人员和施工设备应全部撤离施工现场。</w:t>
      </w:r>
      <w:bookmarkEnd w:id="327"/>
    </w:p>
    <w:p w14:paraId="1C0E9BC2">
      <w:pPr>
        <w:pStyle w:val="991"/>
        <w:numPr>
          <w:ilvl w:val="0"/>
          <w:numId w:val="0"/>
        </w:numPr>
        <w:wordWrap/>
        <w:topLinePunct w:val="0"/>
        <w:rPr>
          <w:rFonts w:ascii="宋体" w:hAnsi="宋体" w:eastAsia="宋体"/>
          <w:b w:val="0"/>
          <w:kern w:val="2"/>
          <w:sz w:val="30"/>
          <w:szCs w:val="30"/>
        </w:rPr>
      </w:pPr>
      <w:bookmarkStart w:id="444" w:name="_Ref4796906"/>
      <w:bookmarkStart w:id="445" w:name="_Ref531955009"/>
      <w:bookmarkStart w:id="446" w:name="_Ref4796909"/>
      <w:bookmarkStart w:id="447" w:name="_Toc54862269"/>
      <w:r>
        <w:rPr>
          <w:rFonts w:hint="eastAsia" w:ascii="宋体" w:hAnsi="宋体" w:eastAsia="宋体"/>
          <w:b w:val="0"/>
          <w:kern w:val="2"/>
          <w:sz w:val="30"/>
          <w:szCs w:val="30"/>
        </w:rPr>
        <w:t>第1</w:t>
      </w:r>
      <w:r>
        <w:rPr>
          <w:rFonts w:ascii="宋体" w:hAnsi="宋体" w:eastAsia="宋体"/>
          <w:b w:val="0"/>
          <w:kern w:val="2"/>
          <w:sz w:val="30"/>
          <w:szCs w:val="30"/>
        </w:rPr>
        <w:t>1</w:t>
      </w:r>
      <w:r>
        <w:rPr>
          <w:rFonts w:hint="eastAsia" w:ascii="宋体" w:hAnsi="宋体" w:eastAsia="宋体"/>
          <w:b w:val="0"/>
          <w:kern w:val="2"/>
          <w:sz w:val="30"/>
          <w:szCs w:val="30"/>
        </w:rPr>
        <w:t>条 缺陷责任与保修</w:t>
      </w:r>
      <w:bookmarkEnd w:id="444"/>
      <w:bookmarkEnd w:id="445"/>
      <w:bookmarkEnd w:id="446"/>
      <w:bookmarkEnd w:id="447"/>
      <w:r>
        <w:rPr>
          <w:rFonts w:hint="eastAsia" w:ascii="宋体" w:hAnsi="宋体" w:eastAsia="宋体"/>
          <w:b w:val="0"/>
          <w:kern w:val="2"/>
          <w:sz w:val="30"/>
          <w:szCs w:val="30"/>
        </w:rPr>
        <w:t xml:space="preserve"> </w:t>
      </w:r>
    </w:p>
    <w:p w14:paraId="43E6C37A">
      <w:pPr>
        <w:pStyle w:val="969"/>
        <w:widowControl/>
        <w:numPr>
          <w:ilvl w:val="0"/>
          <w:numId w:val="0"/>
        </w:numPr>
        <w:rPr>
          <w:rFonts w:ascii="宋体" w:hAnsi="宋体" w:eastAsia="宋体"/>
          <w:b w:val="0"/>
          <w:sz w:val="30"/>
          <w:szCs w:val="30"/>
        </w:rPr>
      </w:pPr>
      <w:bookmarkStart w:id="448" w:name="_Toc54862270"/>
      <w:bookmarkStart w:id="449" w:name="_Ref531955248"/>
      <w:bookmarkStart w:id="450" w:name="_Ref531955245"/>
      <w:bookmarkStart w:id="451" w:name="_Ref532362928"/>
      <w:bookmarkStart w:id="452" w:name="_Toc296346648"/>
      <w:bookmarkStart w:id="453" w:name="_Toc337558841"/>
      <w:bookmarkStart w:id="454" w:name="_Toc296503147"/>
      <w:r>
        <w:rPr>
          <w:rFonts w:hint="eastAsia" w:ascii="宋体" w:hAnsi="宋体" w:eastAsia="宋体"/>
          <w:b w:val="0"/>
          <w:sz w:val="30"/>
          <w:szCs w:val="30"/>
        </w:rPr>
        <w:t>1</w:t>
      </w:r>
      <w:r>
        <w:rPr>
          <w:rFonts w:ascii="宋体" w:hAnsi="宋体" w:eastAsia="宋体"/>
          <w:b w:val="0"/>
          <w:sz w:val="30"/>
          <w:szCs w:val="30"/>
        </w:rPr>
        <w:t xml:space="preserve">1.1 </w:t>
      </w:r>
      <w:r>
        <w:rPr>
          <w:rFonts w:hint="eastAsia" w:ascii="宋体" w:hAnsi="宋体" w:eastAsia="宋体"/>
          <w:b w:val="0"/>
          <w:sz w:val="30"/>
          <w:szCs w:val="30"/>
        </w:rPr>
        <w:t>工程保修的原则</w:t>
      </w:r>
      <w:bookmarkEnd w:id="448"/>
    </w:p>
    <w:p w14:paraId="3784F822">
      <w:pPr>
        <w:ind w:firstLine="600"/>
        <w:rPr>
          <w:rFonts w:ascii="宋体" w:hAnsi="宋体"/>
          <w:sz w:val="30"/>
          <w:szCs w:val="30"/>
        </w:rPr>
      </w:pPr>
      <w:r>
        <w:rPr>
          <w:rFonts w:hint="eastAsia" w:ascii="宋体" w:hAnsi="宋体"/>
          <w:sz w:val="30"/>
          <w:szCs w:val="30"/>
        </w:rPr>
        <w:t>在工程移交发包人后，因承包人原因产生的质量缺陷，承包人应承担质量缺陷责任和保修义务。缺陷责任期届满，承包人仍应按合同约定的工程各部位保修年限承担保修义务。</w:t>
      </w:r>
    </w:p>
    <w:p w14:paraId="16100AB1">
      <w:pPr>
        <w:pStyle w:val="969"/>
        <w:widowControl/>
        <w:numPr>
          <w:ilvl w:val="0"/>
          <w:numId w:val="0"/>
        </w:numPr>
        <w:rPr>
          <w:rFonts w:ascii="宋体" w:hAnsi="宋体" w:eastAsia="宋体"/>
          <w:b w:val="0"/>
          <w:sz w:val="30"/>
          <w:szCs w:val="30"/>
        </w:rPr>
      </w:pPr>
      <w:bookmarkStart w:id="455" w:name="_Ref4430062"/>
      <w:bookmarkStart w:id="456" w:name="_Toc54862271"/>
      <w:r>
        <w:rPr>
          <w:rFonts w:hint="eastAsia" w:ascii="宋体" w:hAnsi="宋体" w:eastAsia="宋体"/>
          <w:b w:val="0"/>
          <w:sz w:val="30"/>
          <w:szCs w:val="30"/>
        </w:rPr>
        <w:t>1</w:t>
      </w:r>
      <w:r>
        <w:rPr>
          <w:rFonts w:ascii="宋体" w:hAnsi="宋体" w:eastAsia="宋体"/>
          <w:b w:val="0"/>
          <w:sz w:val="30"/>
          <w:szCs w:val="30"/>
        </w:rPr>
        <w:t xml:space="preserve">1.2 </w:t>
      </w:r>
      <w:r>
        <w:rPr>
          <w:rFonts w:hint="eastAsia" w:ascii="宋体" w:hAnsi="宋体" w:eastAsia="宋体"/>
          <w:b w:val="0"/>
          <w:sz w:val="30"/>
          <w:szCs w:val="30"/>
        </w:rPr>
        <w:t>缺陷责任</w:t>
      </w:r>
      <w:bookmarkEnd w:id="449"/>
      <w:bookmarkEnd w:id="450"/>
      <w:r>
        <w:rPr>
          <w:rFonts w:hint="eastAsia" w:ascii="宋体" w:hAnsi="宋体" w:eastAsia="宋体"/>
          <w:b w:val="0"/>
          <w:sz w:val="30"/>
          <w:szCs w:val="30"/>
        </w:rPr>
        <w:t>期</w:t>
      </w:r>
      <w:bookmarkEnd w:id="451"/>
      <w:bookmarkEnd w:id="455"/>
      <w:bookmarkEnd w:id="456"/>
      <w:r>
        <w:rPr>
          <w:rFonts w:hint="eastAsia" w:ascii="宋体" w:hAnsi="宋体" w:eastAsia="宋体"/>
          <w:b w:val="0"/>
          <w:sz w:val="30"/>
          <w:szCs w:val="30"/>
        </w:rPr>
        <w:t xml:space="preserve"> </w:t>
      </w:r>
    </w:p>
    <w:p w14:paraId="2F874765">
      <w:pPr>
        <w:ind w:firstLine="600"/>
        <w:rPr>
          <w:rFonts w:ascii="宋体" w:hAnsi="宋体"/>
          <w:sz w:val="30"/>
          <w:szCs w:val="30"/>
        </w:rPr>
      </w:pPr>
      <w:r>
        <w:rPr>
          <w:rFonts w:hint="eastAsia" w:ascii="宋体" w:hAnsi="宋体"/>
          <w:sz w:val="30"/>
          <w:szCs w:val="30"/>
        </w:rPr>
        <w:t>缺陷责任期原则上从工程竣工验收合格之日起计算，合同当事人应在专用合同条件约定缺陷责任期的具体期限，但该期限最长不超过24个月。</w:t>
      </w:r>
    </w:p>
    <w:p w14:paraId="118E1963">
      <w:pPr>
        <w:ind w:firstLine="600"/>
        <w:rPr>
          <w:rFonts w:ascii="宋体" w:hAnsi="宋体"/>
          <w:sz w:val="30"/>
          <w:szCs w:val="30"/>
        </w:rPr>
      </w:pPr>
      <w:r>
        <w:rPr>
          <w:rFonts w:hint="eastAsia" w:ascii="宋体" w:hAnsi="宋体"/>
          <w:sz w:val="30"/>
          <w:szCs w:val="30"/>
        </w:rPr>
        <w:t>单位/区段工程先于全部工程进行验收，经验收合格并交付使用的，该单位/区段工程缺陷责任期自单位/区段工程验收合格之日起算。因发包人原因导致工程未在合同约定期限进行验收，但工程经验收合格的，以承包人提交竣工验收报告之日起算；因发包人原因导致工程未能进行竣工验收的，在承包人提交竣工验收报告90天后，工程自动进入缺陷责任期；发包人未经竣工验收擅自使用工程的，缺陷责任期自工程转移占有之日起开始计算。</w:t>
      </w:r>
    </w:p>
    <w:p w14:paraId="7A8496CD">
      <w:pPr>
        <w:ind w:firstLine="600"/>
        <w:rPr>
          <w:rFonts w:ascii="宋体" w:hAnsi="宋体"/>
          <w:sz w:val="30"/>
          <w:szCs w:val="30"/>
        </w:rPr>
      </w:pPr>
      <w:r>
        <w:rPr>
          <w:rFonts w:hint="eastAsia" w:ascii="宋体" w:hAnsi="宋体"/>
          <w:sz w:val="30"/>
          <w:szCs w:val="30"/>
        </w:rPr>
        <w:t>由于承包人原因造成某项缺陷或损坏使某项工程或工程设备不能按原定目标使用而需要再次检查、检验和修复的，发包人有权要求承包人延长该项工程或工程设备的缺陷责任期，并应在原缺陷责任期届满前发出延长通知。但缺陷责任期最长不超过24个月。</w:t>
      </w:r>
    </w:p>
    <w:p w14:paraId="0ACE1359">
      <w:pPr>
        <w:pStyle w:val="969"/>
        <w:widowControl/>
        <w:numPr>
          <w:ilvl w:val="0"/>
          <w:numId w:val="0"/>
        </w:numPr>
        <w:rPr>
          <w:rFonts w:ascii="宋体" w:hAnsi="宋体" w:eastAsia="宋体"/>
          <w:b w:val="0"/>
          <w:sz w:val="30"/>
          <w:szCs w:val="30"/>
        </w:rPr>
      </w:pPr>
      <w:bookmarkStart w:id="457" w:name="_Ref532662491"/>
      <w:bookmarkStart w:id="458" w:name="_Ref532662486"/>
      <w:bookmarkStart w:id="459" w:name="_Toc54862272"/>
      <w:r>
        <w:rPr>
          <w:rFonts w:hint="eastAsia" w:ascii="宋体" w:hAnsi="宋体" w:eastAsia="宋体"/>
          <w:b w:val="0"/>
          <w:sz w:val="30"/>
          <w:szCs w:val="30"/>
        </w:rPr>
        <w:t>1</w:t>
      </w:r>
      <w:r>
        <w:rPr>
          <w:rFonts w:ascii="宋体" w:hAnsi="宋体" w:eastAsia="宋体"/>
          <w:b w:val="0"/>
          <w:sz w:val="30"/>
          <w:szCs w:val="30"/>
        </w:rPr>
        <w:t xml:space="preserve">1.3 </w:t>
      </w:r>
      <w:r>
        <w:rPr>
          <w:rFonts w:hint="eastAsia" w:ascii="宋体" w:hAnsi="宋体" w:eastAsia="宋体"/>
          <w:b w:val="0"/>
          <w:sz w:val="30"/>
          <w:szCs w:val="30"/>
        </w:rPr>
        <w:t>缺陷调查</w:t>
      </w:r>
      <w:bookmarkEnd w:id="457"/>
      <w:bookmarkEnd w:id="458"/>
      <w:bookmarkEnd w:id="459"/>
    </w:p>
    <w:p w14:paraId="4E7E7068">
      <w:pPr>
        <w:pStyle w:val="994"/>
        <w:numPr>
          <w:ilvl w:val="0"/>
          <w:numId w:val="0"/>
        </w:numPr>
        <w:rPr>
          <w:sz w:val="30"/>
          <w:szCs w:val="30"/>
        </w:rPr>
      </w:pPr>
      <w:r>
        <w:rPr>
          <w:rFonts w:hint="eastAsia"/>
          <w:sz w:val="30"/>
          <w:szCs w:val="30"/>
        </w:rPr>
        <w:t>1</w:t>
      </w:r>
      <w:r>
        <w:rPr>
          <w:sz w:val="30"/>
          <w:szCs w:val="30"/>
        </w:rPr>
        <w:t xml:space="preserve">1.3.1 </w:t>
      </w:r>
      <w:r>
        <w:rPr>
          <w:rFonts w:hint="eastAsia"/>
          <w:sz w:val="30"/>
          <w:szCs w:val="30"/>
        </w:rPr>
        <w:t>承包人缺陷调查</w:t>
      </w:r>
    </w:p>
    <w:p w14:paraId="3D9F9B4C">
      <w:pPr>
        <w:ind w:firstLine="600"/>
        <w:rPr>
          <w:rFonts w:ascii="宋体" w:hAnsi="宋体"/>
          <w:sz w:val="30"/>
          <w:szCs w:val="30"/>
        </w:rPr>
      </w:pPr>
      <w:r>
        <w:rPr>
          <w:rFonts w:hint="eastAsia" w:ascii="宋体" w:hAnsi="宋体"/>
          <w:sz w:val="30"/>
          <w:szCs w:val="30"/>
        </w:rPr>
        <w:t>如果发包人指示承包人调查任何缺陷的原因，承包人应在发包人的指导下进行调查。承包人应在发包人指示中说明的日期或与发包人达成一致的其他日期开展调查。除非该缺陷应由承包人负责自费进行修补，承包人有权就调查的成本和利润获得支付。</w:t>
      </w:r>
    </w:p>
    <w:p w14:paraId="7127104E">
      <w:pPr>
        <w:ind w:firstLine="600"/>
        <w:rPr>
          <w:rFonts w:ascii="宋体" w:hAnsi="宋体"/>
          <w:sz w:val="30"/>
          <w:szCs w:val="30"/>
        </w:rPr>
      </w:pPr>
      <w:r>
        <w:rPr>
          <w:rFonts w:hint="eastAsia" w:ascii="宋体" w:hAnsi="宋体"/>
          <w:sz w:val="30"/>
          <w:szCs w:val="30"/>
        </w:rPr>
        <w:t>如果承包人未能根据本款开展调查，该调查可由发包人开展。但应将上述调查开展的日期通知承包人，承包人可自费参加调查。如果该缺陷应由承包人自费进行修补，则发包人有权要求承包人支付发包人因调查产生的合理费用。</w:t>
      </w:r>
    </w:p>
    <w:p w14:paraId="7DD0CDEB">
      <w:pPr>
        <w:pStyle w:val="994"/>
        <w:numPr>
          <w:ilvl w:val="0"/>
          <w:numId w:val="0"/>
        </w:numPr>
        <w:rPr>
          <w:sz w:val="30"/>
          <w:szCs w:val="30"/>
        </w:rPr>
      </w:pPr>
      <w:r>
        <w:rPr>
          <w:rFonts w:hint="eastAsia"/>
          <w:sz w:val="30"/>
          <w:szCs w:val="30"/>
        </w:rPr>
        <w:t>1</w:t>
      </w:r>
      <w:r>
        <w:rPr>
          <w:sz w:val="30"/>
          <w:szCs w:val="30"/>
        </w:rPr>
        <w:t xml:space="preserve">1.3.2 </w:t>
      </w:r>
      <w:r>
        <w:rPr>
          <w:rFonts w:hint="eastAsia"/>
          <w:sz w:val="30"/>
          <w:szCs w:val="30"/>
        </w:rPr>
        <w:t>缺陷责任</w:t>
      </w:r>
    </w:p>
    <w:p w14:paraId="324C424B">
      <w:pPr>
        <w:ind w:firstLine="600"/>
        <w:rPr>
          <w:rFonts w:ascii="宋体" w:hAnsi="宋体"/>
          <w:sz w:val="30"/>
          <w:szCs w:val="30"/>
        </w:rPr>
      </w:pPr>
      <w:r>
        <w:rPr>
          <w:rFonts w:hint="eastAsia" w:ascii="宋体" w:hAnsi="宋体"/>
          <w:sz w:val="30"/>
          <w:szCs w:val="30"/>
        </w:rPr>
        <w:t>缺陷责任期内，由承包人原因造成的缺陷，承包人应负责维修，并承担鉴定及维修费用。如承包人不维修也不承担费用，发包人可按合同约定从质量保证金中扣除，费用超出质量保证金金额的，发包人可按合同约定向承包人进行索赔。承包人维修并承担相应费用后，不免除对工程的损失赔偿责任。发包人在使用过程中，发现已修补的缺陷部位或部件还存在质量缺陷的，承包人应负责修复，直至检验合格为止。</w:t>
      </w:r>
    </w:p>
    <w:p w14:paraId="1D4937FF">
      <w:pPr>
        <w:pStyle w:val="994"/>
        <w:numPr>
          <w:ilvl w:val="0"/>
          <w:numId w:val="0"/>
        </w:numPr>
        <w:rPr>
          <w:sz w:val="30"/>
          <w:szCs w:val="30"/>
        </w:rPr>
      </w:pPr>
      <w:r>
        <w:rPr>
          <w:rFonts w:hint="eastAsia"/>
          <w:sz w:val="30"/>
          <w:szCs w:val="30"/>
        </w:rPr>
        <w:t>1</w:t>
      </w:r>
      <w:r>
        <w:rPr>
          <w:sz w:val="30"/>
          <w:szCs w:val="30"/>
        </w:rPr>
        <w:t xml:space="preserve">1.3.3 </w:t>
      </w:r>
      <w:r>
        <w:rPr>
          <w:rFonts w:hint="eastAsia"/>
          <w:sz w:val="30"/>
          <w:szCs w:val="30"/>
        </w:rPr>
        <w:t>修复费用</w:t>
      </w:r>
    </w:p>
    <w:p w14:paraId="5F74A156">
      <w:pPr>
        <w:ind w:firstLine="600"/>
        <w:rPr>
          <w:rFonts w:ascii="宋体" w:hAnsi="宋体"/>
          <w:sz w:val="30"/>
          <w:szCs w:val="30"/>
        </w:rPr>
      </w:pPr>
      <w:r>
        <w:rPr>
          <w:rFonts w:hint="eastAsia" w:ascii="宋体" w:hAnsi="宋体"/>
          <w:sz w:val="30"/>
          <w:szCs w:val="30"/>
        </w:rPr>
        <w:t>发包人和承包人应共同查清缺陷或损坏的原因。经查明属承包人原因造成的，应由承包人承担修复的费用。经查验非承包人原因造成的，发包人应承担修复的费用，并支付承包人合理利润。</w:t>
      </w:r>
    </w:p>
    <w:p w14:paraId="5AD1DE06">
      <w:pPr>
        <w:pStyle w:val="994"/>
        <w:numPr>
          <w:ilvl w:val="0"/>
          <w:numId w:val="0"/>
        </w:numPr>
        <w:rPr>
          <w:sz w:val="30"/>
          <w:szCs w:val="30"/>
        </w:rPr>
      </w:pPr>
      <w:bookmarkStart w:id="460" w:name="_Ref531955041"/>
      <w:r>
        <w:rPr>
          <w:rFonts w:hint="eastAsia"/>
          <w:sz w:val="30"/>
          <w:szCs w:val="30"/>
        </w:rPr>
        <w:t>1</w:t>
      </w:r>
      <w:r>
        <w:rPr>
          <w:sz w:val="30"/>
          <w:szCs w:val="30"/>
        </w:rPr>
        <w:t xml:space="preserve">1.3.4 </w:t>
      </w:r>
      <w:r>
        <w:rPr>
          <w:rFonts w:hint="eastAsia"/>
          <w:sz w:val="30"/>
          <w:szCs w:val="30"/>
        </w:rPr>
        <w:t>修复通知</w:t>
      </w:r>
      <w:bookmarkEnd w:id="460"/>
    </w:p>
    <w:p w14:paraId="0462FE37">
      <w:pPr>
        <w:ind w:firstLine="600"/>
        <w:rPr>
          <w:rFonts w:ascii="宋体" w:hAnsi="宋体"/>
          <w:sz w:val="30"/>
          <w:szCs w:val="30"/>
        </w:rPr>
      </w:pPr>
      <w:r>
        <w:rPr>
          <w:rFonts w:hint="eastAsia" w:ascii="宋体" w:hAnsi="宋体"/>
          <w:sz w:val="30"/>
          <w:szCs w:val="30"/>
        </w:rPr>
        <w:t>在缺陷责任期内，发包人在使用过程中，发现已接收的工程存在缺陷或损坏的，应书面通知承包人予以修复，但情况紧急必须立即修复缺陷或损坏的，发包人可以口头通知承包人并在口头通知后48小时内书面确认，承包人应在专用合同条件约定的合理期限内到达工程现场并修复缺陷或损坏。</w:t>
      </w:r>
    </w:p>
    <w:p w14:paraId="5C0CA514">
      <w:pPr>
        <w:pStyle w:val="994"/>
        <w:numPr>
          <w:ilvl w:val="0"/>
          <w:numId w:val="0"/>
        </w:numPr>
        <w:rPr>
          <w:sz w:val="30"/>
          <w:szCs w:val="30"/>
        </w:rPr>
      </w:pPr>
      <w:r>
        <w:rPr>
          <w:rFonts w:hint="eastAsia"/>
          <w:sz w:val="30"/>
          <w:szCs w:val="30"/>
        </w:rPr>
        <w:t>1</w:t>
      </w:r>
      <w:r>
        <w:rPr>
          <w:sz w:val="30"/>
          <w:szCs w:val="30"/>
        </w:rPr>
        <w:t xml:space="preserve">1.3.5 </w:t>
      </w:r>
      <w:r>
        <w:rPr>
          <w:rFonts w:hint="eastAsia"/>
          <w:sz w:val="30"/>
          <w:szCs w:val="30"/>
        </w:rPr>
        <w:t>在现场外修复</w:t>
      </w:r>
    </w:p>
    <w:p w14:paraId="56AA9F1A">
      <w:pPr>
        <w:ind w:firstLine="600"/>
        <w:rPr>
          <w:rFonts w:ascii="宋体" w:hAnsi="宋体"/>
          <w:sz w:val="30"/>
          <w:szCs w:val="30"/>
        </w:rPr>
      </w:pPr>
      <w:r>
        <w:rPr>
          <w:rFonts w:hint="eastAsia" w:ascii="宋体" w:hAnsi="宋体"/>
          <w:sz w:val="30"/>
          <w:szCs w:val="30"/>
        </w:rPr>
        <w:t>在缺陷责任期内，承包人认为设备中的缺陷或损害不能在现场得到迅速修复，承包人应当向发包人发出通知，请求发包人同意把这些有缺陷或者损害的设备移出现场进行修复，通知应当注明有缺陷或者损害的设备及维修的相关内容，发包人可要求承包人按移出设备的全部重置成本增加质量保证金的数额。</w:t>
      </w:r>
    </w:p>
    <w:p w14:paraId="7AF92DFF">
      <w:pPr>
        <w:pStyle w:val="994"/>
        <w:numPr>
          <w:ilvl w:val="0"/>
          <w:numId w:val="0"/>
        </w:numPr>
        <w:rPr>
          <w:sz w:val="30"/>
          <w:szCs w:val="30"/>
        </w:rPr>
      </w:pPr>
      <w:bookmarkStart w:id="461" w:name="_Ref4534291"/>
      <w:bookmarkStart w:id="462" w:name="_Hlk51506786"/>
      <w:r>
        <w:rPr>
          <w:rFonts w:hint="eastAsia"/>
          <w:sz w:val="30"/>
          <w:szCs w:val="30"/>
        </w:rPr>
        <w:t>1</w:t>
      </w:r>
      <w:r>
        <w:rPr>
          <w:sz w:val="30"/>
          <w:szCs w:val="30"/>
        </w:rPr>
        <w:t xml:space="preserve">1.3.6 </w:t>
      </w:r>
      <w:r>
        <w:rPr>
          <w:rFonts w:hint="eastAsia"/>
          <w:sz w:val="30"/>
          <w:szCs w:val="30"/>
        </w:rPr>
        <w:t>未能修复</w:t>
      </w:r>
      <w:bookmarkEnd w:id="461"/>
    </w:p>
    <w:bookmarkEnd w:id="462"/>
    <w:p w14:paraId="70B8E811">
      <w:pPr>
        <w:ind w:firstLine="600"/>
        <w:rPr>
          <w:rFonts w:ascii="宋体" w:hAnsi="宋体"/>
          <w:sz w:val="30"/>
          <w:szCs w:val="30"/>
        </w:rPr>
      </w:pPr>
      <w:r>
        <w:rPr>
          <w:rFonts w:hint="eastAsia" w:ascii="宋体" w:hAnsi="宋体"/>
          <w:sz w:val="30"/>
          <w:szCs w:val="30"/>
        </w:rPr>
        <w:t>因承包人原因造成工程的缺陷或损坏，承包人拒绝维修或未能在合理期限内修复缺陷或损坏，且经发包人书面催告后仍未修复的，发包人有权自行修复或委托第三方修复，所需费用由承包人承担。但修复范围超出缺陷或损坏范围的，超出范围部分的修复费用由发包人承担。</w:t>
      </w:r>
    </w:p>
    <w:p w14:paraId="0E3186EC">
      <w:pPr>
        <w:ind w:firstLine="600"/>
        <w:rPr>
          <w:rFonts w:ascii="宋体" w:hAnsi="宋体"/>
          <w:sz w:val="30"/>
          <w:szCs w:val="30"/>
        </w:rPr>
      </w:pPr>
      <w:r>
        <w:rPr>
          <w:rFonts w:hint="eastAsia" w:ascii="宋体" w:hAnsi="宋体"/>
          <w:sz w:val="30"/>
          <w:szCs w:val="30"/>
        </w:rPr>
        <w:t>如果工程或工程设备的缺陷或损害使发包人实质上失去了工程的整体功能，发包人有权向承包人追回已支付的工程款项，并要求其赔偿发包人相应损失。</w:t>
      </w:r>
    </w:p>
    <w:bookmarkEnd w:id="452"/>
    <w:bookmarkEnd w:id="453"/>
    <w:bookmarkEnd w:id="454"/>
    <w:p w14:paraId="60F180F0">
      <w:pPr>
        <w:pStyle w:val="969"/>
        <w:widowControl/>
        <w:numPr>
          <w:ilvl w:val="0"/>
          <w:numId w:val="0"/>
        </w:numPr>
        <w:rPr>
          <w:rFonts w:ascii="宋体" w:hAnsi="宋体" w:eastAsia="宋体"/>
          <w:b w:val="0"/>
          <w:sz w:val="30"/>
          <w:szCs w:val="30"/>
        </w:rPr>
      </w:pPr>
      <w:bookmarkStart w:id="463" w:name="_Ref532662554"/>
      <w:bookmarkStart w:id="464" w:name="_Toc54862273"/>
      <w:bookmarkStart w:id="465" w:name="_Ref532662552"/>
      <w:r>
        <w:rPr>
          <w:rFonts w:hint="eastAsia" w:ascii="宋体" w:hAnsi="宋体" w:eastAsia="宋体"/>
          <w:b w:val="0"/>
          <w:sz w:val="30"/>
          <w:szCs w:val="30"/>
        </w:rPr>
        <w:t>1</w:t>
      </w:r>
      <w:r>
        <w:rPr>
          <w:rFonts w:ascii="宋体" w:hAnsi="宋体" w:eastAsia="宋体"/>
          <w:b w:val="0"/>
          <w:sz w:val="30"/>
          <w:szCs w:val="30"/>
        </w:rPr>
        <w:t xml:space="preserve">1.4 </w:t>
      </w:r>
      <w:r>
        <w:rPr>
          <w:rFonts w:hint="eastAsia" w:ascii="宋体" w:hAnsi="宋体" w:eastAsia="宋体"/>
          <w:b w:val="0"/>
          <w:sz w:val="30"/>
          <w:szCs w:val="30"/>
        </w:rPr>
        <w:t>缺陷修复后的进一步试验</w:t>
      </w:r>
      <w:bookmarkEnd w:id="463"/>
      <w:bookmarkEnd w:id="464"/>
      <w:bookmarkEnd w:id="465"/>
    </w:p>
    <w:p w14:paraId="6BE832C8">
      <w:pPr>
        <w:ind w:firstLine="600"/>
        <w:rPr>
          <w:rFonts w:ascii="宋体" w:hAnsi="宋体"/>
          <w:sz w:val="30"/>
          <w:szCs w:val="30"/>
        </w:rPr>
      </w:pPr>
      <w:r>
        <w:rPr>
          <w:rFonts w:hint="eastAsia" w:ascii="宋体" w:hAnsi="宋体"/>
          <w:sz w:val="30"/>
          <w:szCs w:val="30"/>
        </w:rPr>
        <w:t>任何一项缺陷修补后的7天内，承包人应向发包人发出通知，告知已修补的情况。如根据第</w:t>
      </w:r>
      <w:r>
        <w:rPr>
          <w:rFonts w:ascii="宋体" w:hAnsi="宋体"/>
          <w:sz w:val="30"/>
          <w:szCs w:val="30"/>
        </w:rPr>
        <w:t>9条</w:t>
      </w:r>
      <w:r>
        <w:rPr>
          <w:rFonts w:hint="eastAsia" w:ascii="宋体" w:hAnsi="宋体"/>
          <w:sz w:val="30"/>
          <w:szCs w:val="30"/>
        </w:rPr>
        <w:t>[竣工试验]或第</w:t>
      </w:r>
      <w:r>
        <w:rPr>
          <w:rFonts w:ascii="宋体" w:hAnsi="宋体"/>
          <w:sz w:val="30"/>
          <w:szCs w:val="30"/>
        </w:rPr>
        <w:t>12条</w:t>
      </w:r>
      <w:r>
        <w:rPr>
          <w:rFonts w:hint="eastAsia" w:ascii="宋体" w:hAnsi="宋体"/>
          <w:sz w:val="30"/>
          <w:szCs w:val="30"/>
        </w:rPr>
        <w:t>[</w:t>
      </w:r>
      <w:r>
        <w:rPr>
          <w:rFonts w:ascii="宋体" w:hAnsi="宋体"/>
          <w:sz w:val="30"/>
          <w:szCs w:val="30"/>
        </w:rPr>
        <w:t>竣工后试验</w:t>
      </w:r>
      <w:r>
        <w:rPr>
          <w:rFonts w:hint="eastAsia" w:ascii="宋体" w:hAnsi="宋体"/>
          <w:sz w:val="30"/>
          <w:szCs w:val="30"/>
        </w:rPr>
        <w:t>]的规定适用重新试验的，还应建议重新试验。发包人应在收到重新试验的通知后14天内答复，逾期未进行答复的视为同意重新试验。承包人未建议重新试验的，发包人也可在缺陷修补后的14天内指示进行必要的重新试验，以证明已修复的部分符合合同要求。</w:t>
      </w:r>
    </w:p>
    <w:p w14:paraId="7F013EE1">
      <w:pPr>
        <w:ind w:firstLine="600"/>
        <w:rPr>
          <w:rFonts w:ascii="宋体" w:hAnsi="宋体"/>
          <w:sz w:val="30"/>
          <w:szCs w:val="30"/>
        </w:rPr>
      </w:pPr>
      <w:r>
        <w:rPr>
          <w:rFonts w:hint="eastAsia" w:ascii="宋体" w:hAnsi="宋体"/>
          <w:sz w:val="30"/>
          <w:szCs w:val="30"/>
        </w:rPr>
        <w:t>所有的重复试验应按照适用于先前试验的条款进行，但应由责任方承担修补工作的成本和重新试验的风险和费用。</w:t>
      </w:r>
    </w:p>
    <w:p w14:paraId="12308B1D">
      <w:pPr>
        <w:pStyle w:val="969"/>
        <w:widowControl/>
        <w:numPr>
          <w:ilvl w:val="0"/>
          <w:numId w:val="0"/>
        </w:numPr>
        <w:rPr>
          <w:rFonts w:ascii="宋体" w:hAnsi="宋体" w:eastAsia="宋体"/>
          <w:b w:val="0"/>
          <w:sz w:val="30"/>
          <w:szCs w:val="30"/>
        </w:rPr>
      </w:pPr>
      <w:bookmarkStart w:id="466" w:name="_Toc54862274"/>
      <w:r>
        <w:rPr>
          <w:rFonts w:hint="eastAsia" w:ascii="宋体" w:hAnsi="宋体" w:eastAsia="宋体"/>
          <w:b w:val="0"/>
          <w:sz w:val="30"/>
          <w:szCs w:val="30"/>
        </w:rPr>
        <w:t>1</w:t>
      </w:r>
      <w:r>
        <w:rPr>
          <w:rFonts w:ascii="宋体" w:hAnsi="宋体" w:eastAsia="宋体"/>
          <w:b w:val="0"/>
          <w:sz w:val="30"/>
          <w:szCs w:val="30"/>
        </w:rPr>
        <w:t xml:space="preserve">1.5 </w:t>
      </w:r>
      <w:r>
        <w:rPr>
          <w:rFonts w:hint="eastAsia" w:ascii="宋体" w:hAnsi="宋体" w:eastAsia="宋体"/>
          <w:b w:val="0"/>
          <w:sz w:val="30"/>
          <w:szCs w:val="30"/>
        </w:rPr>
        <w:t>承包人出入权</w:t>
      </w:r>
      <w:bookmarkEnd w:id="466"/>
    </w:p>
    <w:p w14:paraId="6DFB9239">
      <w:pPr>
        <w:ind w:firstLine="600"/>
        <w:rPr>
          <w:rFonts w:ascii="宋体" w:hAnsi="宋体"/>
          <w:sz w:val="30"/>
          <w:szCs w:val="30"/>
        </w:rPr>
      </w:pPr>
      <w:r>
        <w:rPr>
          <w:rFonts w:hint="eastAsia" w:ascii="宋体" w:hAnsi="宋体"/>
          <w:sz w:val="30"/>
          <w:szCs w:val="30"/>
        </w:rPr>
        <w:t>在缺陷责任期内，为了修复缺陷或损坏，承包人有权出入工程现场，除情况紧急必须立即修复缺陷或损坏外，承包人应提前24小时通知发包人进场修复的时间。承包人进入工程现场前应获得发包人同意，且不应影响发包人正常的生产经营，并应遵守发包人有关安保和保密等规定。</w:t>
      </w:r>
    </w:p>
    <w:p w14:paraId="1EC2EE32">
      <w:pPr>
        <w:pStyle w:val="969"/>
        <w:widowControl/>
        <w:numPr>
          <w:ilvl w:val="0"/>
          <w:numId w:val="0"/>
        </w:numPr>
        <w:rPr>
          <w:rFonts w:ascii="宋体" w:hAnsi="宋体" w:eastAsia="宋体"/>
          <w:b w:val="0"/>
          <w:sz w:val="30"/>
          <w:szCs w:val="30"/>
        </w:rPr>
      </w:pPr>
      <w:bookmarkStart w:id="467" w:name="_Ref4430223"/>
      <w:bookmarkStart w:id="468" w:name="_Toc54862275"/>
      <w:bookmarkStart w:id="469" w:name="_Ref4430229"/>
      <w:r>
        <w:rPr>
          <w:rFonts w:hint="eastAsia" w:ascii="宋体" w:hAnsi="宋体" w:eastAsia="宋体"/>
          <w:b w:val="0"/>
          <w:sz w:val="30"/>
          <w:szCs w:val="30"/>
        </w:rPr>
        <w:t>1</w:t>
      </w:r>
      <w:r>
        <w:rPr>
          <w:rFonts w:ascii="宋体" w:hAnsi="宋体" w:eastAsia="宋体"/>
          <w:b w:val="0"/>
          <w:sz w:val="30"/>
          <w:szCs w:val="30"/>
        </w:rPr>
        <w:t xml:space="preserve">1.6 </w:t>
      </w:r>
      <w:r>
        <w:rPr>
          <w:rFonts w:hint="eastAsia" w:ascii="宋体" w:hAnsi="宋体" w:eastAsia="宋体"/>
          <w:b w:val="0"/>
          <w:sz w:val="30"/>
          <w:szCs w:val="30"/>
        </w:rPr>
        <w:t>缺陷责任期终止证书</w:t>
      </w:r>
      <w:bookmarkEnd w:id="467"/>
      <w:bookmarkEnd w:id="468"/>
      <w:bookmarkEnd w:id="469"/>
    </w:p>
    <w:p w14:paraId="44DB1E3D">
      <w:pPr>
        <w:ind w:firstLine="600"/>
        <w:rPr>
          <w:rFonts w:ascii="宋体" w:hAnsi="宋体"/>
          <w:sz w:val="30"/>
          <w:szCs w:val="30"/>
        </w:rPr>
      </w:pPr>
      <w:r>
        <w:rPr>
          <w:rFonts w:hint="eastAsia" w:ascii="宋体" w:hAnsi="宋体"/>
          <w:sz w:val="30"/>
          <w:szCs w:val="30"/>
        </w:rPr>
        <w:t>除专用合同条件另有约定外，</w:t>
      </w:r>
      <w:bookmarkStart w:id="470" w:name="_Hlk4686672"/>
      <w:r>
        <w:rPr>
          <w:rFonts w:hint="eastAsia" w:ascii="宋体" w:hAnsi="宋体"/>
          <w:sz w:val="30"/>
          <w:szCs w:val="30"/>
        </w:rPr>
        <w:t>承包人应于缺陷责任期届满前7天内向发包人发出缺陷责任期即将届满通知，发包人应在收到通知后</w:t>
      </w:r>
      <w:r>
        <w:rPr>
          <w:rFonts w:ascii="宋体" w:hAnsi="宋体"/>
          <w:sz w:val="30"/>
          <w:szCs w:val="30"/>
        </w:rPr>
        <w:t>7</w:t>
      </w:r>
      <w:r>
        <w:rPr>
          <w:rFonts w:hint="eastAsia" w:ascii="宋体" w:hAnsi="宋体"/>
          <w:sz w:val="30"/>
          <w:szCs w:val="30"/>
        </w:rPr>
        <w:t>天内核实承包人是否履行缺陷修复义务，承包人未能履行缺陷修复义务的，发包人有权扣除相应金额的维修费用。发包人应在缺陷责任期届满之日，向承包人颁发缺陷责任期终止证书，并按第</w:t>
      </w:r>
      <w:r>
        <w:rPr>
          <w:rFonts w:ascii="宋体" w:hAnsi="宋体"/>
          <w:sz w:val="30"/>
          <w:szCs w:val="30"/>
        </w:rPr>
        <w:t>14.6.3</w:t>
      </w:r>
      <w:r>
        <w:rPr>
          <w:rFonts w:hint="eastAsia" w:ascii="宋体" w:hAnsi="宋体"/>
          <w:sz w:val="30"/>
          <w:szCs w:val="30"/>
        </w:rPr>
        <w:t>项[质量保证金的返还]返还质量保证金。</w:t>
      </w:r>
      <w:bookmarkEnd w:id="470"/>
    </w:p>
    <w:p w14:paraId="7BF0DF00">
      <w:pPr>
        <w:ind w:firstLine="600"/>
        <w:rPr>
          <w:rFonts w:ascii="宋体" w:hAnsi="宋体"/>
          <w:sz w:val="30"/>
          <w:szCs w:val="30"/>
        </w:rPr>
      </w:pPr>
      <w:r>
        <w:rPr>
          <w:rFonts w:hint="eastAsia" w:ascii="宋体" w:hAnsi="宋体"/>
          <w:sz w:val="30"/>
          <w:szCs w:val="30"/>
        </w:rPr>
        <w:t>如根据第</w:t>
      </w:r>
      <w:r>
        <w:rPr>
          <w:rFonts w:ascii="宋体" w:hAnsi="宋体"/>
          <w:sz w:val="30"/>
          <w:szCs w:val="30"/>
        </w:rPr>
        <w:t>10.5.3</w:t>
      </w:r>
      <w:r>
        <w:rPr>
          <w:rFonts w:hint="eastAsia" w:ascii="宋体" w:hAnsi="宋体"/>
          <w:sz w:val="30"/>
          <w:szCs w:val="30"/>
        </w:rPr>
        <w:t>项[人员撤离]承包人在施工现场还留有人员、施工设备和临时工程的，承包人应当在收到缺陷责任期终止证书后28天内，将上述人员、施工设备和临时工程撤离施工现场。</w:t>
      </w:r>
    </w:p>
    <w:p w14:paraId="6C301184">
      <w:pPr>
        <w:pStyle w:val="969"/>
        <w:widowControl/>
        <w:numPr>
          <w:ilvl w:val="0"/>
          <w:numId w:val="0"/>
        </w:numPr>
        <w:rPr>
          <w:rFonts w:ascii="宋体" w:hAnsi="宋体" w:eastAsia="宋体"/>
          <w:b w:val="0"/>
          <w:sz w:val="30"/>
          <w:szCs w:val="30"/>
        </w:rPr>
      </w:pPr>
      <w:bookmarkStart w:id="471" w:name="_Ref4430272"/>
      <w:bookmarkStart w:id="472" w:name="_Toc54862276"/>
      <w:r>
        <w:rPr>
          <w:rFonts w:hint="eastAsia" w:ascii="宋体" w:hAnsi="宋体" w:eastAsia="宋体"/>
          <w:b w:val="0"/>
          <w:sz w:val="30"/>
          <w:szCs w:val="30"/>
        </w:rPr>
        <w:t>1</w:t>
      </w:r>
      <w:r>
        <w:rPr>
          <w:rFonts w:ascii="宋体" w:hAnsi="宋体" w:eastAsia="宋体"/>
          <w:b w:val="0"/>
          <w:sz w:val="30"/>
          <w:szCs w:val="30"/>
        </w:rPr>
        <w:t xml:space="preserve">1.7 </w:t>
      </w:r>
      <w:r>
        <w:rPr>
          <w:rFonts w:hint="eastAsia" w:ascii="宋体" w:hAnsi="宋体" w:eastAsia="宋体"/>
          <w:b w:val="0"/>
          <w:sz w:val="30"/>
          <w:szCs w:val="30"/>
        </w:rPr>
        <w:t>保修责任</w:t>
      </w:r>
      <w:bookmarkEnd w:id="471"/>
      <w:bookmarkEnd w:id="472"/>
    </w:p>
    <w:p w14:paraId="23B2FAC2">
      <w:pPr>
        <w:ind w:firstLine="600"/>
        <w:rPr>
          <w:rFonts w:ascii="宋体" w:hAnsi="宋体"/>
          <w:sz w:val="30"/>
          <w:szCs w:val="30"/>
        </w:rPr>
      </w:pPr>
      <w:r>
        <w:rPr>
          <w:rFonts w:hint="eastAsia" w:ascii="宋体" w:hAnsi="宋体"/>
          <w:sz w:val="30"/>
          <w:szCs w:val="30"/>
        </w:rPr>
        <w:t>因承包人原因导致的质量缺陷责任，由合同当事人根据有关法律规定，在专用合同条件和工程质量保修书中约定工程质量保修范围、期限和责任。</w:t>
      </w:r>
      <w:bookmarkEnd w:id="319"/>
      <w:bookmarkStart w:id="473" w:name="_Ref531957860"/>
      <w:bookmarkStart w:id="474" w:name="_Ref531958289"/>
    </w:p>
    <w:bookmarkEnd w:id="473"/>
    <w:p w14:paraId="44348112">
      <w:pPr>
        <w:pStyle w:val="991"/>
        <w:numPr>
          <w:ilvl w:val="0"/>
          <w:numId w:val="0"/>
        </w:numPr>
        <w:wordWrap/>
        <w:topLinePunct w:val="0"/>
        <w:rPr>
          <w:rFonts w:ascii="宋体" w:hAnsi="宋体" w:eastAsia="宋体"/>
          <w:b w:val="0"/>
          <w:kern w:val="2"/>
          <w:sz w:val="30"/>
          <w:szCs w:val="30"/>
        </w:rPr>
      </w:pPr>
      <w:bookmarkStart w:id="475" w:name="_Ref4621057"/>
      <w:bookmarkStart w:id="476" w:name="_Ref4621065"/>
      <w:bookmarkStart w:id="477" w:name="_Toc54862277"/>
      <w:bookmarkStart w:id="478" w:name="_Ref4796955"/>
      <w:bookmarkStart w:id="479" w:name="_Ref4796958"/>
      <w:r>
        <w:rPr>
          <w:rFonts w:hint="eastAsia" w:ascii="宋体" w:hAnsi="宋体" w:eastAsia="宋体"/>
          <w:b w:val="0"/>
          <w:kern w:val="2"/>
          <w:sz w:val="30"/>
          <w:szCs w:val="30"/>
        </w:rPr>
        <w:t>第1</w:t>
      </w:r>
      <w:r>
        <w:rPr>
          <w:rFonts w:ascii="宋体" w:hAnsi="宋体" w:eastAsia="宋体"/>
          <w:b w:val="0"/>
          <w:kern w:val="2"/>
          <w:sz w:val="30"/>
          <w:szCs w:val="30"/>
        </w:rPr>
        <w:t>2</w:t>
      </w:r>
      <w:r>
        <w:rPr>
          <w:rFonts w:hint="eastAsia" w:ascii="宋体" w:hAnsi="宋体" w:eastAsia="宋体"/>
          <w:b w:val="0"/>
          <w:kern w:val="2"/>
          <w:sz w:val="30"/>
          <w:szCs w:val="30"/>
        </w:rPr>
        <w:t>条 竣工后试验</w:t>
      </w:r>
      <w:bookmarkEnd w:id="475"/>
      <w:bookmarkEnd w:id="476"/>
      <w:bookmarkEnd w:id="477"/>
    </w:p>
    <w:p w14:paraId="43EE4414">
      <w:pPr>
        <w:ind w:firstLine="600"/>
        <w:rPr>
          <w:rFonts w:ascii="宋体" w:hAnsi="宋体"/>
          <w:sz w:val="30"/>
          <w:szCs w:val="30"/>
        </w:rPr>
      </w:pPr>
      <w:r>
        <w:rPr>
          <w:rFonts w:hint="eastAsia" w:ascii="宋体" w:hAnsi="宋体"/>
          <w:sz w:val="30"/>
          <w:szCs w:val="30"/>
        </w:rPr>
        <w:t>本合同工程包含竣工后试验的，遵守本条约定。</w:t>
      </w:r>
    </w:p>
    <w:p w14:paraId="0AF37C2B">
      <w:pPr>
        <w:pStyle w:val="969"/>
        <w:widowControl/>
        <w:numPr>
          <w:ilvl w:val="0"/>
          <w:numId w:val="0"/>
        </w:numPr>
        <w:rPr>
          <w:rFonts w:ascii="宋体" w:hAnsi="宋体" w:eastAsia="宋体"/>
          <w:b w:val="0"/>
          <w:sz w:val="30"/>
          <w:szCs w:val="30"/>
        </w:rPr>
      </w:pPr>
      <w:bookmarkStart w:id="480" w:name="_Ref531954601"/>
      <w:bookmarkStart w:id="481" w:name="_Ref531954604"/>
      <w:bookmarkStart w:id="482" w:name="_Ref531954694"/>
      <w:bookmarkStart w:id="483" w:name="_Toc54862278"/>
      <w:bookmarkStart w:id="484" w:name="_Hlk522259976"/>
      <w:r>
        <w:rPr>
          <w:rFonts w:hint="eastAsia" w:ascii="宋体" w:hAnsi="宋体" w:eastAsia="宋体"/>
          <w:b w:val="0"/>
          <w:sz w:val="30"/>
          <w:szCs w:val="30"/>
        </w:rPr>
        <w:t>1</w:t>
      </w:r>
      <w:r>
        <w:rPr>
          <w:rFonts w:ascii="宋体" w:hAnsi="宋体" w:eastAsia="宋体"/>
          <w:b w:val="0"/>
          <w:sz w:val="30"/>
          <w:szCs w:val="30"/>
        </w:rPr>
        <w:t xml:space="preserve">2.1 </w:t>
      </w:r>
      <w:r>
        <w:rPr>
          <w:rFonts w:hint="eastAsia" w:ascii="宋体" w:hAnsi="宋体" w:eastAsia="宋体"/>
          <w:b w:val="0"/>
          <w:sz w:val="30"/>
          <w:szCs w:val="30"/>
        </w:rPr>
        <w:t>竣工后试验</w:t>
      </w:r>
      <w:bookmarkEnd w:id="480"/>
      <w:bookmarkEnd w:id="481"/>
      <w:r>
        <w:rPr>
          <w:rFonts w:hint="eastAsia" w:ascii="宋体" w:hAnsi="宋体" w:eastAsia="宋体"/>
          <w:b w:val="0"/>
          <w:sz w:val="30"/>
          <w:szCs w:val="30"/>
        </w:rPr>
        <w:t>的程序</w:t>
      </w:r>
      <w:bookmarkEnd w:id="482"/>
      <w:bookmarkEnd w:id="483"/>
    </w:p>
    <w:p w14:paraId="0D488768">
      <w:pPr>
        <w:pStyle w:val="994"/>
        <w:numPr>
          <w:ilvl w:val="0"/>
          <w:numId w:val="0"/>
        </w:numPr>
        <w:rPr>
          <w:sz w:val="30"/>
          <w:szCs w:val="30"/>
        </w:rPr>
      </w:pPr>
      <w:bookmarkStart w:id="485" w:name="_Ref11920184"/>
      <w:r>
        <w:rPr>
          <w:rFonts w:hint="eastAsia"/>
          <w:sz w:val="30"/>
          <w:szCs w:val="30"/>
        </w:rPr>
        <w:t>1</w:t>
      </w:r>
      <w:r>
        <w:rPr>
          <w:sz w:val="30"/>
          <w:szCs w:val="30"/>
        </w:rPr>
        <w:t xml:space="preserve">2.1.1 </w:t>
      </w:r>
      <w:r>
        <w:rPr>
          <w:rFonts w:hint="eastAsia"/>
          <w:sz w:val="30"/>
          <w:szCs w:val="30"/>
        </w:rPr>
        <w:t>工程或区段工程被发包人接收后，在合理可行的情况下应根据合同约定尽早进行竣工后试验。</w:t>
      </w:r>
      <w:bookmarkEnd w:id="485"/>
    </w:p>
    <w:p w14:paraId="78681333">
      <w:pPr>
        <w:pStyle w:val="994"/>
        <w:numPr>
          <w:ilvl w:val="0"/>
          <w:numId w:val="0"/>
        </w:numPr>
        <w:rPr>
          <w:sz w:val="30"/>
          <w:szCs w:val="30"/>
        </w:rPr>
      </w:pPr>
      <w:r>
        <w:rPr>
          <w:rFonts w:hint="eastAsia"/>
          <w:sz w:val="30"/>
          <w:szCs w:val="30"/>
        </w:rPr>
        <w:t>1</w:t>
      </w:r>
      <w:r>
        <w:rPr>
          <w:sz w:val="30"/>
          <w:szCs w:val="30"/>
        </w:rPr>
        <w:t xml:space="preserve">2.1.2 </w:t>
      </w:r>
      <w:r>
        <w:rPr>
          <w:rFonts w:hint="eastAsia"/>
          <w:sz w:val="30"/>
          <w:szCs w:val="30"/>
        </w:rPr>
        <w:t>除专用合同条件另有约定外，发包人应提供全部电力、水、污水处理、燃料、消耗品和材料，以及全部其他仪器、协助、文件或其他信息、设备、工具、劳力，启动工程设备，并组织安排有适当资质、经验和能力的工作人员实施竣工后试验。</w:t>
      </w:r>
    </w:p>
    <w:p w14:paraId="353706B3">
      <w:pPr>
        <w:pStyle w:val="994"/>
        <w:numPr>
          <w:ilvl w:val="0"/>
          <w:numId w:val="0"/>
        </w:numPr>
        <w:rPr>
          <w:sz w:val="30"/>
          <w:szCs w:val="30"/>
        </w:rPr>
      </w:pPr>
      <w:bookmarkStart w:id="486" w:name="_Ref11920162"/>
      <w:r>
        <w:rPr>
          <w:rFonts w:hint="eastAsia"/>
          <w:sz w:val="30"/>
          <w:szCs w:val="30"/>
        </w:rPr>
        <w:t>1</w:t>
      </w:r>
      <w:r>
        <w:rPr>
          <w:sz w:val="30"/>
          <w:szCs w:val="30"/>
        </w:rPr>
        <w:t xml:space="preserve">2.1.3 </w:t>
      </w:r>
      <w:r>
        <w:rPr>
          <w:rFonts w:hint="eastAsia"/>
          <w:sz w:val="30"/>
          <w:szCs w:val="30"/>
        </w:rPr>
        <w:t>除《发包人要求》另有约定外，发包人应在合理可行的情况下尽快进行每项竣工后试验，并至少提前21天将该项竣工后试验的内容、地点和时间，以及显示其他竣工后试验拟开展时间的竣工后试验计划通知承包人。</w:t>
      </w:r>
      <w:bookmarkEnd w:id="486"/>
    </w:p>
    <w:p w14:paraId="2EAF0883">
      <w:pPr>
        <w:pStyle w:val="994"/>
        <w:numPr>
          <w:ilvl w:val="0"/>
          <w:numId w:val="0"/>
        </w:numPr>
        <w:rPr>
          <w:sz w:val="30"/>
          <w:szCs w:val="30"/>
        </w:rPr>
      </w:pPr>
      <w:bookmarkStart w:id="487" w:name="_Ref11920146"/>
      <w:r>
        <w:rPr>
          <w:rFonts w:hint="eastAsia"/>
          <w:sz w:val="30"/>
          <w:szCs w:val="30"/>
        </w:rPr>
        <w:t>1</w:t>
      </w:r>
      <w:r>
        <w:rPr>
          <w:sz w:val="30"/>
          <w:szCs w:val="30"/>
        </w:rPr>
        <w:t xml:space="preserve">2.1.4 </w:t>
      </w:r>
      <w:r>
        <w:rPr>
          <w:rFonts w:hint="eastAsia"/>
          <w:sz w:val="30"/>
          <w:szCs w:val="30"/>
        </w:rPr>
        <w:t>发包人应根据《发包人要求》、承包人按照第</w:t>
      </w:r>
      <w:r>
        <w:rPr>
          <w:sz w:val="30"/>
          <w:szCs w:val="30"/>
        </w:rPr>
        <w:t>5.5</w:t>
      </w:r>
      <w:r>
        <w:rPr>
          <w:rFonts w:hint="eastAsia"/>
          <w:sz w:val="30"/>
          <w:szCs w:val="30"/>
        </w:rPr>
        <w:t>款</w:t>
      </w:r>
      <w:bookmarkStart w:id="488" w:name="_Hlk18943978"/>
      <w:r>
        <w:rPr>
          <w:rFonts w:hint="eastAsia"/>
          <w:sz w:val="30"/>
          <w:szCs w:val="30"/>
        </w:rPr>
        <w:t>[</w:t>
      </w:r>
      <w:r>
        <w:rPr>
          <w:sz w:val="30"/>
          <w:szCs w:val="30"/>
        </w:rPr>
        <w:t>操作和维修手册</w:t>
      </w:r>
      <w:r>
        <w:rPr>
          <w:rFonts w:hint="eastAsia"/>
          <w:sz w:val="30"/>
          <w:szCs w:val="30"/>
        </w:rPr>
        <w:t>]</w:t>
      </w:r>
      <w:bookmarkEnd w:id="488"/>
      <w:r>
        <w:rPr>
          <w:rFonts w:hint="eastAsia"/>
          <w:sz w:val="30"/>
          <w:szCs w:val="30"/>
        </w:rPr>
        <w:t>提交的文件，以及承包人被要求提供的指导进行竣工后试验。如承包人未在发包人通知的时间和地点参加竣工后试验，发包人可自行进行，该试验应被视为是承包人在场的情况下进行的，且承包人应视为认可试验数据。</w:t>
      </w:r>
      <w:bookmarkEnd w:id="487"/>
    </w:p>
    <w:p w14:paraId="7E64FD71">
      <w:pPr>
        <w:pStyle w:val="994"/>
        <w:numPr>
          <w:ilvl w:val="0"/>
          <w:numId w:val="0"/>
        </w:numPr>
        <w:rPr>
          <w:sz w:val="30"/>
          <w:szCs w:val="30"/>
        </w:rPr>
      </w:pPr>
      <w:r>
        <w:rPr>
          <w:rFonts w:hint="eastAsia"/>
          <w:sz w:val="30"/>
          <w:szCs w:val="30"/>
        </w:rPr>
        <w:t>1</w:t>
      </w:r>
      <w:r>
        <w:rPr>
          <w:sz w:val="30"/>
          <w:szCs w:val="30"/>
        </w:rPr>
        <w:t xml:space="preserve">2.1.5 </w:t>
      </w:r>
      <w:r>
        <w:rPr>
          <w:rFonts w:hint="eastAsia"/>
          <w:sz w:val="30"/>
          <w:szCs w:val="30"/>
        </w:rPr>
        <w:t>竣工后试验的结果应由双方进行整理和评价，并应适当考虑发包人对工程或其任何部分的使用，对工程或区段工程的性能、特性和试验结果产生的影响。</w:t>
      </w:r>
    </w:p>
    <w:p w14:paraId="590DC122">
      <w:pPr>
        <w:pStyle w:val="969"/>
        <w:widowControl/>
        <w:numPr>
          <w:ilvl w:val="0"/>
          <w:numId w:val="0"/>
        </w:numPr>
        <w:rPr>
          <w:rFonts w:ascii="宋体" w:hAnsi="宋体" w:eastAsia="宋体"/>
          <w:b w:val="0"/>
          <w:sz w:val="30"/>
          <w:szCs w:val="30"/>
        </w:rPr>
      </w:pPr>
      <w:bookmarkStart w:id="489" w:name="_Ref531954781"/>
      <w:bookmarkStart w:id="490" w:name="_Ref531954785"/>
      <w:bookmarkStart w:id="491" w:name="_Toc54862279"/>
      <w:r>
        <w:rPr>
          <w:rFonts w:hint="eastAsia" w:ascii="宋体" w:hAnsi="宋体" w:eastAsia="宋体"/>
          <w:b w:val="0"/>
          <w:sz w:val="30"/>
          <w:szCs w:val="30"/>
        </w:rPr>
        <w:t>1</w:t>
      </w:r>
      <w:r>
        <w:rPr>
          <w:rFonts w:ascii="宋体" w:hAnsi="宋体" w:eastAsia="宋体"/>
          <w:b w:val="0"/>
          <w:sz w:val="30"/>
          <w:szCs w:val="30"/>
        </w:rPr>
        <w:t xml:space="preserve">2.2 </w:t>
      </w:r>
      <w:r>
        <w:rPr>
          <w:rFonts w:hint="eastAsia" w:ascii="宋体" w:hAnsi="宋体" w:eastAsia="宋体"/>
          <w:b w:val="0"/>
          <w:sz w:val="30"/>
          <w:szCs w:val="30"/>
        </w:rPr>
        <w:t>延误的试验</w:t>
      </w:r>
      <w:bookmarkEnd w:id="489"/>
      <w:bookmarkEnd w:id="490"/>
      <w:bookmarkEnd w:id="491"/>
      <w:r>
        <w:rPr>
          <w:rFonts w:hint="eastAsia" w:ascii="宋体" w:hAnsi="宋体" w:eastAsia="宋体"/>
          <w:b w:val="0"/>
          <w:sz w:val="30"/>
          <w:szCs w:val="30"/>
        </w:rPr>
        <w:t xml:space="preserve"> </w:t>
      </w:r>
    </w:p>
    <w:p w14:paraId="1AB5FBEE">
      <w:pPr>
        <w:pStyle w:val="994"/>
        <w:numPr>
          <w:ilvl w:val="0"/>
          <w:numId w:val="0"/>
        </w:numPr>
        <w:rPr>
          <w:sz w:val="30"/>
          <w:szCs w:val="30"/>
        </w:rPr>
      </w:pPr>
      <w:r>
        <w:rPr>
          <w:rFonts w:hint="eastAsia"/>
          <w:sz w:val="30"/>
          <w:szCs w:val="30"/>
        </w:rPr>
        <w:t>1</w:t>
      </w:r>
      <w:r>
        <w:rPr>
          <w:sz w:val="30"/>
          <w:szCs w:val="30"/>
        </w:rPr>
        <w:t xml:space="preserve">2.2.1 </w:t>
      </w:r>
      <w:r>
        <w:rPr>
          <w:rFonts w:hint="eastAsia"/>
          <w:sz w:val="30"/>
          <w:szCs w:val="30"/>
        </w:rPr>
        <w:t>如果竣工后试验因发包人原因被延误的，发包人应承担承包人由此增加的费用并支付承包人合理利润。</w:t>
      </w:r>
    </w:p>
    <w:p w14:paraId="71232417">
      <w:pPr>
        <w:pStyle w:val="994"/>
        <w:numPr>
          <w:ilvl w:val="0"/>
          <w:numId w:val="0"/>
        </w:numPr>
        <w:rPr>
          <w:sz w:val="30"/>
          <w:szCs w:val="30"/>
        </w:rPr>
      </w:pPr>
      <w:r>
        <w:rPr>
          <w:rFonts w:hint="eastAsia"/>
          <w:sz w:val="30"/>
          <w:szCs w:val="30"/>
        </w:rPr>
        <w:t>1</w:t>
      </w:r>
      <w:r>
        <w:rPr>
          <w:sz w:val="30"/>
          <w:szCs w:val="30"/>
        </w:rPr>
        <w:t xml:space="preserve">2.2.2 </w:t>
      </w:r>
      <w:r>
        <w:rPr>
          <w:rFonts w:hint="eastAsia"/>
          <w:sz w:val="30"/>
          <w:szCs w:val="30"/>
        </w:rPr>
        <w:t>如果因承包人以外的原因，导致竣工后试验未能在缺陷责任期或双方另行同意的其他期限内完成，则相关工程或区段工程应视为已通过该竣工后试验。</w:t>
      </w:r>
    </w:p>
    <w:p w14:paraId="0FA78EFD">
      <w:pPr>
        <w:pStyle w:val="969"/>
        <w:widowControl/>
        <w:numPr>
          <w:ilvl w:val="0"/>
          <w:numId w:val="0"/>
        </w:numPr>
        <w:rPr>
          <w:rFonts w:ascii="宋体" w:hAnsi="宋体" w:eastAsia="宋体"/>
          <w:b w:val="0"/>
          <w:sz w:val="30"/>
          <w:szCs w:val="30"/>
        </w:rPr>
      </w:pPr>
      <w:bookmarkStart w:id="492" w:name="_Toc54862280"/>
      <w:r>
        <w:rPr>
          <w:rFonts w:hint="eastAsia" w:ascii="宋体" w:hAnsi="宋体" w:eastAsia="宋体"/>
          <w:b w:val="0"/>
          <w:sz w:val="30"/>
          <w:szCs w:val="30"/>
        </w:rPr>
        <w:t>1</w:t>
      </w:r>
      <w:r>
        <w:rPr>
          <w:rFonts w:ascii="宋体" w:hAnsi="宋体" w:eastAsia="宋体"/>
          <w:b w:val="0"/>
          <w:sz w:val="30"/>
          <w:szCs w:val="30"/>
        </w:rPr>
        <w:t xml:space="preserve">2.3 </w:t>
      </w:r>
      <w:r>
        <w:rPr>
          <w:rFonts w:hint="eastAsia" w:ascii="宋体" w:hAnsi="宋体" w:eastAsia="宋体"/>
          <w:b w:val="0"/>
          <w:sz w:val="30"/>
          <w:szCs w:val="30"/>
        </w:rPr>
        <w:t>重新试验</w:t>
      </w:r>
      <w:bookmarkEnd w:id="492"/>
    </w:p>
    <w:p w14:paraId="5F62CF5A">
      <w:pPr>
        <w:ind w:firstLine="600"/>
        <w:rPr>
          <w:rFonts w:ascii="宋体" w:hAnsi="宋体"/>
          <w:sz w:val="30"/>
          <w:szCs w:val="30"/>
        </w:rPr>
      </w:pPr>
      <w:r>
        <w:rPr>
          <w:rFonts w:hint="eastAsia" w:ascii="宋体" w:hAnsi="宋体"/>
          <w:sz w:val="30"/>
          <w:szCs w:val="30"/>
        </w:rPr>
        <w:t>如工程或区段工程未能通过竣工后试验，则承包人应根据第</w:t>
      </w:r>
      <w:r>
        <w:rPr>
          <w:rFonts w:ascii="宋体" w:hAnsi="宋体"/>
          <w:sz w:val="30"/>
          <w:szCs w:val="30"/>
        </w:rPr>
        <w:t>11.3</w:t>
      </w:r>
      <w:r>
        <w:rPr>
          <w:rFonts w:hint="eastAsia" w:ascii="宋体" w:hAnsi="宋体"/>
          <w:sz w:val="30"/>
          <w:szCs w:val="30"/>
        </w:rPr>
        <w:t>款[缺陷调查]的规定修补缺陷，以达到合同约定的要求；并按照第</w:t>
      </w:r>
      <w:r>
        <w:rPr>
          <w:rFonts w:ascii="宋体" w:hAnsi="宋体"/>
          <w:sz w:val="30"/>
          <w:szCs w:val="30"/>
        </w:rPr>
        <w:t>11.4</w:t>
      </w:r>
      <w:r>
        <w:rPr>
          <w:rFonts w:hint="eastAsia" w:ascii="宋体" w:hAnsi="宋体"/>
          <w:sz w:val="30"/>
          <w:szCs w:val="30"/>
        </w:rPr>
        <w:t>款[缺陷修复后的进一步试验]重新进行竣工后试验以及承担风险和费用。如未通过试验和重新试验是承包人原因造成的，则承包人还应承担发包人因此增加的费用。</w:t>
      </w:r>
    </w:p>
    <w:bookmarkEnd w:id="484"/>
    <w:p w14:paraId="20E1C1DB">
      <w:pPr>
        <w:pStyle w:val="969"/>
        <w:widowControl/>
        <w:numPr>
          <w:ilvl w:val="0"/>
          <w:numId w:val="0"/>
        </w:numPr>
        <w:rPr>
          <w:rFonts w:ascii="宋体" w:hAnsi="宋体" w:eastAsia="宋体"/>
          <w:b w:val="0"/>
          <w:sz w:val="30"/>
          <w:szCs w:val="30"/>
        </w:rPr>
      </w:pPr>
      <w:bookmarkStart w:id="493" w:name="_Toc54862281"/>
      <w:bookmarkStart w:id="494" w:name="_Ref531954811"/>
      <w:bookmarkStart w:id="495" w:name="_Ref531954819"/>
      <w:r>
        <w:rPr>
          <w:rFonts w:hint="eastAsia" w:ascii="宋体" w:hAnsi="宋体" w:eastAsia="宋体"/>
          <w:b w:val="0"/>
          <w:sz w:val="30"/>
          <w:szCs w:val="30"/>
        </w:rPr>
        <w:t>1</w:t>
      </w:r>
      <w:r>
        <w:rPr>
          <w:rFonts w:ascii="宋体" w:hAnsi="宋体" w:eastAsia="宋体"/>
          <w:b w:val="0"/>
          <w:sz w:val="30"/>
          <w:szCs w:val="30"/>
        </w:rPr>
        <w:t xml:space="preserve">2.4 </w:t>
      </w:r>
      <w:r>
        <w:rPr>
          <w:rFonts w:hint="eastAsia" w:ascii="宋体" w:hAnsi="宋体" w:eastAsia="宋体"/>
          <w:b w:val="0"/>
          <w:sz w:val="30"/>
          <w:szCs w:val="30"/>
        </w:rPr>
        <w:t>未能通过竣工后试验</w:t>
      </w:r>
      <w:bookmarkEnd w:id="493"/>
      <w:bookmarkEnd w:id="494"/>
      <w:bookmarkEnd w:id="495"/>
    </w:p>
    <w:p w14:paraId="73891B50">
      <w:pPr>
        <w:pStyle w:val="994"/>
        <w:numPr>
          <w:ilvl w:val="0"/>
          <w:numId w:val="0"/>
        </w:numPr>
        <w:rPr>
          <w:sz w:val="30"/>
          <w:szCs w:val="30"/>
        </w:rPr>
      </w:pPr>
      <w:bookmarkStart w:id="496" w:name="_Ref531954829"/>
      <w:r>
        <w:rPr>
          <w:rFonts w:hint="eastAsia"/>
          <w:sz w:val="30"/>
          <w:szCs w:val="30"/>
        </w:rPr>
        <w:t>1</w:t>
      </w:r>
      <w:r>
        <w:rPr>
          <w:sz w:val="30"/>
          <w:szCs w:val="30"/>
        </w:rPr>
        <w:t xml:space="preserve">2.4.1 </w:t>
      </w:r>
      <w:r>
        <w:rPr>
          <w:rFonts w:hint="eastAsia"/>
          <w:sz w:val="30"/>
          <w:szCs w:val="30"/>
        </w:rPr>
        <w:t>工程或区段工程未能通过竣工后试验，且合同中就该项未通过的试验约定了性能损害赔偿违约金及其计算方法的，或者就该项未通过的试验另行达成补充协议的，承包人在缺陷责任期内向发包人支付相应违约金或按补充协议履行后，视为通过竣工后试验。</w:t>
      </w:r>
      <w:bookmarkEnd w:id="496"/>
    </w:p>
    <w:p w14:paraId="041EA991">
      <w:pPr>
        <w:pStyle w:val="994"/>
        <w:numPr>
          <w:ilvl w:val="0"/>
          <w:numId w:val="0"/>
        </w:numPr>
        <w:rPr>
          <w:sz w:val="30"/>
          <w:szCs w:val="30"/>
        </w:rPr>
      </w:pPr>
      <w:r>
        <w:rPr>
          <w:rFonts w:hint="eastAsia"/>
          <w:sz w:val="30"/>
          <w:szCs w:val="30"/>
        </w:rPr>
        <w:t>1</w:t>
      </w:r>
      <w:r>
        <w:rPr>
          <w:sz w:val="30"/>
          <w:szCs w:val="30"/>
        </w:rPr>
        <w:t xml:space="preserve">2.4.2 </w:t>
      </w:r>
      <w:r>
        <w:rPr>
          <w:rFonts w:hint="eastAsia"/>
          <w:sz w:val="30"/>
          <w:szCs w:val="30"/>
        </w:rPr>
        <w:t>对未能通过竣工后试验的工程或区段工程，承包人可向发包人建议，由承包人对该工程或区段工程进行调整或修补。发包人收到建议后，可向承包人发出通知，指示其在发包人方便的合理时间进入工程或区段工程进行调查、调整或修补，并为承包人的进入提供方便。承包人提出建议，但未在缺陷责任期内收到上述发包人通知的，相关工程或区段工程应视为已通过该竣工后试验。</w:t>
      </w:r>
    </w:p>
    <w:p w14:paraId="2D663D26">
      <w:pPr>
        <w:pStyle w:val="994"/>
        <w:numPr>
          <w:ilvl w:val="0"/>
          <w:numId w:val="0"/>
        </w:numPr>
        <w:rPr>
          <w:sz w:val="30"/>
          <w:szCs w:val="30"/>
        </w:rPr>
      </w:pPr>
      <w:r>
        <w:rPr>
          <w:rFonts w:hint="eastAsia"/>
          <w:sz w:val="30"/>
          <w:szCs w:val="30"/>
        </w:rPr>
        <w:t>1</w:t>
      </w:r>
      <w:r>
        <w:rPr>
          <w:sz w:val="30"/>
          <w:szCs w:val="30"/>
        </w:rPr>
        <w:t xml:space="preserve">2.4.3 </w:t>
      </w:r>
      <w:r>
        <w:rPr>
          <w:rFonts w:hint="eastAsia"/>
          <w:sz w:val="30"/>
          <w:szCs w:val="30"/>
        </w:rPr>
        <w:t>发包人无故拖延给予承包人进行调查、调整或修补所需的进入工程或区段工程的许可，并造成承包人费用增加的，应承担由此增加的费用并支付承包人合理利润。</w:t>
      </w:r>
    </w:p>
    <w:p w14:paraId="7F7D3BED">
      <w:pPr>
        <w:pStyle w:val="991"/>
        <w:numPr>
          <w:ilvl w:val="0"/>
          <w:numId w:val="0"/>
        </w:numPr>
        <w:wordWrap/>
        <w:topLinePunct w:val="0"/>
        <w:rPr>
          <w:rFonts w:ascii="宋体" w:hAnsi="宋体" w:eastAsia="宋体"/>
          <w:b w:val="0"/>
          <w:kern w:val="2"/>
          <w:sz w:val="30"/>
          <w:szCs w:val="30"/>
        </w:rPr>
      </w:pPr>
      <w:bookmarkStart w:id="497" w:name="_Ref4415801"/>
      <w:bookmarkStart w:id="498" w:name="_Toc54862282"/>
      <w:r>
        <w:rPr>
          <w:rFonts w:hint="eastAsia" w:ascii="宋体" w:hAnsi="宋体" w:eastAsia="宋体"/>
          <w:b w:val="0"/>
          <w:kern w:val="2"/>
          <w:sz w:val="30"/>
          <w:szCs w:val="30"/>
        </w:rPr>
        <w:t>第1</w:t>
      </w:r>
      <w:r>
        <w:rPr>
          <w:rFonts w:ascii="宋体" w:hAnsi="宋体" w:eastAsia="宋体"/>
          <w:b w:val="0"/>
          <w:kern w:val="2"/>
          <w:sz w:val="30"/>
          <w:szCs w:val="30"/>
        </w:rPr>
        <w:t>3</w:t>
      </w:r>
      <w:r>
        <w:rPr>
          <w:rFonts w:hint="eastAsia" w:ascii="宋体" w:hAnsi="宋体" w:eastAsia="宋体"/>
          <w:b w:val="0"/>
          <w:kern w:val="2"/>
          <w:sz w:val="30"/>
          <w:szCs w:val="30"/>
        </w:rPr>
        <w:t>条 变更与调整</w:t>
      </w:r>
      <w:bookmarkEnd w:id="497"/>
      <w:bookmarkEnd w:id="498"/>
    </w:p>
    <w:p w14:paraId="726B9814">
      <w:pPr>
        <w:pStyle w:val="969"/>
        <w:widowControl/>
        <w:numPr>
          <w:ilvl w:val="0"/>
          <w:numId w:val="0"/>
        </w:numPr>
        <w:rPr>
          <w:rFonts w:ascii="宋体" w:hAnsi="宋体" w:eastAsia="宋体"/>
          <w:b w:val="0"/>
          <w:sz w:val="30"/>
          <w:szCs w:val="30"/>
        </w:rPr>
      </w:pPr>
      <w:bookmarkStart w:id="499" w:name="_Ref532677087"/>
      <w:bookmarkStart w:id="500" w:name="_Ref532670393"/>
      <w:bookmarkStart w:id="501" w:name="_Toc54862283"/>
      <w:bookmarkStart w:id="502" w:name="_Ref532668573"/>
      <w:bookmarkStart w:id="503" w:name="_Ref532677084"/>
      <w:bookmarkStart w:id="504" w:name="_Ref532670395"/>
      <w:bookmarkStart w:id="505" w:name="_Ref532668569"/>
      <w:r>
        <w:rPr>
          <w:rFonts w:hint="eastAsia" w:ascii="宋体" w:hAnsi="宋体" w:eastAsia="宋体"/>
          <w:b w:val="0"/>
          <w:sz w:val="30"/>
          <w:szCs w:val="30"/>
        </w:rPr>
        <w:t>1</w:t>
      </w:r>
      <w:r>
        <w:rPr>
          <w:rFonts w:ascii="宋体" w:hAnsi="宋体" w:eastAsia="宋体"/>
          <w:b w:val="0"/>
          <w:sz w:val="30"/>
          <w:szCs w:val="30"/>
        </w:rPr>
        <w:t xml:space="preserve">3.1 </w:t>
      </w:r>
      <w:r>
        <w:rPr>
          <w:rFonts w:hint="eastAsia" w:ascii="宋体" w:hAnsi="宋体" w:eastAsia="宋体"/>
          <w:b w:val="0"/>
          <w:sz w:val="30"/>
          <w:szCs w:val="30"/>
        </w:rPr>
        <w:t>发包人变更权</w:t>
      </w:r>
      <w:bookmarkEnd w:id="499"/>
      <w:bookmarkEnd w:id="500"/>
      <w:bookmarkEnd w:id="501"/>
      <w:bookmarkEnd w:id="502"/>
      <w:bookmarkEnd w:id="503"/>
      <w:bookmarkEnd w:id="504"/>
      <w:bookmarkEnd w:id="505"/>
      <w:r>
        <w:rPr>
          <w:rFonts w:hint="eastAsia" w:ascii="宋体" w:hAnsi="宋体" w:eastAsia="宋体"/>
          <w:b w:val="0"/>
          <w:sz w:val="30"/>
          <w:szCs w:val="30"/>
        </w:rPr>
        <w:t xml:space="preserve"> </w:t>
      </w:r>
    </w:p>
    <w:p w14:paraId="19794F02">
      <w:pPr>
        <w:pStyle w:val="994"/>
        <w:numPr>
          <w:ilvl w:val="0"/>
          <w:numId w:val="0"/>
        </w:numPr>
        <w:rPr>
          <w:sz w:val="30"/>
          <w:szCs w:val="30"/>
        </w:rPr>
      </w:pPr>
      <w:bookmarkStart w:id="506" w:name="_Ref4534979"/>
      <w:r>
        <w:rPr>
          <w:rFonts w:hint="eastAsia"/>
          <w:sz w:val="30"/>
          <w:szCs w:val="30"/>
        </w:rPr>
        <w:t>1</w:t>
      </w:r>
      <w:r>
        <w:rPr>
          <w:sz w:val="30"/>
          <w:szCs w:val="30"/>
        </w:rPr>
        <w:t xml:space="preserve">3.1.1 </w:t>
      </w:r>
      <w:r>
        <w:rPr>
          <w:rFonts w:hint="eastAsia"/>
          <w:sz w:val="30"/>
          <w:szCs w:val="30"/>
        </w:rPr>
        <w:t>变更指示应经发包人同意，并由工程师发出经发包人签认的变更指示。除第</w:t>
      </w:r>
      <w:r>
        <w:rPr>
          <w:sz w:val="30"/>
          <w:szCs w:val="30"/>
        </w:rPr>
        <w:t>11.3.6</w:t>
      </w:r>
      <w:r>
        <w:rPr>
          <w:rFonts w:hint="eastAsia"/>
          <w:sz w:val="30"/>
          <w:szCs w:val="30"/>
        </w:rPr>
        <w:t>项[未能修复]约定的情况外，变更不应包括准备将任何工作删减并交由他人或发包人自行实施的情况。承包人收到变更指示后，方可实施变更。未经许可，承包人不得擅自对工程的任何部分进行变更。</w:t>
      </w:r>
      <w:bookmarkEnd w:id="506"/>
      <w:r>
        <w:rPr>
          <w:rFonts w:hint="eastAsia"/>
          <w:sz w:val="30"/>
          <w:szCs w:val="30"/>
        </w:rPr>
        <w:t>发包人与承包人对某项指示或批准是否构成变更产生争议的，按第</w:t>
      </w:r>
      <w:r>
        <w:rPr>
          <w:sz w:val="30"/>
          <w:szCs w:val="30"/>
        </w:rPr>
        <w:t>20条</w:t>
      </w:r>
      <w:r>
        <w:rPr>
          <w:rFonts w:hint="eastAsia"/>
          <w:sz w:val="30"/>
          <w:szCs w:val="30"/>
        </w:rPr>
        <w:t>[争议解决]处理。</w:t>
      </w:r>
    </w:p>
    <w:p w14:paraId="3B2FA761">
      <w:pPr>
        <w:pStyle w:val="994"/>
        <w:numPr>
          <w:ilvl w:val="0"/>
          <w:numId w:val="0"/>
        </w:numPr>
        <w:rPr>
          <w:sz w:val="30"/>
          <w:szCs w:val="30"/>
        </w:rPr>
      </w:pPr>
      <w:r>
        <w:rPr>
          <w:rFonts w:hint="eastAsia"/>
          <w:sz w:val="30"/>
          <w:szCs w:val="30"/>
        </w:rPr>
        <w:t>1</w:t>
      </w:r>
      <w:r>
        <w:rPr>
          <w:sz w:val="30"/>
          <w:szCs w:val="30"/>
        </w:rPr>
        <w:t xml:space="preserve">3.1.2 </w:t>
      </w:r>
      <w:r>
        <w:rPr>
          <w:rFonts w:hint="eastAsia"/>
          <w:sz w:val="30"/>
          <w:szCs w:val="30"/>
        </w:rPr>
        <w:t>承包人应按照变更指示执行，除非承包人及时向工程师发出通知，说明该项变更指示将降低工程的安全性、稳定性或适用性；涉及的工作内容和范围不可预见；所涉设备难以采购；导致承包人无法执行第</w:t>
      </w:r>
      <w:r>
        <w:rPr>
          <w:sz w:val="30"/>
          <w:szCs w:val="30"/>
        </w:rPr>
        <w:t>7.5</w:t>
      </w:r>
      <w:r>
        <w:rPr>
          <w:rFonts w:hint="eastAsia"/>
          <w:sz w:val="30"/>
          <w:szCs w:val="30"/>
        </w:rPr>
        <w:t>款[现场劳动用工]、第7</w:t>
      </w:r>
      <w:r>
        <w:rPr>
          <w:sz w:val="30"/>
          <w:szCs w:val="30"/>
        </w:rPr>
        <w:t>.6</w:t>
      </w:r>
      <w:r>
        <w:rPr>
          <w:rFonts w:hint="eastAsia"/>
          <w:sz w:val="30"/>
          <w:szCs w:val="30"/>
        </w:rPr>
        <w:t>款[安全文明施工</w:t>
      </w:r>
      <w:r>
        <w:rPr>
          <w:sz w:val="30"/>
          <w:szCs w:val="30"/>
        </w:rPr>
        <w:t>]</w:t>
      </w:r>
      <w:r>
        <w:rPr>
          <w:rFonts w:hint="eastAsia"/>
          <w:sz w:val="30"/>
          <w:szCs w:val="30"/>
        </w:rPr>
        <w:t>、第</w:t>
      </w:r>
      <w:r>
        <w:rPr>
          <w:sz w:val="30"/>
          <w:szCs w:val="30"/>
        </w:rPr>
        <w:t>7.7</w:t>
      </w:r>
      <w:r>
        <w:rPr>
          <w:rFonts w:hint="eastAsia"/>
          <w:sz w:val="30"/>
          <w:szCs w:val="30"/>
        </w:rPr>
        <w:t>款[</w:t>
      </w:r>
      <w:r>
        <w:rPr>
          <w:sz w:val="30"/>
          <w:szCs w:val="30"/>
        </w:rPr>
        <w:t>职业健康]</w:t>
      </w:r>
      <w:r>
        <w:rPr>
          <w:rFonts w:hint="eastAsia"/>
          <w:sz w:val="30"/>
          <w:szCs w:val="30"/>
        </w:rPr>
        <w:t>或第</w:t>
      </w:r>
      <w:r>
        <w:rPr>
          <w:sz w:val="30"/>
          <w:szCs w:val="30"/>
        </w:rPr>
        <w:t>7.8</w:t>
      </w:r>
      <w:r>
        <w:rPr>
          <w:rFonts w:hint="eastAsia"/>
          <w:sz w:val="30"/>
          <w:szCs w:val="30"/>
        </w:rPr>
        <w:t>款[环境保护</w:t>
      </w:r>
      <w:r>
        <w:rPr>
          <w:sz w:val="30"/>
          <w:szCs w:val="30"/>
        </w:rPr>
        <w:t>]</w:t>
      </w:r>
      <w:r>
        <w:rPr>
          <w:rFonts w:hint="eastAsia"/>
          <w:sz w:val="30"/>
          <w:szCs w:val="30"/>
        </w:rPr>
        <w:t>内容；将造成工期延误；与第</w:t>
      </w:r>
      <w:r>
        <w:rPr>
          <w:sz w:val="30"/>
          <w:szCs w:val="30"/>
        </w:rPr>
        <w:t>4.1</w:t>
      </w:r>
      <w:r>
        <w:rPr>
          <w:rFonts w:hint="eastAsia"/>
          <w:sz w:val="30"/>
          <w:szCs w:val="30"/>
        </w:rPr>
        <w:t>款[</w:t>
      </w:r>
      <w:r>
        <w:rPr>
          <w:sz w:val="30"/>
          <w:szCs w:val="30"/>
        </w:rPr>
        <w:t>承包人的一般义务]</w:t>
      </w:r>
      <w:r>
        <w:rPr>
          <w:rFonts w:hint="eastAsia"/>
          <w:sz w:val="30"/>
          <w:szCs w:val="30"/>
        </w:rPr>
        <w:t>相冲突等无法执行的理由。工程师接到承包人的通知后，应作出经发包人签认的取消、确认或改变原指示的书面回复。</w:t>
      </w:r>
    </w:p>
    <w:p w14:paraId="41133A1B">
      <w:pPr>
        <w:pStyle w:val="969"/>
        <w:widowControl/>
        <w:numPr>
          <w:ilvl w:val="0"/>
          <w:numId w:val="0"/>
        </w:numPr>
        <w:rPr>
          <w:rFonts w:ascii="宋体" w:hAnsi="宋体" w:eastAsia="宋体"/>
          <w:b w:val="0"/>
          <w:sz w:val="30"/>
          <w:szCs w:val="30"/>
        </w:rPr>
      </w:pPr>
      <w:bookmarkStart w:id="507" w:name="_Ref531955587"/>
      <w:bookmarkStart w:id="508" w:name="_Ref531955590"/>
      <w:bookmarkStart w:id="509" w:name="_Ref4623207"/>
      <w:bookmarkStart w:id="510" w:name="_Toc54862284"/>
      <w:r>
        <w:rPr>
          <w:rFonts w:hint="eastAsia" w:ascii="宋体" w:hAnsi="宋体" w:eastAsia="宋体"/>
          <w:b w:val="0"/>
          <w:sz w:val="30"/>
          <w:szCs w:val="30"/>
        </w:rPr>
        <w:t>1</w:t>
      </w:r>
      <w:r>
        <w:rPr>
          <w:rFonts w:ascii="宋体" w:hAnsi="宋体" w:eastAsia="宋体"/>
          <w:b w:val="0"/>
          <w:sz w:val="30"/>
          <w:szCs w:val="30"/>
        </w:rPr>
        <w:t xml:space="preserve">3.2 </w:t>
      </w:r>
      <w:r>
        <w:rPr>
          <w:rFonts w:hint="eastAsia" w:ascii="宋体" w:hAnsi="宋体" w:eastAsia="宋体"/>
          <w:b w:val="0"/>
          <w:sz w:val="30"/>
          <w:szCs w:val="30"/>
        </w:rPr>
        <w:t>承</w:t>
      </w:r>
      <w:bookmarkEnd w:id="507"/>
      <w:bookmarkEnd w:id="508"/>
      <w:r>
        <w:rPr>
          <w:rFonts w:hint="eastAsia" w:ascii="宋体" w:hAnsi="宋体" w:eastAsia="宋体"/>
          <w:b w:val="0"/>
          <w:sz w:val="30"/>
          <w:szCs w:val="30"/>
        </w:rPr>
        <w:t>包人的合理化建议</w:t>
      </w:r>
      <w:bookmarkEnd w:id="509"/>
      <w:bookmarkEnd w:id="510"/>
    </w:p>
    <w:p w14:paraId="459E0273">
      <w:pPr>
        <w:pStyle w:val="994"/>
        <w:numPr>
          <w:ilvl w:val="0"/>
          <w:numId w:val="0"/>
        </w:numPr>
        <w:rPr>
          <w:sz w:val="30"/>
          <w:szCs w:val="30"/>
        </w:rPr>
      </w:pPr>
      <w:r>
        <w:rPr>
          <w:rFonts w:hint="eastAsia"/>
          <w:sz w:val="30"/>
          <w:szCs w:val="30"/>
        </w:rPr>
        <w:t>1</w:t>
      </w:r>
      <w:r>
        <w:rPr>
          <w:sz w:val="30"/>
          <w:szCs w:val="30"/>
        </w:rPr>
        <w:t xml:space="preserve">3.2.1 </w:t>
      </w:r>
      <w:r>
        <w:rPr>
          <w:rFonts w:hint="eastAsia"/>
          <w:sz w:val="30"/>
          <w:szCs w:val="30"/>
        </w:rPr>
        <w:t>承包人提出合理化建议的，应向工程师提交合理化建议说明，说明建议的内容、理由以及实施该建议对合同价格和工期的影响。</w:t>
      </w:r>
    </w:p>
    <w:p w14:paraId="40B5E2A0">
      <w:pPr>
        <w:pStyle w:val="994"/>
        <w:numPr>
          <w:ilvl w:val="0"/>
          <w:numId w:val="0"/>
        </w:numPr>
        <w:rPr>
          <w:sz w:val="30"/>
          <w:szCs w:val="30"/>
        </w:rPr>
      </w:pPr>
      <w:bookmarkStart w:id="511" w:name="_Ref4681686"/>
      <w:r>
        <w:rPr>
          <w:rFonts w:hint="eastAsia"/>
          <w:sz w:val="30"/>
          <w:szCs w:val="30"/>
        </w:rPr>
        <w:t>1</w:t>
      </w:r>
      <w:r>
        <w:rPr>
          <w:sz w:val="30"/>
          <w:szCs w:val="30"/>
        </w:rPr>
        <w:t xml:space="preserve">3.2.2 </w:t>
      </w:r>
      <w:r>
        <w:rPr>
          <w:rFonts w:hint="eastAsia"/>
          <w:sz w:val="30"/>
          <w:szCs w:val="30"/>
        </w:rPr>
        <w:t>除专用合同条件另有约定外，</w:t>
      </w:r>
      <w:bookmarkStart w:id="512" w:name="_Hlk4682273"/>
      <w:r>
        <w:rPr>
          <w:rFonts w:hint="eastAsia"/>
          <w:sz w:val="30"/>
          <w:szCs w:val="30"/>
        </w:rPr>
        <w:t>工程师应在收到承包人提交的合理化建议后7天内审查完毕并报送发包人，发现其中存在技术上的缺陷，应通知承包人修改。发包人应在收到工程师报送的合理化建议后7天内审批完毕。合理化建议经发包人批准的，工程师应及时发出变更指示，由此引起的合同价格调整按照第</w:t>
      </w:r>
      <w:r>
        <w:rPr>
          <w:sz w:val="30"/>
          <w:szCs w:val="30"/>
        </w:rPr>
        <w:t>13.3.3</w:t>
      </w:r>
      <w:r>
        <w:rPr>
          <w:rFonts w:hint="eastAsia"/>
          <w:sz w:val="30"/>
          <w:szCs w:val="30"/>
        </w:rPr>
        <w:t>项[</w:t>
      </w:r>
      <w:r>
        <w:rPr>
          <w:sz w:val="30"/>
          <w:szCs w:val="30"/>
        </w:rPr>
        <w:t>变更估价</w:t>
      </w:r>
      <w:r>
        <w:rPr>
          <w:rFonts w:hint="eastAsia"/>
          <w:sz w:val="30"/>
          <w:szCs w:val="30"/>
        </w:rPr>
        <w:t>]约定执行。发包人不同意变更的，工程师应书面通知承包人</w:t>
      </w:r>
      <w:bookmarkEnd w:id="511"/>
      <w:r>
        <w:rPr>
          <w:rFonts w:hint="eastAsia"/>
          <w:sz w:val="30"/>
          <w:szCs w:val="30"/>
        </w:rPr>
        <w:t>。</w:t>
      </w:r>
    </w:p>
    <w:p w14:paraId="5B78E945">
      <w:pPr>
        <w:pStyle w:val="994"/>
        <w:numPr>
          <w:ilvl w:val="0"/>
          <w:numId w:val="0"/>
        </w:numPr>
        <w:rPr>
          <w:sz w:val="30"/>
          <w:szCs w:val="30"/>
        </w:rPr>
      </w:pPr>
      <w:r>
        <w:rPr>
          <w:sz w:val="30"/>
          <w:szCs w:val="30"/>
        </w:rPr>
        <w:t xml:space="preserve">13.2.3 </w:t>
      </w:r>
      <w:r>
        <w:rPr>
          <w:rFonts w:hint="eastAsia"/>
          <w:sz w:val="30"/>
          <w:szCs w:val="30"/>
        </w:rPr>
        <w:t>合理化建议降低了合同价格、缩短了工期或者提高了工程经济效益的，双方可以按照专用合同条件的约定进行利益分享。</w:t>
      </w:r>
    </w:p>
    <w:bookmarkEnd w:id="512"/>
    <w:p w14:paraId="550AFE00">
      <w:pPr>
        <w:pStyle w:val="969"/>
        <w:widowControl/>
        <w:numPr>
          <w:ilvl w:val="0"/>
          <w:numId w:val="0"/>
        </w:numPr>
        <w:rPr>
          <w:rFonts w:ascii="宋体" w:hAnsi="宋体" w:eastAsia="宋体"/>
          <w:b w:val="0"/>
          <w:sz w:val="30"/>
          <w:szCs w:val="30"/>
        </w:rPr>
      </w:pPr>
      <w:bookmarkStart w:id="513" w:name="_Ref532673538"/>
      <w:bookmarkStart w:id="514" w:name="_Ref532669305"/>
      <w:bookmarkStart w:id="515" w:name="_Ref532669302"/>
      <w:bookmarkStart w:id="516" w:name="_Toc54862285"/>
      <w:bookmarkStart w:id="517" w:name="_Ref532671484"/>
      <w:bookmarkStart w:id="518" w:name="_Ref532673541"/>
      <w:bookmarkStart w:id="519" w:name="_Ref532671480"/>
      <w:r>
        <w:rPr>
          <w:rFonts w:hint="eastAsia" w:ascii="宋体" w:hAnsi="宋体" w:eastAsia="宋体"/>
          <w:b w:val="0"/>
          <w:sz w:val="30"/>
          <w:szCs w:val="30"/>
        </w:rPr>
        <w:t>1</w:t>
      </w:r>
      <w:r>
        <w:rPr>
          <w:rFonts w:ascii="宋体" w:hAnsi="宋体" w:eastAsia="宋体"/>
          <w:b w:val="0"/>
          <w:sz w:val="30"/>
          <w:szCs w:val="30"/>
        </w:rPr>
        <w:t xml:space="preserve">3.3 </w:t>
      </w:r>
      <w:r>
        <w:rPr>
          <w:rFonts w:hint="eastAsia" w:ascii="宋体" w:hAnsi="宋体" w:eastAsia="宋体"/>
          <w:b w:val="0"/>
          <w:sz w:val="30"/>
          <w:szCs w:val="30"/>
        </w:rPr>
        <w:t>变更程序</w:t>
      </w:r>
      <w:bookmarkEnd w:id="513"/>
      <w:bookmarkEnd w:id="514"/>
      <w:bookmarkEnd w:id="515"/>
      <w:bookmarkEnd w:id="516"/>
      <w:bookmarkEnd w:id="517"/>
      <w:bookmarkEnd w:id="518"/>
      <w:bookmarkEnd w:id="519"/>
    </w:p>
    <w:p w14:paraId="3FC77CAB">
      <w:pPr>
        <w:pStyle w:val="994"/>
        <w:numPr>
          <w:ilvl w:val="0"/>
          <w:numId w:val="0"/>
        </w:numPr>
        <w:rPr>
          <w:sz w:val="30"/>
          <w:szCs w:val="30"/>
        </w:rPr>
      </w:pPr>
      <w:bookmarkStart w:id="520" w:name="_Ref4534600"/>
      <w:r>
        <w:rPr>
          <w:rFonts w:hint="eastAsia"/>
          <w:sz w:val="30"/>
          <w:szCs w:val="30"/>
        </w:rPr>
        <w:t>1</w:t>
      </w:r>
      <w:r>
        <w:rPr>
          <w:sz w:val="30"/>
          <w:szCs w:val="30"/>
        </w:rPr>
        <w:t xml:space="preserve">3.3.1 </w:t>
      </w:r>
      <w:r>
        <w:rPr>
          <w:rFonts w:hint="eastAsia"/>
          <w:sz w:val="30"/>
          <w:szCs w:val="30"/>
        </w:rPr>
        <w:t>发包人提出变更</w:t>
      </w:r>
      <w:bookmarkEnd w:id="520"/>
    </w:p>
    <w:p w14:paraId="1ED8F2F1">
      <w:pPr>
        <w:ind w:firstLine="600"/>
        <w:rPr>
          <w:rFonts w:ascii="宋体" w:hAnsi="宋体"/>
          <w:sz w:val="30"/>
          <w:szCs w:val="30"/>
        </w:rPr>
      </w:pPr>
      <w:r>
        <w:rPr>
          <w:rFonts w:hint="eastAsia" w:ascii="宋体" w:hAnsi="宋体"/>
          <w:sz w:val="30"/>
          <w:szCs w:val="30"/>
        </w:rPr>
        <w:t>发包人提出变更的，应通过工程师向承包人发出书面形式的变更指示，变更指示应说明计划变更的工程范围和变更的内容。</w:t>
      </w:r>
    </w:p>
    <w:p w14:paraId="3D6482BC">
      <w:pPr>
        <w:pStyle w:val="994"/>
        <w:numPr>
          <w:ilvl w:val="0"/>
          <w:numId w:val="0"/>
        </w:numPr>
        <w:rPr>
          <w:sz w:val="30"/>
          <w:szCs w:val="30"/>
        </w:rPr>
      </w:pPr>
      <w:bookmarkStart w:id="521" w:name="_Ref4534617"/>
      <w:r>
        <w:rPr>
          <w:rFonts w:hint="eastAsia"/>
          <w:sz w:val="30"/>
          <w:szCs w:val="30"/>
        </w:rPr>
        <w:t>1</w:t>
      </w:r>
      <w:r>
        <w:rPr>
          <w:sz w:val="30"/>
          <w:szCs w:val="30"/>
        </w:rPr>
        <w:t xml:space="preserve">3.3.2 </w:t>
      </w:r>
      <w:r>
        <w:rPr>
          <w:rFonts w:hint="eastAsia"/>
          <w:sz w:val="30"/>
          <w:szCs w:val="30"/>
        </w:rPr>
        <w:t>变更执行</w:t>
      </w:r>
      <w:bookmarkEnd w:id="521"/>
    </w:p>
    <w:p w14:paraId="6FF81CE4">
      <w:pPr>
        <w:ind w:firstLine="600"/>
        <w:rPr>
          <w:rFonts w:ascii="宋体" w:hAnsi="宋体"/>
          <w:sz w:val="30"/>
          <w:szCs w:val="30"/>
        </w:rPr>
      </w:pPr>
      <w:r>
        <w:rPr>
          <w:rFonts w:hint="eastAsia" w:ascii="宋体" w:hAnsi="宋体"/>
          <w:sz w:val="30"/>
          <w:szCs w:val="30"/>
        </w:rPr>
        <w:t>承包人收到工程师下达的变更指示后，认为不能执行，应在合理期限内提出不能执行该变更指示的理由。承包人认为可以执行变更的，应当书面说明实施该变更指示需要采取的具体措施及对合同价格和工期的影响，且合同当事人应当按照第</w:t>
      </w:r>
      <w:r>
        <w:rPr>
          <w:rFonts w:ascii="宋体" w:hAnsi="宋体"/>
          <w:sz w:val="30"/>
          <w:szCs w:val="30"/>
        </w:rPr>
        <w:t>13.3.3</w:t>
      </w:r>
      <w:r>
        <w:rPr>
          <w:rFonts w:hint="eastAsia" w:ascii="宋体" w:hAnsi="宋体"/>
          <w:sz w:val="30"/>
          <w:szCs w:val="30"/>
        </w:rPr>
        <w:t>项[变更估价]约定确定变更估价。</w:t>
      </w:r>
    </w:p>
    <w:p w14:paraId="55B007E7">
      <w:pPr>
        <w:pStyle w:val="994"/>
        <w:numPr>
          <w:ilvl w:val="0"/>
          <w:numId w:val="0"/>
        </w:numPr>
        <w:rPr>
          <w:sz w:val="30"/>
          <w:szCs w:val="30"/>
        </w:rPr>
      </w:pPr>
      <w:bookmarkStart w:id="522" w:name="_Ref3835481"/>
      <w:r>
        <w:rPr>
          <w:rFonts w:hint="eastAsia"/>
          <w:sz w:val="30"/>
          <w:szCs w:val="30"/>
        </w:rPr>
        <w:t>1</w:t>
      </w:r>
      <w:r>
        <w:rPr>
          <w:sz w:val="30"/>
          <w:szCs w:val="30"/>
        </w:rPr>
        <w:t xml:space="preserve">3.3.3 </w:t>
      </w:r>
      <w:r>
        <w:rPr>
          <w:rFonts w:hint="eastAsia"/>
          <w:sz w:val="30"/>
          <w:szCs w:val="30"/>
        </w:rPr>
        <w:t>变更估价</w:t>
      </w:r>
      <w:bookmarkEnd w:id="522"/>
    </w:p>
    <w:p w14:paraId="7314590C">
      <w:pPr>
        <w:pStyle w:val="995"/>
        <w:widowControl/>
        <w:numPr>
          <w:ilvl w:val="0"/>
          <w:numId w:val="0"/>
        </w:numPr>
        <w:rPr>
          <w:sz w:val="30"/>
          <w:szCs w:val="30"/>
        </w:rPr>
      </w:pPr>
      <w:r>
        <w:rPr>
          <w:rFonts w:hint="eastAsia"/>
          <w:sz w:val="30"/>
          <w:szCs w:val="30"/>
        </w:rPr>
        <w:t>1</w:t>
      </w:r>
      <w:r>
        <w:rPr>
          <w:sz w:val="30"/>
          <w:szCs w:val="30"/>
        </w:rPr>
        <w:t xml:space="preserve">3.3.3.1 </w:t>
      </w:r>
      <w:r>
        <w:rPr>
          <w:rFonts w:hint="eastAsia"/>
          <w:sz w:val="30"/>
          <w:szCs w:val="30"/>
        </w:rPr>
        <w:t>变更估价原则</w:t>
      </w:r>
    </w:p>
    <w:p w14:paraId="3B7E2B40">
      <w:pPr>
        <w:ind w:firstLine="600"/>
        <w:rPr>
          <w:rFonts w:ascii="宋体" w:hAnsi="宋体"/>
          <w:sz w:val="30"/>
          <w:szCs w:val="30"/>
        </w:rPr>
      </w:pPr>
      <w:r>
        <w:rPr>
          <w:rFonts w:hint="eastAsia" w:ascii="宋体" w:hAnsi="宋体"/>
          <w:sz w:val="30"/>
          <w:szCs w:val="30"/>
        </w:rPr>
        <w:t>除专用合同条件另有约定外，变更估价按照本款约定处理：</w:t>
      </w:r>
    </w:p>
    <w:p w14:paraId="2390A025">
      <w:pPr>
        <w:ind w:firstLine="600"/>
        <w:rPr>
          <w:rFonts w:ascii="宋体" w:hAnsi="宋体"/>
          <w:sz w:val="30"/>
          <w:szCs w:val="30"/>
        </w:rPr>
      </w:pPr>
      <w:r>
        <w:rPr>
          <w:rFonts w:hint="eastAsia" w:ascii="宋体" w:hAnsi="宋体"/>
          <w:sz w:val="30"/>
          <w:szCs w:val="30"/>
        </w:rPr>
        <w:t>（1） 合同中未包含价格清单，合同价格应按照所执行的变更工程的成本加利润调整；</w:t>
      </w:r>
    </w:p>
    <w:p w14:paraId="6E403731">
      <w:pPr>
        <w:ind w:firstLine="600"/>
        <w:rPr>
          <w:rFonts w:ascii="宋体" w:hAnsi="宋体"/>
          <w:sz w:val="30"/>
          <w:szCs w:val="30"/>
        </w:rPr>
      </w:pPr>
      <w:r>
        <w:rPr>
          <w:rFonts w:hint="eastAsia" w:ascii="宋体" w:hAnsi="宋体"/>
          <w:sz w:val="30"/>
          <w:szCs w:val="30"/>
        </w:rPr>
        <w:t>（2） 合同中包含价格清单，合同价格按照如下规则调整：</w:t>
      </w:r>
    </w:p>
    <w:p w14:paraId="331B8C84">
      <w:pPr>
        <w:ind w:firstLine="600"/>
        <w:rPr>
          <w:rFonts w:ascii="宋体" w:hAnsi="宋体"/>
          <w:sz w:val="30"/>
          <w:szCs w:val="30"/>
        </w:rPr>
      </w:pPr>
      <w:r>
        <w:rPr>
          <w:rFonts w:hint="eastAsia" w:ascii="宋体" w:hAnsi="宋体"/>
          <w:sz w:val="30"/>
          <w:szCs w:val="30"/>
        </w:rPr>
        <w:t>1） 价格清单中有适用于变更工程项目的，应采用该项目的费率和价格；</w:t>
      </w:r>
    </w:p>
    <w:p w14:paraId="4BB9C9A8">
      <w:pPr>
        <w:ind w:firstLine="600"/>
        <w:rPr>
          <w:rFonts w:ascii="宋体" w:hAnsi="宋体"/>
          <w:sz w:val="30"/>
          <w:szCs w:val="30"/>
        </w:rPr>
      </w:pPr>
      <w:r>
        <w:rPr>
          <w:rFonts w:hint="eastAsia" w:ascii="宋体" w:hAnsi="宋体"/>
          <w:sz w:val="30"/>
          <w:szCs w:val="30"/>
        </w:rPr>
        <w:t>2） 价格清单中没有适用但有类似于变更工程项目的，可在合理范围内参照类似项目的费率或价格；</w:t>
      </w:r>
    </w:p>
    <w:p w14:paraId="798567A6">
      <w:pPr>
        <w:ind w:firstLine="600"/>
        <w:rPr>
          <w:rFonts w:ascii="宋体" w:hAnsi="宋体"/>
          <w:sz w:val="30"/>
          <w:szCs w:val="30"/>
        </w:rPr>
      </w:pPr>
      <w:r>
        <w:rPr>
          <w:rFonts w:hint="eastAsia" w:ascii="宋体" w:hAnsi="宋体"/>
          <w:sz w:val="30"/>
          <w:szCs w:val="30"/>
        </w:rPr>
        <w:t>3） 价格清单中没有适用也没有类似于变更工程项目的，该工程项目应按成本加利润原则调整适用新的费率或价格。</w:t>
      </w:r>
    </w:p>
    <w:p w14:paraId="542AED6B">
      <w:pPr>
        <w:pStyle w:val="995"/>
        <w:widowControl/>
        <w:numPr>
          <w:ilvl w:val="0"/>
          <w:numId w:val="0"/>
        </w:numPr>
        <w:rPr>
          <w:sz w:val="30"/>
          <w:szCs w:val="30"/>
        </w:rPr>
      </w:pPr>
      <w:r>
        <w:rPr>
          <w:rFonts w:hint="eastAsia"/>
          <w:sz w:val="30"/>
          <w:szCs w:val="30"/>
        </w:rPr>
        <w:t>1</w:t>
      </w:r>
      <w:r>
        <w:rPr>
          <w:sz w:val="30"/>
          <w:szCs w:val="30"/>
        </w:rPr>
        <w:t>3.3.</w:t>
      </w:r>
      <w:r>
        <w:rPr>
          <w:rFonts w:hint="eastAsia"/>
          <w:sz w:val="30"/>
          <w:szCs w:val="30"/>
        </w:rPr>
        <w:t>3</w:t>
      </w:r>
      <w:r>
        <w:rPr>
          <w:sz w:val="30"/>
          <w:szCs w:val="30"/>
        </w:rPr>
        <w:t xml:space="preserve">.2 </w:t>
      </w:r>
      <w:r>
        <w:rPr>
          <w:rFonts w:hint="eastAsia"/>
          <w:sz w:val="30"/>
          <w:szCs w:val="30"/>
        </w:rPr>
        <w:t>变更估价程序</w:t>
      </w:r>
    </w:p>
    <w:p w14:paraId="0D665EFF">
      <w:pPr>
        <w:ind w:firstLine="600"/>
        <w:rPr>
          <w:rFonts w:ascii="宋体" w:hAnsi="宋体"/>
          <w:sz w:val="30"/>
          <w:szCs w:val="30"/>
        </w:rPr>
      </w:pPr>
      <w:bookmarkStart w:id="523" w:name="_Ref531955607"/>
      <w:bookmarkStart w:id="524" w:name="_Ref531955605"/>
      <w:bookmarkStart w:id="525" w:name="_Toc337558844"/>
      <w:bookmarkStart w:id="526" w:name="_Toc296503150"/>
      <w:bookmarkStart w:id="527" w:name="_Toc296346651"/>
      <w:r>
        <w:rPr>
          <w:rFonts w:hint="eastAsia" w:ascii="宋体" w:hAnsi="宋体"/>
          <w:sz w:val="30"/>
          <w:szCs w:val="30"/>
        </w:rPr>
        <w:t>承包人应在收到变更指示后14天内，向工程师提交变更估价申请。工程师应在收到承包人提交的变更估价申请后7天内审查完毕并报送发包人，工程师对变更估价申请有异议，通知承包人修改后重新提交。发包人应在承包人提交变更估价申请后14天内审批完毕。发包人逾期未完成审批或未提出异议的，视为认可承包人提交的变更估价申请。</w:t>
      </w:r>
    </w:p>
    <w:p w14:paraId="3DE2ED96">
      <w:pPr>
        <w:ind w:firstLine="600"/>
        <w:rPr>
          <w:rFonts w:ascii="宋体" w:hAnsi="宋体"/>
          <w:sz w:val="30"/>
          <w:szCs w:val="30"/>
        </w:rPr>
      </w:pPr>
      <w:r>
        <w:rPr>
          <w:rFonts w:hint="eastAsia" w:ascii="宋体" w:hAnsi="宋体"/>
          <w:sz w:val="30"/>
          <w:szCs w:val="30"/>
        </w:rPr>
        <w:t>因变更引起的价格调整应计入最近一期的进度款中支付。</w:t>
      </w:r>
    </w:p>
    <w:p w14:paraId="0B7BCF4F">
      <w:pPr>
        <w:pStyle w:val="994"/>
        <w:numPr>
          <w:ilvl w:val="0"/>
          <w:numId w:val="0"/>
        </w:numPr>
        <w:rPr>
          <w:sz w:val="30"/>
          <w:szCs w:val="30"/>
        </w:rPr>
      </w:pPr>
      <w:r>
        <w:rPr>
          <w:rFonts w:hint="eastAsia"/>
          <w:sz w:val="30"/>
          <w:szCs w:val="30"/>
        </w:rPr>
        <w:t>1</w:t>
      </w:r>
      <w:r>
        <w:rPr>
          <w:sz w:val="30"/>
          <w:szCs w:val="30"/>
        </w:rPr>
        <w:t xml:space="preserve">3.3.4 </w:t>
      </w:r>
      <w:r>
        <w:rPr>
          <w:rFonts w:hint="eastAsia"/>
          <w:sz w:val="30"/>
          <w:szCs w:val="30"/>
        </w:rPr>
        <w:t>变更引起的工期调整</w:t>
      </w:r>
    </w:p>
    <w:p w14:paraId="526D6612">
      <w:pPr>
        <w:ind w:firstLine="600"/>
        <w:rPr>
          <w:rFonts w:ascii="宋体" w:hAnsi="宋体"/>
          <w:sz w:val="30"/>
          <w:szCs w:val="30"/>
        </w:rPr>
      </w:pPr>
      <w:r>
        <w:rPr>
          <w:rFonts w:hint="eastAsia" w:ascii="宋体" w:hAnsi="宋体"/>
          <w:sz w:val="30"/>
          <w:szCs w:val="30"/>
        </w:rPr>
        <w:t>因变更引起工期变化的，合同当事人均可要求调整合同工期，由合同当事人按照第</w:t>
      </w:r>
      <w:r>
        <w:rPr>
          <w:rFonts w:ascii="宋体" w:hAnsi="宋体"/>
          <w:sz w:val="30"/>
          <w:szCs w:val="30"/>
        </w:rPr>
        <w:t>3.6</w:t>
      </w:r>
      <w:r>
        <w:rPr>
          <w:rFonts w:hint="eastAsia" w:ascii="宋体" w:hAnsi="宋体"/>
          <w:sz w:val="30"/>
          <w:szCs w:val="30"/>
        </w:rPr>
        <w:t>款[商定或确定]并参考工程所在地的工期定额标准确定增减工期天数。</w:t>
      </w:r>
    </w:p>
    <w:p w14:paraId="5A00ECB6">
      <w:pPr>
        <w:pStyle w:val="969"/>
        <w:widowControl/>
        <w:numPr>
          <w:ilvl w:val="0"/>
          <w:numId w:val="0"/>
        </w:numPr>
        <w:rPr>
          <w:rFonts w:ascii="宋体" w:hAnsi="宋体" w:eastAsia="宋体"/>
          <w:b w:val="0"/>
          <w:sz w:val="30"/>
          <w:szCs w:val="30"/>
        </w:rPr>
      </w:pPr>
      <w:bookmarkStart w:id="528" w:name="_Ref4431237"/>
      <w:bookmarkStart w:id="529" w:name="_Toc54862286"/>
      <w:r>
        <w:rPr>
          <w:rFonts w:hint="eastAsia" w:ascii="宋体" w:hAnsi="宋体" w:eastAsia="宋体"/>
          <w:b w:val="0"/>
          <w:sz w:val="30"/>
          <w:szCs w:val="30"/>
        </w:rPr>
        <w:t>1</w:t>
      </w:r>
      <w:r>
        <w:rPr>
          <w:rFonts w:ascii="宋体" w:hAnsi="宋体" w:eastAsia="宋体"/>
          <w:b w:val="0"/>
          <w:sz w:val="30"/>
          <w:szCs w:val="30"/>
        </w:rPr>
        <w:t xml:space="preserve">3.4 </w:t>
      </w:r>
      <w:r>
        <w:rPr>
          <w:rFonts w:hint="eastAsia" w:ascii="宋体" w:hAnsi="宋体" w:eastAsia="宋体"/>
          <w:b w:val="0"/>
          <w:sz w:val="30"/>
          <w:szCs w:val="30"/>
        </w:rPr>
        <w:t>暂估价</w:t>
      </w:r>
      <w:bookmarkEnd w:id="528"/>
      <w:bookmarkEnd w:id="529"/>
    </w:p>
    <w:p w14:paraId="3A14EA9C">
      <w:pPr>
        <w:pStyle w:val="994"/>
        <w:numPr>
          <w:ilvl w:val="0"/>
          <w:numId w:val="0"/>
        </w:numPr>
        <w:rPr>
          <w:sz w:val="30"/>
          <w:szCs w:val="30"/>
        </w:rPr>
      </w:pPr>
      <w:bookmarkStart w:id="530" w:name="_Ref4616729"/>
      <w:r>
        <w:rPr>
          <w:rFonts w:hint="eastAsia"/>
          <w:sz w:val="30"/>
          <w:szCs w:val="30"/>
        </w:rPr>
        <w:t>1</w:t>
      </w:r>
      <w:r>
        <w:rPr>
          <w:sz w:val="30"/>
          <w:szCs w:val="30"/>
        </w:rPr>
        <w:t xml:space="preserve">3.4.1 </w:t>
      </w:r>
      <w:r>
        <w:rPr>
          <w:rFonts w:hint="eastAsia"/>
          <w:sz w:val="30"/>
          <w:szCs w:val="30"/>
        </w:rPr>
        <w:t>依法必须招标的暂估价项目</w:t>
      </w:r>
      <w:bookmarkEnd w:id="530"/>
    </w:p>
    <w:p w14:paraId="3931C453">
      <w:pPr>
        <w:ind w:firstLine="600"/>
        <w:rPr>
          <w:rFonts w:ascii="宋体" w:hAnsi="宋体"/>
          <w:sz w:val="30"/>
          <w:szCs w:val="30"/>
        </w:rPr>
      </w:pPr>
      <w:r>
        <w:rPr>
          <w:rFonts w:hint="eastAsia" w:ascii="宋体" w:hAnsi="宋体"/>
          <w:sz w:val="30"/>
          <w:szCs w:val="30"/>
        </w:rPr>
        <w:t>对于依法必须招标的暂估价项目，专用合同条件约定由承包人作为招标人的，招标文件、评标方案、评标结果应报送发包人批准。与组织招标工作有关的费用应当被认为已经包括在承包人的签约合同价中。</w:t>
      </w:r>
    </w:p>
    <w:p w14:paraId="190843A0">
      <w:pPr>
        <w:pStyle w:val="977"/>
        <w:numPr>
          <w:ilvl w:val="0"/>
          <w:numId w:val="0"/>
        </w:numPr>
        <w:ind w:firstLine="600" w:firstLineChars="200"/>
        <w:rPr>
          <w:kern w:val="2"/>
          <w:sz w:val="30"/>
          <w:szCs w:val="30"/>
        </w:rPr>
      </w:pPr>
      <w:r>
        <w:rPr>
          <w:rFonts w:hint="eastAsia"/>
          <w:kern w:val="2"/>
          <w:sz w:val="30"/>
          <w:szCs w:val="30"/>
        </w:rPr>
        <w:t>专用合同条件约定由发包人和承包人共同作为招标人的，与组织招标工作有关的费用在专用合同条件中约定。</w:t>
      </w:r>
    </w:p>
    <w:p w14:paraId="67F90531">
      <w:pPr>
        <w:ind w:firstLine="600"/>
        <w:rPr>
          <w:rFonts w:ascii="宋体" w:hAnsi="宋体"/>
          <w:sz w:val="30"/>
          <w:szCs w:val="30"/>
        </w:rPr>
      </w:pPr>
      <w:r>
        <w:rPr>
          <w:rFonts w:hint="eastAsia" w:ascii="宋体" w:hAnsi="宋体"/>
          <w:sz w:val="30"/>
          <w:szCs w:val="30"/>
        </w:rPr>
        <w:t>具体的招标程序以及发包人和承包人权利义务关系可在专用合同条件中约定。暂估价项目的中标金额与价格清单中所列暂估价的金额差以及相应的税金等其他费用应列入合同价格。</w:t>
      </w:r>
    </w:p>
    <w:p w14:paraId="2EDAEF9C">
      <w:pPr>
        <w:pStyle w:val="994"/>
        <w:numPr>
          <w:ilvl w:val="0"/>
          <w:numId w:val="0"/>
        </w:numPr>
        <w:rPr>
          <w:sz w:val="30"/>
          <w:szCs w:val="30"/>
        </w:rPr>
      </w:pPr>
      <w:bookmarkStart w:id="531" w:name="_Ref4682312"/>
      <w:r>
        <w:rPr>
          <w:rFonts w:hint="eastAsia"/>
          <w:sz w:val="30"/>
          <w:szCs w:val="30"/>
        </w:rPr>
        <w:t>1</w:t>
      </w:r>
      <w:r>
        <w:rPr>
          <w:sz w:val="30"/>
          <w:szCs w:val="30"/>
        </w:rPr>
        <w:t xml:space="preserve">3.4.2 </w:t>
      </w:r>
      <w:r>
        <w:rPr>
          <w:rFonts w:hint="eastAsia"/>
          <w:sz w:val="30"/>
          <w:szCs w:val="30"/>
        </w:rPr>
        <w:t>不属于依法必须招标的暂估价项目</w:t>
      </w:r>
      <w:bookmarkEnd w:id="531"/>
    </w:p>
    <w:p w14:paraId="3010FE7A">
      <w:pPr>
        <w:ind w:firstLine="600"/>
        <w:rPr>
          <w:rFonts w:ascii="宋体" w:hAnsi="宋体"/>
          <w:sz w:val="30"/>
          <w:szCs w:val="30"/>
        </w:rPr>
      </w:pPr>
      <w:r>
        <w:rPr>
          <w:rFonts w:hint="eastAsia" w:ascii="宋体" w:hAnsi="宋体"/>
          <w:sz w:val="30"/>
          <w:szCs w:val="30"/>
        </w:rPr>
        <w:t>对于不属于依法必须招标的暂估价项目，承包人具备实施暂估价项目的资格和条件的，经发包人和承包人协商一致后，可由承包人自行实施暂估价项目，具体的协商和估价程序以及发包人和承包人权利义务关系可在专用合同条件中约定。确定后的暂估价项目金额与价格清单中所列暂估价的金额差以及相应的税金等其他费用应列入合同价格。</w:t>
      </w:r>
    </w:p>
    <w:p w14:paraId="6BA88D39">
      <w:pPr>
        <w:ind w:firstLine="600"/>
        <w:rPr>
          <w:rFonts w:ascii="宋体" w:hAnsi="宋体"/>
          <w:sz w:val="30"/>
          <w:szCs w:val="30"/>
        </w:rPr>
      </w:pPr>
      <w:r>
        <w:rPr>
          <w:rFonts w:hint="eastAsia" w:ascii="宋体" w:hAnsi="宋体"/>
          <w:sz w:val="30"/>
          <w:szCs w:val="30"/>
        </w:rPr>
        <w:t>因发包人原因导致暂估价合同订立和履行迟延的，由此增加的费用和（或）延误的工期由发包人承担，并支付承包人合理的利润。因承包人原因导致暂估价合同订立和履行迟延的，由此增加的费用和（或）延误的工期由承包人承担。</w:t>
      </w:r>
    </w:p>
    <w:p w14:paraId="2515F4F6">
      <w:pPr>
        <w:pStyle w:val="969"/>
        <w:widowControl/>
        <w:numPr>
          <w:ilvl w:val="0"/>
          <w:numId w:val="0"/>
        </w:numPr>
        <w:rPr>
          <w:rFonts w:ascii="宋体" w:hAnsi="宋体" w:eastAsia="宋体"/>
          <w:b w:val="0"/>
          <w:sz w:val="30"/>
          <w:szCs w:val="30"/>
        </w:rPr>
      </w:pPr>
      <w:bookmarkStart w:id="532" w:name="_Ref4431250"/>
      <w:bookmarkStart w:id="533" w:name="_Toc54862287"/>
      <w:r>
        <w:rPr>
          <w:rFonts w:hint="eastAsia" w:ascii="宋体" w:hAnsi="宋体" w:eastAsia="宋体"/>
          <w:b w:val="0"/>
          <w:sz w:val="30"/>
          <w:szCs w:val="30"/>
        </w:rPr>
        <w:t>1</w:t>
      </w:r>
      <w:r>
        <w:rPr>
          <w:rFonts w:ascii="宋体" w:hAnsi="宋体" w:eastAsia="宋体"/>
          <w:b w:val="0"/>
          <w:sz w:val="30"/>
          <w:szCs w:val="30"/>
        </w:rPr>
        <w:t xml:space="preserve">3.5 </w:t>
      </w:r>
      <w:r>
        <w:rPr>
          <w:rFonts w:hint="eastAsia" w:ascii="宋体" w:hAnsi="宋体" w:eastAsia="宋体"/>
          <w:b w:val="0"/>
          <w:sz w:val="30"/>
          <w:szCs w:val="30"/>
        </w:rPr>
        <w:t>暂列金额</w:t>
      </w:r>
      <w:bookmarkEnd w:id="532"/>
      <w:bookmarkEnd w:id="533"/>
      <w:r>
        <w:rPr>
          <w:rFonts w:hint="eastAsia" w:ascii="宋体" w:hAnsi="宋体" w:eastAsia="宋体"/>
          <w:b w:val="0"/>
          <w:sz w:val="30"/>
          <w:szCs w:val="30"/>
        </w:rPr>
        <w:t xml:space="preserve"> </w:t>
      </w:r>
      <w:bookmarkEnd w:id="523"/>
      <w:bookmarkEnd w:id="524"/>
    </w:p>
    <w:bookmarkEnd w:id="525"/>
    <w:bookmarkEnd w:id="526"/>
    <w:bookmarkEnd w:id="527"/>
    <w:p w14:paraId="26F0DBB4">
      <w:pPr>
        <w:ind w:firstLine="600"/>
        <w:rPr>
          <w:rFonts w:ascii="宋体" w:hAnsi="宋体"/>
          <w:sz w:val="30"/>
          <w:szCs w:val="30"/>
        </w:rPr>
      </w:pPr>
      <w:r>
        <w:rPr>
          <w:rFonts w:hint="eastAsia" w:ascii="宋体" w:hAnsi="宋体"/>
          <w:sz w:val="30"/>
          <w:szCs w:val="30"/>
        </w:rPr>
        <w:t>除专用合同条件另有约定外，每一笔暂列金额只能按照发包人的指示全部或部分使用，并对合同价格进行相应调整。付给承包人的总金额应仅包括发包人已指示的，与暂列金额相关的工作、货物或服务的应付款项。</w:t>
      </w:r>
    </w:p>
    <w:p w14:paraId="08374215">
      <w:pPr>
        <w:ind w:firstLine="600"/>
        <w:rPr>
          <w:rFonts w:ascii="宋体" w:hAnsi="宋体"/>
          <w:sz w:val="30"/>
          <w:szCs w:val="30"/>
        </w:rPr>
      </w:pPr>
      <w:r>
        <w:rPr>
          <w:rFonts w:hint="eastAsia" w:ascii="宋体" w:hAnsi="宋体"/>
          <w:sz w:val="30"/>
          <w:szCs w:val="30"/>
        </w:rPr>
        <w:t>对于每笔暂列金额，发包人可以指示用于下列支付：</w:t>
      </w:r>
    </w:p>
    <w:p w14:paraId="70B6E1AA">
      <w:pPr>
        <w:ind w:firstLine="600"/>
        <w:rPr>
          <w:rFonts w:ascii="宋体" w:hAnsi="宋体"/>
          <w:sz w:val="30"/>
          <w:szCs w:val="30"/>
        </w:rPr>
      </w:pPr>
      <w:r>
        <w:rPr>
          <w:rFonts w:hint="eastAsia" w:ascii="宋体" w:hAnsi="宋体"/>
          <w:sz w:val="30"/>
          <w:szCs w:val="30"/>
        </w:rPr>
        <w:t>（1） 发包人根据第</w:t>
      </w:r>
      <w:r>
        <w:rPr>
          <w:rFonts w:ascii="宋体" w:hAnsi="宋体"/>
          <w:sz w:val="30"/>
          <w:szCs w:val="30"/>
        </w:rPr>
        <w:t>13.1</w:t>
      </w:r>
      <w:r>
        <w:rPr>
          <w:rFonts w:hint="eastAsia" w:ascii="宋体" w:hAnsi="宋体"/>
          <w:sz w:val="30"/>
          <w:szCs w:val="30"/>
        </w:rPr>
        <w:t>款[发包人变更权]指示变更，决定对合同价格和付款计划表（如有）进行调整的、由承包人实施的工作（包括要提供的工程设备、材料和服务）；</w:t>
      </w:r>
    </w:p>
    <w:p w14:paraId="1062644E">
      <w:pPr>
        <w:ind w:firstLine="600"/>
        <w:rPr>
          <w:rFonts w:ascii="宋体" w:hAnsi="宋体"/>
          <w:sz w:val="30"/>
          <w:szCs w:val="30"/>
        </w:rPr>
      </w:pPr>
      <w:r>
        <w:rPr>
          <w:rFonts w:hint="eastAsia" w:ascii="宋体" w:hAnsi="宋体"/>
          <w:sz w:val="30"/>
          <w:szCs w:val="30"/>
        </w:rPr>
        <w:t>（2） 承包人购买的工程设备、材料、工作或服务，应支付包括承包人已付（或应付）的实际金额以及相应的管理费等费用和利润（管理费和利润应以实际金额为基数根据合同约定的费率（如有）或百分比计算）。</w:t>
      </w:r>
    </w:p>
    <w:p w14:paraId="4FD026C5">
      <w:pPr>
        <w:ind w:firstLine="600"/>
        <w:rPr>
          <w:rFonts w:ascii="宋体" w:hAnsi="宋体"/>
          <w:sz w:val="30"/>
          <w:szCs w:val="30"/>
        </w:rPr>
      </w:pPr>
      <w:r>
        <w:rPr>
          <w:rFonts w:hint="eastAsia" w:ascii="宋体" w:hAnsi="宋体"/>
          <w:sz w:val="30"/>
          <w:szCs w:val="30"/>
        </w:rPr>
        <w:t>发包人根据上述(1)和（或）(2)指示支付暂列金额的，可以要求承包人提交其供应商提供的全部或部分要实施的工程或拟购买的工程设备、材料、工作或服务的项目报价单。发包人可以发出通知指示承包人接受其中的一个报价或指示撤销支付，发包人在收到项目报价单的7天内未作回应的，承包人应有权自行接受其中任何一个报价。</w:t>
      </w:r>
    </w:p>
    <w:p w14:paraId="3A3E1991">
      <w:pPr>
        <w:ind w:firstLine="600"/>
        <w:rPr>
          <w:rFonts w:ascii="宋体" w:hAnsi="宋体"/>
          <w:sz w:val="30"/>
          <w:szCs w:val="30"/>
        </w:rPr>
      </w:pPr>
      <w:r>
        <w:rPr>
          <w:rFonts w:hint="eastAsia" w:ascii="宋体" w:hAnsi="宋体"/>
          <w:sz w:val="30"/>
          <w:szCs w:val="30"/>
        </w:rPr>
        <w:t>每份包含暂列金额的文件还应包括用以证明暂列金额的所有有效的发票、凭证和账户或收据。</w:t>
      </w:r>
    </w:p>
    <w:p w14:paraId="5C570EAF">
      <w:pPr>
        <w:pStyle w:val="969"/>
        <w:widowControl/>
        <w:numPr>
          <w:ilvl w:val="0"/>
          <w:numId w:val="0"/>
        </w:numPr>
        <w:rPr>
          <w:rFonts w:ascii="宋体" w:hAnsi="宋体" w:eastAsia="宋体"/>
          <w:b w:val="0"/>
          <w:sz w:val="30"/>
          <w:szCs w:val="30"/>
        </w:rPr>
      </w:pPr>
      <w:bookmarkStart w:id="534" w:name="_Toc54862288"/>
      <w:bookmarkStart w:id="535" w:name="_Toc296503152"/>
      <w:bookmarkStart w:id="536" w:name="_Ref4431438"/>
      <w:bookmarkStart w:id="537" w:name="_Toc296346653"/>
      <w:bookmarkStart w:id="538" w:name="_Toc337558845"/>
      <w:r>
        <w:rPr>
          <w:rFonts w:hint="eastAsia" w:ascii="宋体" w:hAnsi="宋体" w:eastAsia="宋体"/>
          <w:b w:val="0"/>
          <w:sz w:val="30"/>
          <w:szCs w:val="30"/>
        </w:rPr>
        <w:t>1</w:t>
      </w:r>
      <w:r>
        <w:rPr>
          <w:rFonts w:ascii="宋体" w:hAnsi="宋体" w:eastAsia="宋体"/>
          <w:b w:val="0"/>
          <w:sz w:val="30"/>
          <w:szCs w:val="30"/>
        </w:rPr>
        <w:t xml:space="preserve">3.6 </w:t>
      </w:r>
      <w:r>
        <w:rPr>
          <w:rFonts w:hint="eastAsia" w:ascii="宋体" w:hAnsi="宋体" w:eastAsia="宋体"/>
          <w:b w:val="0"/>
          <w:sz w:val="30"/>
          <w:szCs w:val="30"/>
        </w:rPr>
        <w:t>计日工</w:t>
      </w:r>
      <w:bookmarkEnd w:id="534"/>
      <w:bookmarkEnd w:id="535"/>
      <w:bookmarkEnd w:id="536"/>
      <w:bookmarkEnd w:id="537"/>
      <w:bookmarkEnd w:id="538"/>
    </w:p>
    <w:p w14:paraId="21C4F93C">
      <w:pPr>
        <w:pStyle w:val="994"/>
        <w:numPr>
          <w:ilvl w:val="0"/>
          <w:numId w:val="0"/>
        </w:numPr>
        <w:rPr>
          <w:sz w:val="30"/>
          <w:szCs w:val="30"/>
        </w:rPr>
      </w:pPr>
      <w:r>
        <w:rPr>
          <w:rFonts w:hint="eastAsia"/>
          <w:sz w:val="30"/>
          <w:szCs w:val="30"/>
        </w:rPr>
        <w:t>1</w:t>
      </w:r>
      <w:r>
        <w:rPr>
          <w:sz w:val="30"/>
          <w:szCs w:val="30"/>
        </w:rPr>
        <w:t xml:space="preserve">3.6.1 </w:t>
      </w:r>
      <w:r>
        <w:rPr>
          <w:rFonts w:hint="eastAsia"/>
          <w:sz w:val="30"/>
          <w:szCs w:val="30"/>
        </w:rPr>
        <w:t>需要采用计日工方式的，经发包人同意后，由工程师通知承包人以计日工计价方式实施相应的工作，其价款按列入价格清单或预算书中的计日工计价项目及其单价进行计算；价格清单或预算书中无相应的计日工单价的，按照合理的成本与利润构成的原则，由工程师按照第</w:t>
      </w:r>
      <w:r>
        <w:rPr>
          <w:sz w:val="30"/>
          <w:szCs w:val="30"/>
        </w:rPr>
        <w:t>3.6</w:t>
      </w:r>
      <w:r>
        <w:rPr>
          <w:rFonts w:hint="eastAsia"/>
          <w:sz w:val="30"/>
          <w:szCs w:val="30"/>
        </w:rPr>
        <w:t>款[商定或确定]确定计日工的单价。</w:t>
      </w:r>
    </w:p>
    <w:p w14:paraId="4756BC1D">
      <w:pPr>
        <w:pStyle w:val="994"/>
        <w:numPr>
          <w:ilvl w:val="0"/>
          <w:numId w:val="0"/>
        </w:numPr>
        <w:rPr>
          <w:sz w:val="30"/>
          <w:szCs w:val="30"/>
        </w:rPr>
      </w:pPr>
      <w:r>
        <w:rPr>
          <w:rFonts w:hint="eastAsia"/>
          <w:sz w:val="30"/>
          <w:szCs w:val="30"/>
        </w:rPr>
        <w:t>1</w:t>
      </w:r>
      <w:r>
        <w:rPr>
          <w:sz w:val="30"/>
          <w:szCs w:val="30"/>
        </w:rPr>
        <w:t xml:space="preserve">3.6.2 </w:t>
      </w:r>
      <w:r>
        <w:rPr>
          <w:rFonts w:hint="eastAsia"/>
          <w:sz w:val="30"/>
          <w:szCs w:val="30"/>
        </w:rPr>
        <w:t>采用计日工计价的任何一项工作，承包人应在该项工作实施过程中，每天提交以下报表和有关凭证报送工程师审查：</w:t>
      </w:r>
    </w:p>
    <w:p w14:paraId="2A6817F3">
      <w:pPr>
        <w:ind w:firstLine="600"/>
        <w:rPr>
          <w:rFonts w:ascii="宋体" w:hAnsi="宋体"/>
          <w:sz w:val="30"/>
          <w:szCs w:val="30"/>
        </w:rPr>
      </w:pPr>
      <w:r>
        <w:rPr>
          <w:rFonts w:hint="eastAsia" w:ascii="宋体" w:hAnsi="宋体"/>
          <w:sz w:val="30"/>
          <w:szCs w:val="30"/>
        </w:rPr>
        <w:t>（1） 工作名称、内容和数量；</w:t>
      </w:r>
    </w:p>
    <w:p w14:paraId="2272024D">
      <w:pPr>
        <w:ind w:firstLine="600"/>
        <w:rPr>
          <w:rFonts w:ascii="宋体" w:hAnsi="宋体"/>
          <w:sz w:val="30"/>
          <w:szCs w:val="30"/>
        </w:rPr>
      </w:pPr>
      <w:r>
        <w:rPr>
          <w:rFonts w:hint="eastAsia" w:ascii="宋体" w:hAnsi="宋体"/>
          <w:sz w:val="30"/>
          <w:szCs w:val="30"/>
        </w:rPr>
        <w:t>（2） 投入该工作的所有人员的姓名、专业、工种、级别和耗用工时；</w:t>
      </w:r>
    </w:p>
    <w:p w14:paraId="0B360D2C">
      <w:pPr>
        <w:ind w:firstLine="600"/>
        <w:rPr>
          <w:rFonts w:ascii="宋体" w:hAnsi="宋体"/>
          <w:sz w:val="30"/>
          <w:szCs w:val="30"/>
        </w:rPr>
      </w:pPr>
      <w:r>
        <w:rPr>
          <w:rFonts w:hint="eastAsia" w:ascii="宋体" w:hAnsi="宋体"/>
          <w:sz w:val="30"/>
          <w:szCs w:val="30"/>
        </w:rPr>
        <w:t>（3） 投入该工作的材料类别和数量；</w:t>
      </w:r>
    </w:p>
    <w:p w14:paraId="4DAA24BE">
      <w:pPr>
        <w:ind w:firstLine="600"/>
        <w:rPr>
          <w:rFonts w:ascii="宋体" w:hAnsi="宋体"/>
          <w:sz w:val="30"/>
          <w:szCs w:val="30"/>
        </w:rPr>
      </w:pPr>
      <w:r>
        <w:rPr>
          <w:rFonts w:hint="eastAsia" w:ascii="宋体" w:hAnsi="宋体"/>
          <w:sz w:val="30"/>
          <w:szCs w:val="30"/>
        </w:rPr>
        <w:t>（4） 投入该工作的施工设备型号、台数和耗用台时；</w:t>
      </w:r>
    </w:p>
    <w:p w14:paraId="273FD3DD">
      <w:pPr>
        <w:ind w:firstLine="600"/>
        <w:rPr>
          <w:rFonts w:ascii="宋体" w:hAnsi="宋体"/>
          <w:sz w:val="30"/>
          <w:szCs w:val="30"/>
        </w:rPr>
      </w:pPr>
      <w:r>
        <w:rPr>
          <w:rFonts w:hint="eastAsia" w:ascii="宋体" w:hAnsi="宋体"/>
          <w:sz w:val="30"/>
          <w:szCs w:val="30"/>
        </w:rPr>
        <w:t>（</w:t>
      </w:r>
      <w:r>
        <w:rPr>
          <w:rFonts w:ascii="宋体" w:hAnsi="宋体"/>
          <w:sz w:val="30"/>
          <w:szCs w:val="30"/>
        </w:rPr>
        <w:t>5</w:t>
      </w:r>
      <w:r>
        <w:rPr>
          <w:rFonts w:hint="eastAsia" w:ascii="宋体" w:hAnsi="宋体"/>
          <w:sz w:val="30"/>
          <w:szCs w:val="30"/>
        </w:rPr>
        <w:t>） 其他有关资料和凭证。</w:t>
      </w:r>
    </w:p>
    <w:p w14:paraId="6F5EE5C7">
      <w:pPr>
        <w:ind w:firstLine="600"/>
        <w:rPr>
          <w:rFonts w:ascii="宋体" w:hAnsi="宋体"/>
          <w:sz w:val="30"/>
          <w:szCs w:val="30"/>
        </w:rPr>
      </w:pPr>
      <w:r>
        <w:rPr>
          <w:rFonts w:hint="eastAsia" w:ascii="宋体" w:hAnsi="宋体"/>
          <w:sz w:val="30"/>
          <w:szCs w:val="30"/>
        </w:rPr>
        <w:t>计日工由承包人汇总后，列入最近一期进度付款申请单，由工程师审查并经发包人批准后列入进度付款。</w:t>
      </w:r>
    </w:p>
    <w:p w14:paraId="6926A3B2">
      <w:pPr>
        <w:pStyle w:val="969"/>
        <w:widowControl/>
        <w:numPr>
          <w:ilvl w:val="0"/>
          <w:numId w:val="0"/>
        </w:numPr>
        <w:rPr>
          <w:rFonts w:ascii="宋体" w:hAnsi="宋体" w:eastAsia="宋体"/>
          <w:b w:val="0"/>
          <w:sz w:val="30"/>
          <w:szCs w:val="30"/>
        </w:rPr>
      </w:pPr>
      <w:bookmarkStart w:id="539" w:name="_Toc54862289"/>
      <w:bookmarkStart w:id="540" w:name="_Ref4617331"/>
      <w:bookmarkStart w:id="541" w:name="_Ref4617318"/>
      <w:r>
        <w:rPr>
          <w:rFonts w:hint="eastAsia" w:ascii="宋体" w:hAnsi="宋体" w:eastAsia="宋体"/>
          <w:b w:val="0"/>
          <w:sz w:val="30"/>
          <w:szCs w:val="30"/>
        </w:rPr>
        <w:t>1</w:t>
      </w:r>
      <w:r>
        <w:rPr>
          <w:rFonts w:ascii="宋体" w:hAnsi="宋体" w:eastAsia="宋体"/>
          <w:b w:val="0"/>
          <w:sz w:val="30"/>
          <w:szCs w:val="30"/>
        </w:rPr>
        <w:t xml:space="preserve">3.7 </w:t>
      </w:r>
      <w:r>
        <w:rPr>
          <w:rFonts w:hint="eastAsia" w:ascii="宋体" w:hAnsi="宋体" w:eastAsia="宋体"/>
          <w:b w:val="0"/>
          <w:sz w:val="30"/>
          <w:szCs w:val="30"/>
        </w:rPr>
        <w:t>法律变化引起的调整</w:t>
      </w:r>
      <w:bookmarkEnd w:id="539"/>
      <w:bookmarkEnd w:id="540"/>
      <w:bookmarkEnd w:id="541"/>
    </w:p>
    <w:p w14:paraId="55718C05">
      <w:pPr>
        <w:pStyle w:val="994"/>
        <w:numPr>
          <w:ilvl w:val="0"/>
          <w:numId w:val="0"/>
        </w:numPr>
        <w:rPr>
          <w:sz w:val="30"/>
          <w:szCs w:val="30"/>
        </w:rPr>
      </w:pPr>
      <w:r>
        <w:rPr>
          <w:rFonts w:hint="eastAsia"/>
          <w:sz w:val="30"/>
          <w:szCs w:val="30"/>
        </w:rPr>
        <w:t>1</w:t>
      </w:r>
      <w:r>
        <w:rPr>
          <w:sz w:val="30"/>
          <w:szCs w:val="30"/>
        </w:rPr>
        <w:t xml:space="preserve">3.7.1 </w:t>
      </w:r>
      <w:r>
        <w:rPr>
          <w:rFonts w:hint="eastAsia"/>
          <w:sz w:val="30"/>
          <w:szCs w:val="30"/>
        </w:rPr>
        <w:t>基准日期后，法律变化导致承包人在合同履行过程中所需要的费用发生除第13.</w:t>
      </w:r>
      <w:r>
        <w:rPr>
          <w:sz w:val="30"/>
          <w:szCs w:val="30"/>
        </w:rPr>
        <w:t>8</w:t>
      </w:r>
      <w:r>
        <w:rPr>
          <w:rFonts w:hint="eastAsia"/>
          <w:sz w:val="30"/>
          <w:szCs w:val="30"/>
        </w:rPr>
        <w:t>款[市场价格波动引起的调整]约定以外的增加时，由发包人承担由此增加的费用；减少时，应从合同价格中予以扣减。基准日期后，因法律变化造成工期延误时，工期应予以顺延。</w:t>
      </w:r>
    </w:p>
    <w:p w14:paraId="37EBA9E3">
      <w:pPr>
        <w:pStyle w:val="994"/>
        <w:numPr>
          <w:ilvl w:val="0"/>
          <w:numId w:val="0"/>
        </w:numPr>
        <w:rPr>
          <w:sz w:val="30"/>
          <w:szCs w:val="30"/>
        </w:rPr>
      </w:pPr>
      <w:r>
        <w:rPr>
          <w:rFonts w:hint="eastAsia"/>
          <w:sz w:val="30"/>
          <w:szCs w:val="30"/>
        </w:rPr>
        <w:t>1</w:t>
      </w:r>
      <w:r>
        <w:rPr>
          <w:sz w:val="30"/>
          <w:szCs w:val="30"/>
        </w:rPr>
        <w:t xml:space="preserve">3.7.2 </w:t>
      </w:r>
      <w:r>
        <w:rPr>
          <w:rFonts w:hint="eastAsia"/>
          <w:sz w:val="30"/>
          <w:szCs w:val="30"/>
        </w:rPr>
        <w:t>因法律变化引起的合同价格和工期调整，合同当事人无法达成一致的，由工程师按第</w:t>
      </w:r>
      <w:r>
        <w:rPr>
          <w:sz w:val="30"/>
          <w:szCs w:val="30"/>
        </w:rPr>
        <w:t>3.6</w:t>
      </w:r>
      <w:r>
        <w:rPr>
          <w:rFonts w:hint="eastAsia"/>
          <w:sz w:val="30"/>
          <w:szCs w:val="30"/>
        </w:rPr>
        <w:t>款[商定或确定]的约定处理。</w:t>
      </w:r>
    </w:p>
    <w:p w14:paraId="655DCD06">
      <w:pPr>
        <w:pStyle w:val="994"/>
        <w:numPr>
          <w:ilvl w:val="0"/>
          <w:numId w:val="0"/>
        </w:numPr>
        <w:rPr>
          <w:sz w:val="30"/>
          <w:szCs w:val="30"/>
        </w:rPr>
      </w:pPr>
      <w:r>
        <w:rPr>
          <w:rFonts w:hint="eastAsia"/>
          <w:sz w:val="30"/>
          <w:szCs w:val="30"/>
        </w:rPr>
        <w:t>1</w:t>
      </w:r>
      <w:r>
        <w:rPr>
          <w:sz w:val="30"/>
          <w:szCs w:val="30"/>
        </w:rPr>
        <w:t xml:space="preserve">3.7.3 </w:t>
      </w:r>
      <w:r>
        <w:rPr>
          <w:rFonts w:hint="eastAsia"/>
          <w:sz w:val="30"/>
          <w:szCs w:val="30"/>
        </w:rPr>
        <w:t>因承包人原因造成工期延误，在工期延误期间出现法律变化的，由此增加的费用和（或）延误的工期由承包人承担。</w:t>
      </w:r>
    </w:p>
    <w:p w14:paraId="66377CBE">
      <w:pPr>
        <w:pStyle w:val="994"/>
        <w:numPr>
          <w:ilvl w:val="0"/>
          <w:numId w:val="0"/>
        </w:numPr>
        <w:rPr>
          <w:sz w:val="30"/>
          <w:szCs w:val="30"/>
        </w:rPr>
      </w:pPr>
      <w:r>
        <w:rPr>
          <w:rFonts w:hint="eastAsia"/>
          <w:sz w:val="30"/>
          <w:szCs w:val="30"/>
        </w:rPr>
        <w:t>1</w:t>
      </w:r>
      <w:r>
        <w:rPr>
          <w:sz w:val="30"/>
          <w:szCs w:val="30"/>
        </w:rPr>
        <w:t xml:space="preserve">3.7.4 </w:t>
      </w:r>
      <w:r>
        <w:rPr>
          <w:rFonts w:hint="eastAsia"/>
          <w:sz w:val="30"/>
          <w:szCs w:val="30"/>
        </w:rPr>
        <w:t>因法律变化而需要对工程的实施进行任何调整的，承包人应迅速通知发包人，或者发包人应迅速通知承包人，并附上详细的辅助资料。发包人接到通知后，应根据第</w:t>
      </w:r>
      <w:r>
        <w:rPr>
          <w:sz w:val="30"/>
          <w:szCs w:val="30"/>
        </w:rPr>
        <w:t>13.3</w:t>
      </w:r>
      <w:r>
        <w:rPr>
          <w:rFonts w:hint="eastAsia"/>
          <w:sz w:val="30"/>
          <w:szCs w:val="30"/>
        </w:rPr>
        <w:t>款[</w:t>
      </w:r>
      <w:r>
        <w:rPr>
          <w:sz w:val="30"/>
          <w:szCs w:val="30"/>
        </w:rPr>
        <w:t>变更程序</w:t>
      </w:r>
      <w:r>
        <w:rPr>
          <w:rFonts w:hint="eastAsia"/>
          <w:sz w:val="30"/>
          <w:szCs w:val="30"/>
        </w:rPr>
        <w:t>]发出变更指示。</w:t>
      </w:r>
    </w:p>
    <w:p w14:paraId="3F8AC688">
      <w:pPr>
        <w:pStyle w:val="969"/>
        <w:widowControl/>
        <w:numPr>
          <w:ilvl w:val="0"/>
          <w:numId w:val="0"/>
        </w:numPr>
        <w:rPr>
          <w:rFonts w:ascii="宋体" w:hAnsi="宋体" w:eastAsia="宋体"/>
          <w:b w:val="0"/>
          <w:sz w:val="30"/>
          <w:szCs w:val="30"/>
        </w:rPr>
      </w:pPr>
      <w:bookmarkStart w:id="542" w:name="_Ref531955630"/>
      <w:bookmarkStart w:id="543" w:name="_Ref18977613"/>
      <w:bookmarkStart w:id="544" w:name="_Ref531955627"/>
      <w:bookmarkStart w:id="545" w:name="_Toc54862290"/>
      <w:r>
        <w:rPr>
          <w:rFonts w:hint="eastAsia" w:ascii="宋体" w:hAnsi="宋体" w:eastAsia="宋体"/>
          <w:b w:val="0"/>
          <w:sz w:val="30"/>
          <w:szCs w:val="30"/>
        </w:rPr>
        <w:t>1</w:t>
      </w:r>
      <w:r>
        <w:rPr>
          <w:rFonts w:ascii="宋体" w:hAnsi="宋体" w:eastAsia="宋体"/>
          <w:b w:val="0"/>
          <w:sz w:val="30"/>
          <w:szCs w:val="30"/>
        </w:rPr>
        <w:t xml:space="preserve">3.8 </w:t>
      </w:r>
      <w:r>
        <w:rPr>
          <w:rFonts w:hint="eastAsia" w:ascii="宋体" w:hAnsi="宋体" w:eastAsia="宋体"/>
          <w:b w:val="0"/>
          <w:sz w:val="30"/>
          <w:szCs w:val="30"/>
        </w:rPr>
        <w:t>市场价格波动引起的调整</w:t>
      </w:r>
      <w:bookmarkEnd w:id="542"/>
      <w:bookmarkEnd w:id="543"/>
      <w:bookmarkEnd w:id="544"/>
      <w:bookmarkEnd w:id="545"/>
    </w:p>
    <w:p w14:paraId="0DBEE516">
      <w:pPr>
        <w:pStyle w:val="994"/>
        <w:numPr>
          <w:ilvl w:val="0"/>
          <w:numId w:val="0"/>
        </w:numPr>
        <w:rPr>
          <w:sz w:val="30"/>
          <w:szCs w:val="30"/>
        </w:rPr>
      </w:pPr>
      <w:bookmarkStart w:id="546" w:name="_Ref4709841"/>
      <w:r>
        <w:rPr>
          <w:rFonts w:hint="eastAsia"/>
          <w:sz w:val="30"/>
          <w:szCs w:val="30"/>
        </w:rPr>
        <w:t>1</w:t>
      </w:r>
      <w:r>
        <w:rPr>
          <w:sz w:val="30"/>
          <w:szCs w:val="30"/>
        </w:rPr>
        <w:t xml:space="preserve">3.8.1 </w:t>
      </w:r>
      <w:r>
        <w:rPr>
          <w:rFonts w:hint="eastAsia"/>
          <w:sz w:val="30"/>
          <w:szCs w:val="30"/>
        </w:rPr>
        <w:t>主要工程材料、设备、人工价格与招标时基期价相比，波动幅度超过合同约定幅度的，双方按照合同约定的价格调整方式调整。</w:t>
      </w:r>
    </w:p>
    <w:p w14:paraId="7950D15E">
      <w:pPr>
        <w:pStyle w:val="994"/>
        <w:numPr>
          <w:ilvl w:val="0"/>
          <w:numId w:val="0"/>
        </w:numPr>
        <w:rPr>
          <w:sz w:val="30"/>
          <w:szCs w:val="30"/>
        </w:rPr>
      </w:pPr>
      <w:r>
        <w:rPr>
          <w:rFonts w:hint="eastAsia"/>
          <w:sz w:val="30"/>
          <w:szCs w:val="30"/>
        </w:rPr>
        <w:t>1</w:t>
      </w:r>
      <w:r>
        <w:rPr>
          <w:sz w:val="30"/>
          <w:szCs w:val="30"/>
        </w:rPr>
        <w:t xml:space="preserve">3.8.2 </w:t>
      </w:r>
      <w:r>
        <w:rPr>
          <w:rFonts w:hint="eastAsia"/>
          <w:sz w:val="30"/>
          <w:szCs w:val="30"/>
        </w:rPr>
        <w:t>发包人与承包人在专用合同条件中约定采用《价格指数权重表》的，适用本项约定。</w:t>
      </w:r>
    </w:p>
    <w:p w14:paraId="34AB54DB">
      <w:pPr>
        <w:pStyle w:val="995"/>
        <w:numPr>
          <w:ilvl w:val="0"/>
          <w:numId w:val="0"/>
        </w:numPr>
        <w:rPr>
          <w:sz w:val="30"/>
          <w:szCs w:val="30"/>
        </w:rPr>
      </w:pPr>
      <w:r>
        <w:rPr>
          <w:rFonts w:hint="eastAsia"/>
          <w:sz w:val="30"/>
          <w:szCs w:val="30"/>
        </w:rPr>
        <w:t>1</w:t>
      </w:r>
      <w:r>
        <w:rPr>
          <w:sz w:val="30"/>
          <w:szCs w:val="30"/>
        </w:rPr>
        <w:t xml:space="preserve">3.8.2.1 </w:t>
      </w:r>
      <w:r>
        <w:rPr>
          <w:rFonts w:hint="eastAsia"/>
          <w:sz w:val="30"/>
          <w:szCs w:val="30"/>
        </w:rPr>
        <w:t>双方当事人可以将部分主要工程材料、工程设备、人工价格及其他双方认为应当根据市场价格调整的费用列入附件</w:t>
      </w:r>
      <w:r>
        <w:rPr>
          <w:sz w:val="30"/>
          <w:szCs w:val="30"/>
        </w:rPr>
        <w:t>6</w:t>
      </w:r>
      <w:r>
        <w:rPr>
          <w:rFonts w:hint="eastAsia"/>
          <w:sz w:val="30"/>
          <w:szCs w:val="30"/>
        </w:rPr>
        <w:t>[</w:t>
      </w:r>
      <w:r>
        <w:rPr>
          <w:sz w:val="30"/>
          <w:szCs w:val="30"/>
        </w:rPr>
        <w:t>价格指数权重表</w:t>
      </w:r>
      <w:r>
        <w:rPr>
          <w:rFonts w:hint="eastAsia"/>
          <w:sz w:val="30"/>
          <w:szCs w:val="30"/>
        </w:rPr>
        <w:t>]</w:t>
      </w:r>
      <w:r>
        <w:rPr>
          <w:sz w:val="30"/>
          <w:szCs w:val="30"/>
        </w:rPr>
        <w:t>，并根据以下公式计算差额并调整合同价格：</w:t>
      </w:r>
    </w:p>
    <w:bookmarkEnd w:id="546"/>
    <w:p w14:paraId="2A3FD3F3">
      <w:pPr>
        <w:ind w:firstLine="600"/>
        <w:rPr>
          <w:rFonts w:ascii="宋体" w:hAnsi="宋体"/>
          <w:sz w:val="30"/>
          <w:szCs w:val="30"/>
        </w:rPr>
      </w:pPr>
      <w:bookmarkStart w:id="547" w:name="_Ref4616996"/>
      <w:r>
        <w:rPr>
          <w:rFonts w:hint="eastAsia" w:ascii="宋体" w:hAnsi="宋体"/>
          <w:sz w:val="30"/>
          <w:szCs w:val="30"/>
        </w:rPr>
        <w:t>（1） 价格调整公式</w:t>
      </w:r>
      <w:bookmarkEnd w:id="547"/>
    </w:p>
    <w:p w14:paraId="0125C762">
      <w:pPr>
        <w:rPr>
          <w:rFonts w:ascii="宋体" w:hAnsi="宋体"/>
          <w:sz w:val="30"/>
          <w:szCs w:val="30"/>
        </w:rPr>
      </w:pPr>
      <w:r>
        <w:rPr>
          <w:rFonts w:ascii="宋体" w:hAnsi="宋体"/>
          <w:sz w:val="30"/>
          <w:szCs w:val="30"/>
        </w:rPr>
        <w:pict>
          <v:shape id="_x0000_i1025" o:spt="75" type="#_x0000_t75" style="height:53.25pt;width:376.5pt;" filled="f" o:preferrelative="t" stroked="f" coordsize="21600,21600">
            <v:path/>
            <v:fill on="f" focussize="0,0"/>
            <v:stroke on="f" joinstyle="miter"/>
            <v:imagedata r:id="rId17" o:title=""/>
            <o:lock v:ext="edit" aspectratio="t"/>
            <w10:wrap type="none"/>
            <w10:anchorlock/>
          </v:shape>
        </w:pict>
      </w:r>
    </w:p>
    <w:p w14:paraId="5FE0DE79">
      <w:pPr>
        <w:ind w:firstLine="600"/>
        <w:rPr>
          <w:rFonts w:ascii="宋体" w:hAnsi="宋体"/>
          <w:sz w:val="30"/>
          <w:szCs w:val="30"/>
        </w:rPr>
      </w:pPr>
      <w:r>
        <w:rPr>
          <w:rFonts w:hint="eastAsia" w:ascii="宋体" w:hAnsi="宋体"/>
          <w:sz w:val="30"/>
          <w:szCs w:val="30"/>
        </w:rPr>
        <w:t>公式中：△P---需调整的价格差额；</w:t>
      </w:r>
    </w:p>
    <w:p w14:paraId="62690B0D">
      <w:pPr>
        <w:ind w:firstLine="600"/>
        <w:rPr>
          <w:rFonts w:ascii="宋体" w:hAnsi="宋体"/>
          <w:sz w:val="30"/>
          <w:szCs w:val="30"/>
        </w:rPr>
      </w:pPr>
      <w:r>
        <w:rPr>
          <w:rFonts w:hint="eastAsia" w:ascii="宋体" w:hAnsi="宋体"/>
          <w:sz w:val="30"/>
          <w:szCs w:val="30"/>
        </w:rPr>
        <w:t>PO---付款证书中承包人应得到的已完成工作量的金额。此项金额应不包括价格调整、不计质量保证金的预留和支付、预付款的支付和扣回。第13条[变更与</w:t>
      </w:r>
      <w:r>
        <w:rPr>
          <w:rFonts w:ascii="宋体" w:hAnsi="宋体"/>
          <w:sz w:val="30"/>
          <w:szCs w:val="30"/>
        </w:rPr>
        <w:t>调整</w:t>
      </w:r>
      <w:r>
        <w:rPr>
          <w:rFonts w:hint="eastAsia" w:ascii="宋体" w:hAnsi="宋体"/>
          <w:sz w:val="30"/>
          <w:szCs w:val="30"/>
        </w:rPr>
        <w:t>]约定的变更及其他金额已按当期价格计价的，也不计在内；</w:t>
      </w:r>
    </w:p>
    <w:p w14:paraId="3E946E8B">
      <w:pPr>
        <w:ind w:firstLine="600"/>
        <w:rPr>
          <w:rFonts w:ascii="宋体" w:hAnsi="宋体"/>
          <w:sz w:val="30"/>
          <w:szCs w:val="30"/>
        </w:rPr>
      </w:pPr>
      <w:r>
        <w:rPr>
          <w:rFonts w:hint="eastAsia" w:ascii="宋体" w:hAnsi="宋体"/>
          <w:sz w:val="30"/>
          <w:szCs w:val="30"/>
        </w:rPr>
        <w:t xml:space="preserve">A ---定值权重（即不调部分的权重）； </w:t>
      </w:r>
    </w:p>
    <w:p w14:paraId="720DD17E">
      <w:pPr>
        <w:ind w:firstLine="600"/>
        <w:rPr>
          <w:rFonts w:ascii="宋体" w:hAnsi="宋体"/>
          <w:sz w:val="30"/>
          <w:szCs w:val="30"/>
        </w:rPr>
      </w:pPr>
      <w:bookmarkStart w:id="548" w:name="_Hlk24103184"/>
      <w:r>
        <w:rPr>
          <w:rFonts w:hint="eastAsia" w:ascii="宋体" w:hAnsi="宋体"/>
          <w:sz w:val="30"/>
          <w:szCs w:val="30"/>
        </w:rPr>
        <w:t>B1</w:t>
      </w:r>
      <w:bookmarkEnd w:id="548"/>
      <w:r>
        <w:rPr>
          <w:rFonts w:hint="eastAsia" w:ascii="宋体" w:hAnsi="宋体"/>
          <w:sz w:val="30"/>
          <w:szCs w:val="30"/>
        </w:rPr>
        <w:t>；</w:t>
      </w:r>
      <w:bookmarkStart w:id="549" w:name="_Hlk24103205"/>
      <w:r>
        <w:rPr>
          <w:rFonts w:hint="eastAsia" w:ascii="宋体" w:hAnsi="宋体"/>
          <w:sz w:val="30"/>
          <w:szCs w:val="30"/>
        </w:rPr>
        <w:t>B2</w:t>
      </w:r>
      <w:bookmarkEnd w:id="549"/>
      <w:r>
        <w:rPr>
          <w:rFonts w:hint="eastAsia" w:ascii="宋体" w:hAnsi="宋体"/>
          <w:sz w:val="30"/>
          <w:szCs w:val="30"/>
        </w:rPr>
        <w:t>；</w:t>
      </w:r>
      <w:bookmarkStart w:id="550" w:name="_Hlk24103220"/>
      <w:r>
        <w:rPr>
          <w:rFonts w:hint="eastAsia" w:ascii="宋体" w:hAnsi="宋体"/>
          <w:sz w:val="30"/>
          <w:szCs w:val="30"/>
        </w:rPr>
        <w:t>B3</w:t>
      </w:r>
      <w:bookmarkEnd w:id="550"/>
      <w:r>
        <w:rPr>
          <w:rFonts w:hint="eastAsia" w:ascii="宋体" w:hAnsi="宋体"/>
          <w:sz w:val="30"/>
          <w:szCs w:val="30"/>
        </w:rPr>
        <w:t>；……</w:t>
      </w:r>
      <w:bookmarkStart w:id="551" w:name="_Hlk24103245"/>
      <w:r>
        <w:rPr>
          <w:rFonts w:hint="eastAsia" w:ascii="宋体" w:hAnsi="宋体"/>
          <w:sz w:val="30"/>
          <w:szCs w:val="30"/>
        </w:rPr>
        <w:t>Bn</w:t>
      </w:r>
      <w:bookmarkEnd w:id="551"/>
      <w:r>
        <w:rPr>
          <w:rFonts w:hint="eastAsia" w:ascii="宋体" w:hAnsi="宋体"/>
          <w:sz w:val="30"/>
          <w:szCs w:val="30"/>
        </w:rPr>
        <w:t>---各可调因子的变值权重（即可调部分的权重）为各可调因子在投标函投标总报价中所占的比例，且A+B1+B2+B3+……+Bn=1；</w:t>
      </w:r>
    </w:p>
    <w:p w14:paraId="1DFC878F">
      <w:pPr>
        <w:ind w:firstLine="600"/>
        <w:rPr>
          <w:rFonts w:ascii="宋体" w:hAnsi="宋体"/>
          <w:sz w:val="30"/>
          <w:szCs w:val="30"/>
        </w:rPr>
      </w:pPr>
      <w:r>
        <w:rPr>
          <w:rFonts w:hint="eastAsia" w:ascii="宋体" w:hAnsi="宋体"/>
          <w:sz w:val="30"/>
          <w:szCs w:val="30"/>
        </w:rPr>
        <w:t>Ft1；Ft2；Ft3；……Ftn---各可调因子的当期价格指数，指付款证书相关周期最后一天的前42天的各可调因子的价格指数；</w:t>
      </w:r>
    </w:p>
    <w:p w14:paraId="4212804A">
      <w:pPr>
        <w:ind w:firstLine="600"/>
        <w:rPr>
          <w:rFonts w:ascii="宋体" w:hAnsi="宋体"/>
          <w:sz w:val="30"/>
          <w:szCs w:val="30"/>
        </w:rPr>
      </w:pPr>
      <w:r>
        <w:rPr>
          <w:rFonts w:hint="eastAsia" w:ascii="宋体" w:hAnsi="宋体"/>
          <w:sz w:val="30"/>
          <w:szCs w:val="30"/>
        </w:rPr>
        <w:t>F01；F02；F03；……F0n---各可调因子的基本价格指数，指基准日期的各可调因子的价格指数。</w:t>
      </w:r>
    </w:p>
    <w:p w14:paraId="67C58D66">
      <w:pPr>
        <w:ind w:firstLine="600"/>
        <w:rPr>
          <w:rFonts w:ascii="宋体" w:hAnsi="宋体"/>
          <w:sz w:val="30"/>
          <w:szCs w:val="30"/>
        </w:rPr>
      </w:pPr>
      <w:r>
        <w:rPr>
          <w:rFonts w:hint="eastAsia" w:ascii="宋体" w:hAnsi="宋体"/>
          <w:sz w:val="30"/>
          <w:szCs w:val="30"/>
        </w:rPr>
        <w:t>以上价格调整公式中的各可调因子、定值和变值权重，以及基本价格指数及其来源在投标函附录价格指数和权重表中约定。价格指数应首先采用投标函附录中载明的有关部门提供的价格指数，缺乏上述价格指数时，可采用有关部门提供的价格代替。</w:t>
      </w:r>
    </w:p>
    <w:p w14:paraId="6E71910C">
      <w:pPr>
        <w:ind w:firstLine="600"/>
        <w:rPr>
          <w:rFonts w:ascii="宋体" w:hAnsi="宋体"/>
          <w:sz w:val="30"/>
          <w:szCs w:val="30"/>
        </w:rPr>
      </w:pPr>
      <w:r>
        <w:rPr>
          <w:rFonts w:hint="eastAsia" w:ascii="宋体" w:hAnsi="宋体"/>
          <w:sz w:val="30"/>
          <w:szCs w:val="30"/>
        </w:rPr>
        <w:t>（2） 暂时确定调整差额</w:t>
      </w:r>
    </w:p>
    <w:p w14:paraId="543ED2DE">
      <w:pPr>
        <w:ind w:firstLine="600"/>
        <w:rPr>
          <w:rFonts w:ascii="宋体" w:hAnsi="宋体"/>
          <w:sz w:val="30"/>
          <w:szCs w:val="30"/>
        </w:rPr>
      </w:pPr>
      <w:r>
        <w:rPr>
          <w:rFonts w:hint="eastAsia" w:ascii="宋体" w:hAnsi="宋体"/>
          <w:sz w:val="30"/>
          <w:szCs w:val="30"/>
        </w:rPr>
        <w:t>在计算调整差额时得不到当期价格指数的，可暂用上一次价格指数计算，并在以后的付款中再按实际价格指数进行调整。</w:t>
      </w:r>
    </w:p>
    <w:p w14:paraId="58937EFF">
      <w:pPr>
        <w:ind w:firstLine="600"/>
        <w:rPr>
          <w:rFonts w:ascii="宋体" w:hAnsi="宋体"/>
          <w:sz w:val="30"/>
          <w:szCs w:val="30"/>
        </w:rPr>
      </w:pPr>
      <w:r>
        <w:rPr>
          <w:rFonts w:hint="eastAsia" w:ascii="宋体" w:hAnsi="宋体"/>
          <w:sz w:val="30"/>
          <w:szCs w:val="30"/>
        </w:rPr>
        <w:t>（3） 权重的调整</w:t>
      </w:r>
    </w:p>
    <w:p w14:paraId="1C03496F">
      <w:pPr>
        <w:ind w:firstLine="600"/>
        <w:rPr>
          <w:rFonts w:ascii="宋体" w:hAnsi="宋体"/>
          <w:sz w:val="30"/>
          <w:szCs w:val="30"/>
        </w:rPr>
      </w:pPr>
      <w:r>
        <w:rPr>
          <w:rFonts w:hint="eastAsia" w:ascii="宋体" w:hAnsi="宋体"/>
          <w:sz w:val="30"/>
          <w:szCs w:val="30"/>
        </w:rPr>
        <w:t>按第</w:t>
      </w:r>
      <w:r>
        <w:rPr>
          <w:rFonts w:ascii="宋体" w:hAnsi="宋体"/>
          <w:sz w:val="30"/>
          <w:szCs w:val="30"/>
        </w:rPr>
        <w:t>13.1</w:t>
      </w:r>
      <w:r>
        <w:rPr>
          <w:rFonts w:hint="eastAsia" w:ascii="宋体" w:hAnsi="宋体"/>
          <w:sz w:val="30"/>
          <w:szCs w:val="30"/>
        </w:rPr>
        <w:t>款[发包人变更权]约定的变更导致原定合同中的权重不合理的，由工程师与承包人和发包人协商后进行调整。</w:t>
      </w:r>
    </w:p>
    <w:p w14:paraId="2EA4266C">
      <w:pPr>
        <w:ind w:firstLine="600"/>
        <w:rPr>
          <w:rFonts w:ascii="宋体" w:hAnsi="宋体"/>
          <w:sz w:val="30"/>
          <w:szCs w:val="30"/>
        </w:rPr>
      </w:pPr>
      <w:r>
        <w:rPr>
          <w:rFonts w:hint="eastAsia" w:ascii="宋体" w:hAnsi="宋体"/>
          <w:sz w:val="30"/>
          <w:szCs w:val="30"/>
        </w:rPr>
        <w:t>（4） 承包人原因工期延误后的价格调整</w:t>
      </w:r>
    </w:p>
    <w:p w14:paraId="689783AA">
      <w:pPr>
        <w:ind w:firstLine="600"/>
        <w:rPr>
          <w:rFonts w:ascii="宋体" w:hAnsi="宋体"/>
          <w:sz w:val="30"/>
          <w:szCs w:val="30"/>
        </w:rPr>
      </w:pPr>
      <w:r>
        <w:rPr>
          <w:rFonts w:hint="eastAsia" w:ascii="宋体" w:hAnsi="宋体"/>
          <w:sz w:val="30"/>
          <w:szCs w:val="30"/>
        </w:rPr>
        <w:t>因承包人原因未在约定的工期内竣工的，则对原约定竣工日期后继续施工的工程，在使用本款第(1)项价格调整公式时，应采用原约定竣工日期与实际竣工日期的两个价格指数中较低的一个作为当期价格指数。</w:t>
      </w:r>
    </w:p>
    <w:p w14:paraId="2A8B9315">
      <w:pPr>
        <w:ind w:firstLine="600"/>
        <w:rPr>
          <w:rFonts w:ascii="宋体" w:hAnsi="宋体"/>
          <w:sz w:val="30"/>
          <w:szCs w:val="30"/>
        </w:rPr>
      </w:pPr>
      <w:r>
        <w:rPr>
          <w:rFonts w:hint="eastAsia" w:ascii="宋体" w:hAnsi="宋体"/>
          <w:sz w:val="30"/>
          <w:szCs w:val="30"/>
        </w:rPr>
        <w:t>（5） 发包人引起的工期延误后的价格调整</w:t>
      </w:r>
    </w:p>
    <w:p w14:paraId="4569874C">
      <w:pPr>
        <w:ind w:firstLine="600"/>
        <w:rPr>
          <w:rFonts w:ascii="宋体" w:hAnsi="宋体"/>
          <w:sz w:val="30"/>
          <w:szCs w:val="30"/>
        </w:rPr>
      </w:pPr>
      <w:r>
        <w:rPr>
          <w:rFonts w:hint="eastAsia" w:ascii="宋体" w:hAnsi="宋体"/>
          <w:sz w:val="30"/>
          <w:szCs w:val="30"/>
        </w:rPr>
        <w:t>由于发包人原因未在约定的工期内竣工的，则对原约定竣工日期后继续施工的工程，在使用本款第（1）目价格调整公式时，应采用原约定竣工日期与实际竣工日期的两个价格指数中较高的一个作为当期价格指数。</w:t>
      </w:r>
    </w:p>
    <w:p w14:paraId="5B07D03B">
      <w:pPr>
        <w:pStyle w:val="995"/>
        <w:numPr>
          <w:ilvl w:val="0"/>
          <w:numId w:val="0"/>
        </w:numPr>
        <w:rPr>
          <w:sz w:val="30"/>
          <w:szCs w:val="30"/>
        </w:rPr>
      </w:pPr>
      <w:r>
        <w:rPr>
          <w:rFonts w:hint="eastAsia"/>
          <w:sz w:val="30"/>
          <w:szCs w:val="30"/>
        </w:rPr>
        <w:t>1</w:t>
      </w:r>
      <w:r>
        <w:rPr>
          <w:sz w:val="30"/>
          <w:szCs w:val="30"/>
        </w:rPr>
        <w:t xml:space="preserve">3.8.2.2 </w:t>
      </w:r>
      <w:r>
        <w:rPr>
          <w:rFonts w:hint="eastAsia"/>
          <w:sz w:val="30"/>
          <w:szCs w:val="30"/>
        </w:rPr>
        <w:t>未列入</w:t>
      </w:r>
      <w:bookmarkStart w:id="552" w:name="_Hlk24494865"/>
      <w:r>
        <w:rPr>
          <w:rFonts w:hint="eastAsia"/>
          <w:sz w:val="30"/>
          <w:szCs w:val="30"/>
        </w:rPr>
        <w:t>《价格指数权重表》</w:t>
      </w:r>
      <w:bookmarkEnd w:id="552"/>
      <w:r>
        <w:rPr>
          <w:rFonts w:hint="eastAsia"/>
          <w:sz w:val="30"/>
          <w:szCs w:val="30"/>
        </w:rPr>
        <w:t>的费用不因市场变化而调整。</w:t>
      </w:r>
    </w:p>
    <w:p w14:paraId="599D4A0B">
      <w:pPr>
        <w:pStyle w:val="994"/>
        <w:numPr>
          <w:ilvl w:val="0"/>
          <w:numId w:val="0"/>
        </w:numPr>
        <w:rPr>
          <w:sz w:val="30"/>
          <w:szCs w:val="30"/>
        </w:rPr>
      </w:pPr>
      <w:r>
        <w:rPr>
          <w:rFonts w:hint="eastAsia"/>
          <w:sz w:val="30"/>
          <w:szCs w:val="30"/>
        </w:rPr>
        <w:t>1</w:t>
      </w:r>
      <w:r>
        <w:rPr>
          <w:sz w:val="30"/>
          <w:szCs w:val="30"/>
        </w:rPr>
        <w:t xml:space="preserve">3.8.3 </w:t>
      </w:r>
      <w:r>
        <w:rPr>
          <w:rFonts w:hint="eastAsia"/>
          <w:sz w:val="30"/>
          <w:szCs w:val="30"/>
        </w:rPr>
        <w:t>双方约定采用其他方式调整合同价款的，以专用合同条件约定为准。</w:t>
      </w:r>
    </w:p>
    <w:p w14:paraId="12F48326">
      <w:pPr>
        <w:pStyle w:val="991"/>
        <w:numPr>
          <w:ilvl w:val="0"/>
          <w:numId w:val="0"/>
        </w:numPr>
        <w:wordWrap/>
        <w:topLinePunct w:val="0"/>
        <w:rPr>
          <w:rFonts w:ascii="宋体" w:hAnsi="宋体" w:eastAsia="宋体"/>
          <w:b w:val="0"/>
          <w:kern w:val="2"/>
          <w:sz w:val="30"/>
          <w:szCs w:val="30"/>
        </w:rPr>
      </w:pPr>
      <w:bookmarkStart w:id="553" w:name="_Toc54862291"/>
      <w:bookmarkStart w:id="554" w:name="_Ref531955880"/>
      <w:bookmarkStart w:id="555" w:name="_Ref531955885"/>
      <w:r>
        <w:rPr>
          <w:rFonts w:hint="eastAsia" w:ascii="宋体" w:hAnsi="宋体" w:eastAsia="宋体"/>
          <w:b w:val="0"/>
          <w:kern w:val="2"/>
          <w:sz w:val="30"/>
          <w:szCs w:val="30"/>
        </w:rPr>
        <w:t>第1</w:t>
      </w:r>
      <w:r>
        <w:rPr>
          <w:rFonts w:ascii="宋体" w:hAnsi="宋体" w:eastAsia="宋体"/>
          <w:b w:val="0"/>
          <w:kern w:val="2"/>
          <w:sz w:val="30"/>
          <w:szCs w:val="30"/>
        </w:rPr>
        <w:t>4</w:t>
      </w:r>
      <w:r>
        <w:rPr>
          <w:rFonts w:hint="eastAsia" w:ascii="宋体" w:hAnsi="宋体" w:eastAsia="宋体"/>
          <w:b w:val="0"/>
          <w:kern w:val="2"/>
          <w:sz w:val="30"/>
          <w:szCs w:val="30"/>
        </w:rPr>
        <w:t>条 合同价格与支付</w:t>
      </w:r>
      <w:bookmarkEnd w:id="553"/>
      <w:bookmarkEnd w:id="554"/>
      <w:bookmarkEnd w:id="555"/>
    </w:p>
    <w:p w14:paraId="49549F0F">
      <w:pPr>
        <w:pStyle w:val="969"/>
        <w:widowControl/>
        <w:numPr>
          <w:ilvl w:val="0"/>
          <w:numId w:val="0"/>
        </w:numPr>
        <w:rPr>
          <w:rFonts w:ascii="宋体" w:hAnsi="宋体" w:eastAsia="宋体"/>
          <w:b w:val="0"/>
          <w:sz w:val="30"/>
          <w:szCs w:val="30"/>
        </w:rPr>
      </w:pPr>
      <w:bookmarkStart w:id="556" w:name="_Toc54862292"/>
      <w:bookmarkStart w:id="557" w:name="_Ref4431531"/>
      <w:bookmarkStart w:id="558" w:name="_Ref4431521"/>
      <w:r>
        <w:rPr>
          <w:rFonts w:hint="eastAsia" w:ascii="宋体" w:hAnsi="宋体" w:eastAsia="宋体"/>
          <w:b w:val="0"/>
          <w:sz w:val="30"/>
          <w:szCs w:val="30"/>
        </w:rPr>
        <w:t>1</w:t>
      </w:r>
      <w:r>
        <w:rPr>
          <w:rFonts w:ascii="宋体" w:hAnsi="宋体" w:eastAsia="宋体"/>
          <w:b w:val="0"/>
          <w:sz w:val="30"/>
          <w:szCs w:val="30"/>
        </w:rPr>
        <w:t xml:space="preserve">4.1 </w:t>
      </w:r>
      <w:r>
        <w:rPr>
          <w:rFonts w:hint="eastAsia" w:ascii="宋体" w:hAnsi="宋体" w:eastAsia="宋体"/>
          <w:b w:val="0"/>
          <w:sz w:val="30"/>
          <w:szCs w:val="30"/>
        </w:rPr>
        <w:t>合同价格形式</w:t>
      </w:r>
      <w:bookmarkEnd w:id="556"/>
      <w:bookmarkEnd w:id="557"/>
      <w:bookmarkEnd w:id="558"/>
    </w:p>
    <w:p w14:paraId="7F21D362">
      <w:pPr>
        <w:pStyle w:val="994"/>
        <w:numPr>
          <w:ilvl w:val="0"/>
          <w:numId w:val="0"/>
        </w:numPr>
        <w:rPr>
          <w:sz w:val="30"/>
          <w:szCs w:val="30"/>
        </w:rPr>
      </w:pPr>
      <w:r>
        <w:rPr>
          <w:rFonts w:hint="eastAsia"/>
          <w:sz w:val="30"/>
          <w:szCs w:val="30"/>
        </w:rPr>
        <w:t>1</w:t>
      </w:r>
      <w:r>
        <w:rPr>
          <w:sz w:val="30"/>
          <w:szCs w:val="30"/>
        </w:rPr>
        <w:t xml:space="preserve">4.1.1 </w:t>
      </w:r>
      <w:r>
        <w:rPr>
          <w:rFonts w:hint="eastAsia"/>
          <w:sz w:val="30"/>
          <w:szCs w:val="30"/>
        </w:rPr>
        <w:t>除专用合同条件中另有约定外，本合同为总价合同，除根据第</w:t>
      </w:r>
      <w:r>
        <w:rPr>
          <w:sz w:val="30"/>
          <w:szCs w:val="30"/>
        </w:rPr>
        <w:t>13条</w:t>
      </w:r>
      <w:r>
        <w:rPr>
          <w:rFonts w:hint="eastAsia"/>
          <w:sz w:val="30"/>
          <w:szCs w:val="30"/>
        </w:rPr>
        <w:t>[</w:t>
      </w:r>
      <w:r>
        <w:rPr>
          <w:sz w:val="30"/>
          <w:szCs w:val="30"/>
        </w:rPr>
        <w:t>变更与调整]</w:t>
      </w:r>
      <w:r>
        <w:rPr>
          <w:rFonts w:hint="eastAsia"/>
          <w:sz w:val="30"/>
          <w:szCs w:val="30"/>
        </w:rPr>
        <w:t>，以及合同中其它相关增减金额的约定进行调整外，合同价格不做调整。</w:t>
      </w:r>
    </w:p>
    <w:p w14:paraId="05754EC4">
      <w:pPr>
        <w:pStyle w:val="994"/>
        <w:numPr>
          <w:ilvl w:val="0"/>
          <w:numId w:val="0"/>
        </w:numPr>
        <w:rPr>
          <w:sz w:val="30"/>
          <w:szCs w:val="30"/>
        </w:rPr>
      </w:pPr>
      <w:r>
        <w:rPr>
          <w:rFonts w:hint="eastAsia"/>
          <w:sz w:val="30"/>
          <w:szCs w:val="30"/>
        </w:rPr>
        <w:t>1</w:t>
      </w:r>
      <w:r>
        <w:rPr>
          <w:sz w:val="30"/>
          <w:szCs w:val="30"/>
        </w:rPr>
        <w:t xml:space="preserve">4.1.2 </w:t>
      </w:r>
      <w:r>
        <w:rPr>
          <w:rFonts w:hint="eastAsia"/>
          <w:sz w:val="30"/>
          <w:szCs w:val="30"/>
        </w:rPr>
        <w:t>除专用合同条件另有约定外：</w:t>
      </w:r>
    </w:p>
    <w:p w14:paraId="32832AC0">
      <w:pPr>
        <w:ind w:firstLine="600"/>
        <w:rPr>
          <w:rFonts w:ascii="宋体" w:hAnsi="宋体"/>
          <w:sz w:val="30"/>
          <w:szCs w:val="30"/>
        </w:rPr>
      </w:pPr>
      <w:r>
        <w:rPr>
          <w:rFonts w:hint="eastAsia" w:ascii="宋体" w:hAnsi="宋体"/>
          <w:sz w:val="30"/>
          <w:szCs w:val="30"/>
        </w:rPr>
        <w:t>（1） 工程款的支付应以合同协议书约定的签约合同价格为基础，按照合同约定进行调整；</w:t>
      </w:r>
    </w:p>
    <w:p w14:paraId="361343C6">
      <w:pPr>
        <w:ind w:firstLine="600"/>
        <w:rPr>
          <w:rFonts w:ascii="宋体" w:hAnsi="宋体"/>
          <w:sz w:val="30"/>
          <w:szCs w:val="30"/>
        </w:rPr>
      </w:pPr>
      <w:r>
        <w:rPr>
          <w:rFonts w:hint="eastAsia" w:ascii="宋体" w:hAnsi="宋体"/>
          <w:sz w:val="30"/>
          <w:szCs w:val="30"/>
        </w:rPr>
        <w:t>（2） 承包人应支付根据法律规定或合同约定应由其支付的各项税费，除第</w:t>
      </w:r>
      <w:r>
        <w:rPr>
          <w:rFonts w:ascii="宋体" w:hAnsi="宋体"/>
          <w:sz w:val="30"/>
          <w:szCs w:val="30"/>
        </w:rPr>
        <w:t>13.7</w:t>
      </w:r>
      <w:r>
        <w:rPr>
          <w:rFonts w:hint="eastAsia" w:ascii="宋体" w:hAnsi="宋体"/>
          <w:sz w:val="30"/>
          <w:szCs w:val="30"/>
        </w:rPr>
        <w:t>款[</w:t>
      </w:r>
      <w:r>
        <w:rPr>
          <w:rFonts w:ascii="宋体" w:hAnsi="宋体"/>
          <w:sz w:val="30"/>
          <w:szCs w:val="30"/>
        </w:rPr>
        <w:t>法律变化引起的调整]</w:t>
      </w:r>
      <w:r>
        <w:rPr>
          <w:rFonts w:hint="eastAsia" w:ascii="宋体" w:hAnsi="宋体"/>
          <w:sz w:val="30"/>
          <w:szCs w:val="30"/>
        </w:rPr>
        <w:t>约定外，合同价格不应因任何这些税费进行调整；</w:t>
      </w:r>
    </w:p>
    <w:p w14:paraId="55E13AF8">
      <w:pPr>
        <w:ind w:firstLine="600"/>
        <w:rPr>
          <w:rFonts w:ascii="宋体" w:hAnsi="宋体"/>
          <w:sz w:val="30"/>
          <w:szCs w:val="30"/>
        </w:rPr>
      </w:pPr>
      <w:r>
        <w:rPr>
          <w:rFonts w:hint="eastAsia" w:ascii="宋体" w:hAnsi="宋体"/>
          <w:sz w:val="30"/>
          <w:szCs w:val="30"/>
        </w:rPr>
        <w:t>（3） 价格清单列出的任何数量仅为估算的工作量，不得将其视为要求承包人实施的工程的实际或准确的工作量。在价格清单中列出的任何工作量和价格数据应仅限用于变更和支付的参考资料，而不能用于其他目的。</w:t>
      </w:r>
    </w:p>
    <w:p w14:paraId="0BD1660E">
      <w:pPr>
        <w:pStyle w:val="994"/>
        <w:numPr>
          <w:ilvl w:val="0"/>
          <w:numId w:val="0"/>
        </w:numPr>
        <w:rPr>
          <w:sz w:val="30"/>
          <w:szCs w:val="30"/>
        </w:rPr>
      </w:pPr>
      <w:r>
        <w:rPr>
          <w:rFonts w:hint="eastAsia"/>
          <w:sz w:val="30"/>
          <w:szCs w:val="30"/>
        </w:rPr>
        <w:t>1</w:t>
      </w:r>
      <w:r>
        <w:rPr>
          <w:sz w:val="30"/>
          <w:szCs w:val="30"/>
        </w:rPr>
        <w:t xml:space="preserve">4.1.3 </w:t>
      </w:r>
      <w:r>
        <w:rPr>
          <w:rFonts w:hint="eastAsia"/>
          <w:sz w:val="30"/>
          <w:szCs w:val="30"/>
        </w:rPr>
        <w:t>合同约定工程的某部分按照实际完成的工程量进行支付的，应按照专用合同条件的约定进行计量和估价，并据此调整合同价格。</w:t>
      </w:r>
    </w:p>
    <w:p w14:paraId="4AF516DC">
      <w:pPr>
        <w:pStyle w:val="969"/>
        <w:widowControl/>
        <w:numPr>
          <w:ilvl w:val="0"/>
          <w:numId w:val="0"/>
        </w:numPr>
        <w:rPr>
          <w:rFonts w:ascii="宋体" w:hAnsi="宋体" w:eastAsia="宋体"/>
          <w:b w:val="0"/>
          <w:sz w:val="30"/>
          <w:szCs w:val="30"/>
        </w:rPr>
      </w:pPr>
      <w:bookmarkStart w:id="559" w:name="_Toc54862293"/>
      <w:bookmarkStart w:id="560" w:name="_Ref531956884"/>
      <w:bookmarkStart w:id="561" w:name="_Ref531956881"/>
      <w:r>
        <w:rPr>
          <w:rFonts w:hint="eastAsia" w:ascii="宋体" w:hAnsi="宋体" w:eastAsia="宋体"/>
          <w:b w:val="0"/>
          <w:sz w:val="30"/>
          <w:szCs w:val="30"/>
        </w:rPr>
        <w:t>1</w:t>
      </w:r>
      <w:r>
        <w:rPr>
          <w:rFonts w:ascii="宋体" w:hAnsi="宋体" w:eastAsia="宋体"/>
          <w:b w:val="0"/>
          <w:sz w:val="30"/>
          <w:szCs w:val="30"/>
        </w:rPr>
        <w:t xml:space="preserve">4.2 </w:t>
      </w:r>
      <w:r>
        <w:rPr>
          <w:rFonts w:hint="eastAsia" w:ascii="宋体" w:hAnsi="宋体" w:eastAsia="宋体"/>
          <w:b w:val="0"/>
          <w:sz w:val="30"/>
          <w:szCs w:val="30"/>
        </w:rPr>
        <w:t>预付款</w:t>
      </w:r>
      <w:bookmarkEnd w:id="559"/>
      <w:bookmarkEnd w:id="560"/>
      <w:bookmarkEnd w:id="561"/>
    </w:p>
    <w:p w14:paraId="7ED614D8">
      <w:pPr>
        <w:pStyle w:val="994"/>
        <w:numPr>
          <w:ilvl w:val="0"/>
          <w:numId w:val="0"/>
        </w:numPr>
        <w:rPr>
          <w:sz w:val="30"/>
          <w:szCs w:val="30"/>
        </w:rPr>
      </w:pPr>
      <w:r>
        <w:rPr>
          <w:rFonts w:hint="eastAsia"/>
          <w:sz w:val="30"/>
          <w:szCs w:val="30"/>
        </w:rPr>
        <w:t>1</w:t>
      </w:r>
      <w:r>
        <w:rPr>
          <w:sz w:val="30"/>
          <w:szCs w:val="30"/>
        </w:rPr>
        <w:t xml:space="preserve">4.2.1 </w:t>
      </w:r>
      <w:r>
        <w:rPr>
          <w:rFonts w:hint="eastAsia"/>
          <w:sz w:val="30"/>
          <w:szCs w:val="30"/>
        </w:rPr>
        <w:t>预付款支付</w:t>
      </w:r>
    </w:p>
    <w:p w14:paraId="50CF0F00">
      <w:pPr>
        <w:ind w:firstLine="600"/>
        <w:rPr>
          <w:rFonts w:ascii="宋体" w:hAnsi="宋体"/>
          <w:sz w:val="30"/>
          <w:szCs w:val="30"/>
        </w:rPr>
      </w:pPr>
      <w:r>
        <w:rPr>
          <w:rFonts w:hint="eastAsia" w:ascii="宋体" w:hAnsi="宋体"/>
          <w:sz w:val="30"/>
          <w:szCs w:val="30"/>
        </w:rPr>
        <w:t>预付款的额度和支付按照专用合同条件约定执行。预付款应当专用于承包人为合同工程的设计和工程实施购置材料、工程设备、施工设备、修建临时设施以及组织施工队伍进场等合同工作。</w:t>
      </w:r>
    </w:p>
    <w:p w14:paraId="1BBCDE46">
      <w:pPr>
        <w:ind w:firstLine="600"/>
        <w:rPr>
          <w:rFonts w:ascii="宋体" w:hAnsi="宋体"/>
          <w:sz w:val="30"/>
          <w:szCs w:val="30"/>
        </w:rPr>
      </w:pPr>
      <w:r>
        <w:rPr>
          <w:rFonts w:hint="eastAsia" w:ascii="宋体" w:hAnsi="宋体"/>
          <w:sz w:val="30"/>
          <w:szCs w:val="30"/>
        </w:rPr>
        <w:t>除专用合同条件另有约定外，预付款在进度付款中同比例扣回。在颁发工程接收证书前，提前解除合同的，尚未扣完的预付款应与合同价款一并结算。</w:t>
      </w:r>
    </w:p>
    <w:p w14:paraId="0085F6AC">
      <w:pPr>
        <w:ind w:firstLine="600"/>
        <w:rPr>
          <w:rFonts w:ascii="宋体" w:hAnsi="宋体"/>
          <w:sz w:val="30"/>
          <w:szCs w:val="30"/>
        </w:rPr>
      </w:pPr>
      <w:r>
        <w:rPr>
          <w:rFonts w:hint="eastAsia" w:ascii="宋体" w:hAnsi="宋体"/>
          <w:sz w:val="30"/>
          <w:szCs w:val="30"/>
        </w:rPr>
        <w:t>发包人逾期支付预付款超过7天的，承包人有权向发包人发出要求预付的催告通知，发包人收到通知后7天内仍未支付的，承包人有权暂停施工，并按第15.1.1项[发包人违约的情形]执行。</w:t>
      </w:r>
    </w:p>
    <w:p w14:paraId="1B15CEDD">
      <w:pPr>
        <w:pStyle w:val="994"/>
        <w:numPr>
          <w:ilvl w:val="0"/>
          <w:numId w:val="0"/>
        </w:numPr>
        <w:rPr>
          <w:sz w:val="30"/>
          <w:szCs w:val="30"/>
        </w:rPr>
      </w:pPr>
      <w:bookmarkStart w:id="562" w:name="_Ref531956907"/>
      <w:bookmarkStart w:id="563" w:name="_Ref4797624"/>
      <w:bookmarkStart w:id="564" w:name="_Hlk54429963"/>
      <w:r>
        <w:rPr>
          <w:rFonts w:hint="eastAsia"/>
          <w:sz w:val="30"/>
          <w:szCs w:val="30"/>
        </w:rPr>
        <w:t>1</w:t>
      </w:r>
      <w:r>
        <w:rPr>
          <w:sz w:val="30"/>
          <w:szCs w:val="30"/>
        </w:rPr>
        <w:t xml:space="preserve">4.2.2 </w:t>
      </w:r>
      <w:r>
        <w:rPr>
          <w:rFonts w:hint="eastAsia"/>
          <w:sz w:val="30"/>
          <w:szCs w:val="30"/>
        </w:rPr>
        <w:t>预付款</w:t>
      </w:r>
      <w:bookmarkEnd w:id="562"/>
      <w:r>
        <w:rPr>
          <w:rFonts w:hint="eastAsia"/>
          <w:sz w:val="30"/>
          <w:szCs w:val="30"/>
        </w:rPr>
        <w:t>担保</w:t>
      </w:r>
      <w:bookmarkEnd w:id="563"/>
    </w:p>
    <w:bookmarkEnd w:id="564"/>
    <w:p w14:paraId="4C81CB36">
      <w:pPr>
        <w:ind w:firstLine="600"/>
        <w:rPr>
          <w:rFonts w:ascii="宋体" w:hAnsi="宋体"/>
          <w:sz w:val="30"/>
          <w:szCs w:val="30"/>
        </w:rPr>
      </w:pPr>
      <w:r>
        <w:rPr>
          <w:rFonts w:hint="eastAsia" w:ascii="宋体" w:hAnsi="宋体"/>
          <w:sz w:val="30"/>
          <w:szCs w:val="30"/>
        </w:rPr>
        <w:t>发包人指示承包人提供预付款担保的，承包人应在发包人支付预付款7天前提供预付款担保，专用合同条件另有约定除外。预付款担保可采用银行保函、担保公司担保等形式，具体由合同当事人在专用合同条件中约定。在预付款完全扣回之前，承包人应保证预付款担保持续有效。</w:t>
      </w:r>
    </w:p>
    <w:p w14:paraId="3380ACAA">
      <w:pPr>
        <w:ind w:firstLine="600"/>
        <w:rPr>
          <w:rFonts w:ascii="宋体" w:hAnsi="宋体"/>
          <w:sz w:val="30"/>
          <w:szCs w:val="30"/>
        </w:rPr>
      </w:pPr>
      <w:r>
        <w:rPr>
          <w:rFonts w:hint="eastAsia" w:ascii="宋体" w:hAnsi="宋体"/>
          <w:sz w:val="30"/>
          <w:szCs w:val="30"/>
        </w:rPr>
        <w:t>发包人在工程款中逐期扣回预付款后，预付款担保额度应相应减少，但剩余的预付款担保金额不得低于未被扣回的预付款金额。</w:t>
      </w:r>
    </w:p>
    <w:p w14:paraId="1EE0DAC2">
      <w:pPr>
        <w:pStyle w:val="969"/>
        <w:widowControl/>
        <w:numPr>
          <w:ilvl w:val="0"/>
          <w:numId w:val="0"/>
        </w:numPr>
        <w:rPr>
          <w:rFonts w:ascii="宋体" w:hAnsi="宋体" w:eastAsia="宋体"/>
          <w:b w:val="0"/>
          <w:sz w:val="30"/>
          <w:szCs w:val="30"/>
        </w:rPr>
      </w:pPr>
      <w:bookmarkStart w:id="565" w:name="_Toc4784194"/>
      <w:bookmarkEnd w:id="565"/>
      <w:bookmarkStart w:id="566" w:name="_Toc4784193"/>
      <w:bookmarkEnd w:id="566"/>
      <w:bookmarkStart w:id="567" w:name="_Toc4784195"/>
      <w:bookmarkEnd w:id="567"/>
      <w:bookmarkStart w:id="568" w:name="_Ref4623398"/>
      <w:bookmarkStart w:id="569" w:name="_Ref531956967"/>
      <w:bookmarkStart w:id="570" w:name="_Toc54862294"/>
      <w:bookmarkStart w:id="571" w:name="_Ref531956963"/>
      <w:r>
        <w:rPr>
          <w:rFonts w:hint="eastAsia" w:ascii="宋体" w:hAnsi="宋体" w:eastAsia="宋体"/>
          <w:b w:val="0"/>
          <w:sz w:val="30"/>
          <w:szCs w:val="30"/>
        </w:rPr>
        <w:t>1</w:t>
      </w:r>
      <w:r>
        <w:rPr>
          <w:rFonts w:ascii="宋体" w:hAnsi="宋体" w:eastAsia="宋体"/>
          <w:b w:val="0"/>
          <w:sz w:val="30"/>
          <w:szCs w:val="30"/>
        </w:rPr>
        <w:t xml:space="preserve">4.3 </w:t>
      </w:r>
      <w:r>
        <w:rPr>
          <w:rFonts w:hint="eastAsia" w:ascii="宋体" w:hAnsi="宋体" w:eastAsia="宋体"/>
          <w:b w:val="0"/>
          <w:sz w:val="30"/>
          <w:szCs w:val="30"/>
        </w:rPr>
        <w:t>工程进度款</w:t>
      </w:r>
      <w:bookmarkEnd w:id="568"/>
      <w:bookmarkEnd w:id="569"/>
      <w:bookmarkEnd w:id="570"/>
      <w:bookmarkEnd w:id="571"/>
    </w:p>
    <w:p w14:paraId="2F70ADEF">
      <w:pPr>
        <w:pStyle w:val="994"/>
        <w:numPr>
          <w:ilvl w:val="0"/>
          <w:numId w:val="0"/>
        </w:numPr>
        <w:rPr>
          <w:sz w:val="30"/>
          <w:szCs w:val="30"/>
        </w:rPr>
      </w:pPr>
      <w:bookmarkStart w:id="572" w:name="_Ref531956987"/>
      <w:bookmarkStart w:id="573" w:name="_Ref532679934"/>
      <w:r>
        <w:rPr>
          <w:rFonts w:hint="eastAsia"/>
          <w:sz w:val="30"/>
          <w:szCs w:val="30"/>
        </w:rPr>
        <w:t>1</w:t>
      </w:r>
      <w:r>
        <w:rPr>
          <w:sz w:val="30"/>
          <w:szCs w:val="30"/>
        </w:rPr>
        <w:t xml:space="preserve">4.3.1 </w:t>
      </w:r>
      <w:r>
        <w:rPr>
          <w:rFonts w:hint="eastAsia"/>
          <w:sz w:val="30"/>
          <w:szCs w:val="30"/>
        </w:rPr>
        <w:t>工程进度付款申请</w:t>
      </w:r>
      <w:bookmarkEnd w:id="572"/>
      <w:bookmarkEnd w:id="573"/>
    </w:p>
    <w:p w14:paraId="3519907E">
      <w:pPr>
        <w:ind w:firstLine="600"/>
        <w:rPr>
          <w:rFonts w:ascii="宋体" w:hAnsi="宋体"/>
          <w:sz w:val="30"/>
          <w:szCs w:val="30"/>
        </w:rPr>
      </w:pPr>
      <w:r>
        <w:rPr>
          <w:rFonts w:hint="eastAsia" w:ascii="宋体" w:hAnsi="宋体"/>
          <w:sz w:val="30"/>
          <w:szCs w:val="30"/>
        </w:rPr>
        <w:t>（1）人工费的申请</w:t>
      </w:r>
    </w:p>
    <w:p w14:paraId="62AA972B">
      <w:pPr>
        <w:ind w:firstLine="600"/>
        <w:rPr>
          <w:rFonts w:ascii="宋体" w:hAnsi="宋体"/>
          <w:sz w:val="30"/>
          <w:szCs w:val="30"/>
        </w:rPr>
      </w:pPr>
      <w:r>
        <w:rPr>
          <w:rFonts w:ascii="宋体" w:hAnsi="宋体"/>
          <w:sz w:val="30"/>
          <w:szCs w:val="30"/>
        </w:rPr>
        <w:t>人工费应按月支付，工程师应在收到承包人人工费付款申请单以及相关资料后7天内完成审查并报送发包人，发包人应在收到后7天内完成审批并向承包人签发人工费支付证书，发包人应在人工费支付证书签发后7天内完成支付。已支付的人工费部分，发包人支付进度款时予以相应扣除</w:t>
      </w:r>
      <w:r>
        <w:rPr>
          <w:rFonts w:hint="eastAsia" w:ascii="宋体" w:hAnsi="宋体"/>
          <w:sz w:val="30"/>
          <w:szCs w:val="30"/>
        </w:rPr>
        <w:t>。</w:t>
      </w:r>
    </w:p>
    <w:p w14:paraId="51691A59">
      <w:pPr>
        <w:ind w:firstLine="600"/>
        <w:rPr>
          <w:rFonts w:ascii="宋体" w:hAnsi="宋体"/>
          <w:sz w:val="30"/>
          <w:szCs w:val="30"/>
        </w:rPr>
      </w:pPr>
      <w:r>
        <w:rPr>
          <w:rFonts w:hint="eastAsia" w:ascii="宋体" w:hAnsi="宋体"/>
          <w:sz w:val="30"/>
          <w:szCs w:val="30"/>
        </w:rPr>
        <w:t>（2）除专用合同条件另有约定外，承包人应在每月月末向工程师提交进度付款申请单，该进度付款申请单应包括下列内容：</w:t>
      </w:r>
    </w:p>
    <w:p w14:paraId="56B74D07">
      <w:pPr>
        <w:ind w:firstLine="600"/>
        <w:rPr>
          <w:rFonts w:ascii="宋体" w:hAnsi="宋体"/>
          <w:sz w:val="30"/>
          <w:szCs w:val="30"/>
        </w:rPr>
      </w:pPr>
      <w:bookmarkStart w:id="574" w:name="_Ref24496054"/>
      <w:r>
        <w:rPr>
          <w:rFonts w:hint="eastAsia" w:ascii="宋体" w:hAnsi="宋体"/>
          <w:sz w:val="30"/>
          <w:szCs w:val="30"/>
        </w:rPr>
        <w:t>1） 截至本次付款周期内已完成工作对应的金额；</w:t>
      </w:r>
      <w:bookmarkEnd w:id="574"/>
    </w:p>
    <w:p w14:paraId="6949FC74">
      <w:pPr>
        <w:ind w:firstLine="600"/>
        <w:rPr>
          <w:rFonts w:ascii="宋体" w:hAnsi="宋体"/>
          <w:sz w:val="30"/>
          <w:szCs w:val="30"/>
        </w:rPr>
      </w:pPr>
      <w:r>
        <w:rPr>
          <w:rFonts w:ascii="宋体" w:hAnsi="宋体"/>
          <w:sz w:val="30"/>
          <w:szCs w:val="30"/>
        </w:rPr>
        <w:t>2</w:t>
      </w:r>
      <w:r>
        <w:rPr>
          <w:rFonts w:hint="eastAsia" w:ascii="宋体" w:hAnsi="宋体"/>
          <w:sz w:val="30"/>
          <w:szCs w:val="30"/>
        </w:rPr>
        <w:t>） 扣除依据本款第（</w:t>
      </w:r>
      <w:r>
        <w:rPr>
          <w:rFonts w:ascii="宋体" w:hAnsi="宋体"/>
          <w:sz w:val="30"/>
          <w:szCs w:val="30"/>
        </w:rPr>
        <w:t>1）</w:t>
      </w:r>
      <w:r>
        <w:rPr>
          <w:rFonts w:hint="eastAsia" w:ascii="宋体" w:hAnsi="宋体"/>
          <w:sz w:val="30"/>
          <w:szCs w:val="30"/>
        </w:rPr>
        <w:t>目</w:t>
      </w:r>
      <w:r>
        <w:rPr>
          <w:rFonts w:ascii="宋体" w:hAnsi="宋体"/>
          <w:sz w:val="30"/>
          <w:szCs w:val="30"/>
        </w:rPr>
        <w:t>约定中已扣除的人工费金额</w:t>
      </w:r>
      <w:r>
        <w:rPr>
          <w:rFonts w:hint="eastAsia" w:ascii="宋体" w:hAnsi="宋体"/>
          <w:sz w:val="30"/>
          <w:szCs w:val="30"/>
        </w:rPr>
        <w:t>；</w:t>
      </w:r>
    </w:p>
    <w:p w14:paraId="7237567A">
      <w:pPr>
        <w:ind w:firstLine="600"/>
        <w:rPr>
          <w:rFonts w:ascii="宋体" w:hAnsi="宋体"/>
          <w:sz w:val="30"/>
          <w:szCs w:val="30"/>
        </w:rPr>
      </w:pPr>
      <w:r>
        <w:rPr>
          <w:rFonts w:hint="eastAsia" w:ascii="宋体" w:hAnsi="宋体"/>
          <w:sz w:val="30"/>
          <w:szCs w:val="30"/>
        </w:rPr>
        <w:t>3） 根据第</w:t>
      </w:r>
      <w:r>
        <w:rPr>
          <w:rFonts w:ascii="宋体" w:hAnsi="宋体"/>
          <w:sz w:val="30"/>
          <w:szCs w:val="30"/>
        </w:rPr>
        <w:t>13条</w:t>
      </w:r>
      <w:r>
        <w:rPr>
          <w:rFonts w:hint="eastAsia" w:ascii="宋体" w:hAnsi="宋体"/>
          <w:sz w:val="30"/>
          <w:szCs w:val="30"/>
        </w:rPr>
        <w:t>[变更与调整]应增加和扣减的变更金额；</w:t>
      </w:r>
    </w:p>
    <w:p w14:paraId="77B730C7">
      <w:pPr>
        <w:ind w:firstLine="600"/>
        <w:rPr>
          <w:rFonts w:ascii="宋体" w:hAnsi="宋体"/>
          <w:sz w:val="30"/>
          <w:szCs w:val="30"/>
        </w:rPr>
      </w:pPr>
      <w:r>
        <w:rPr>
          <w:rFonts w:ascii="宋体" w:hAnsi="宋体"/>
          <w:sz w:val="30"/>
          <w:szCs w:val="30"/>
        </w:rPr>
        <w:t>4</w:t>
      </w:r>
      <w:r>
        <w:rPr>
          <w:rFonts w:hint="eastAsia" w:ascii="宋体" w:hAnsi="宋体"/>
          <w:sz w:val="30"/>
          <w:szCs w:val="30"/>
        </w:rPr>
        <w:t>） 根据第</w:t>
      </w:r>
      <w:r>
        <w:rPr>
          <w:rFonts w:ascii="宋体" w:hAnsi="宋体"/>
          <w:sz w:val="30"/>
          <w:szCs w:val="30"/>
        </w:rPr>
        <w:t>14.2</w:t>
      </w:r>
      <w:r>
        <w:rPr>
          <w:rFonts w:hint="eastAsia" w:ascii="宋体" w:hAnsi="宋体"/>
          <w:sz w:val="30"/>
          <w:szCs w:val="30"/>
        </w:rPr>
        <w:t>款[预付款]约定应支付的预付款和扣减的返还预付款；</w:t>
      </w:r>
    </w:p>
    <w:p w14:paraId="29C77849">
      <w:pPr>
        <w:ind w:firstLine="600"/>
        <w:rPr>
          <w:rFonts w:ascii="宋体" w:hAnsi="宋体"/>
          <w:sz w:val="30"/>
          <w:szCs w:val="30"/>
        </w:rPr>
      </w:pPr>
      <w:r>
        <w:rPr>
          <w:rFonts w:ascii="宋体" w:hAnsi="宋体"/>
          <w:sz w:val="30"/>
          <w:szCs w:val="30"/>
        </w:rPr>
        <w:t>5</w:t>
      </w:r>
      <w:r>
        <w:rPr>
          <w:rFonts w:hint="eastAsia" w:ascii="宋体" w:hAnsi="宋体"/>
          <w:sz w:val="30"/>
          <w:szCs w:val="30"/>
        </w:rPr>
        <w:t>） 根据第</w:t>
      </w:r>
      <w:r>
        <w:rPr>
          <w:rFonts w:ascii="宋体" w:hAnsi="宋体"/>
          <w:sz w:val="30"/>
          <w:szCs w:val="30"/>
        </w:rPr>
        <w:t>14.6.2</w:t>
      </w:r>
      <w:r>
        <w:rPr>
          <w:rFonts w:hint="eastAsia" w:ascii="宋体" w:hAnsi="宋体"/>
          <w:sz w:val="30"/>
          <w:szCs w:val="30"/>
        </w:rPr>
        <w:t>项[质量保证金的预留]约定应预留的质量保证金金额；</w:t>
      </w:r>
    </w:p>
    <w:p w14:paraId="56772461">
      <w:pPr>
        <w:ind w:firstLine="600"/>
        <w:rPr>
          <w:rFonts w:ascii="宋体" w:hAnsi="宋体"/>
          <w:sz w:val="30"/>
          <w:szCs w:val="30"/>
        </w:rPr>
      </w:pPr>
      <w:r>
        <w:rPr>
          <w:rFonts w:ascii="宋体" w:hAnsi="宋体"/>
          <w:sz w:val="30"/>
          <w:szCs w:val="30"/>
        </w:rPr>
        <w:t>6</w:t>
      </w:r>
      <w:r>
        <w:rPr>
          <w:rFonts w:hint="eastAsia" w:ascii="宋体" w:hAnsi="宋体"/>
          <w:sz w:val="30"/>
          <w:szCs w:val="30"/>
        </w:rPr>
        <w:t>） 根据第</w:t>
      </w:r>
      <w:r>
        <w:rPr>
          <w:rFonts w:ascii="宋体" w:hAnsi="宋体"/>
          <w:sz w:val="30"/>
          <w:szCs w:val="30"/>
        </w:rPr>
        <w:t>19条</w:t>
      </w:r>
      <w:r>
        <w:rPr>
          <w:rFonts w:hint="eastAsia" w:ascii="宋体" w:hAnsi="宋体"/>
          <w:sz w:val="30"/>
          <w:szCs w:val="30"/>
        </w:rPr>
        <w:t>[索赔]应增加和扣减的索赔金额；</w:t>
      </w:r>
    </w:p>
    <w:p w14:paraId="195CAFAC">
      <w:pPr>
        <w:ind w:firstLine="600"/>
        <w:rPr>
          <w:rFonts w:ascii="宋体" w:hAnsi="宋体"/>
          <w:sz w:val="30"/>
          <w:szCs w:val="30"/>
        </w:rPr>
      </w:pPr>
      <w:r>
        <w:rPr>
          <w:rFonts w:ascii="宋体" w:hAnsi="宋体"/>
          <w:sz w:val="30"/>
          <w:szCs w:val="30"/>
        </w:rPr>
        <w:t>7</w:t>
      </w:r>
      <w:r>
        <w:rPr>
          <w:rFonts w:hint="eastAsia" w:ascii="宋体" w:hAnsi="宋体"/>
          <w:sz w:val="30"/>
          <w:szCs w:val="30"/>
        </w:rPr>
        <w:t>） 对已签发的进度款支付证书中出现错误的修正，应在本次进度付款中支付或扣除的金额；</w:t>
      </w:r>
    </w:p>
    <w:p w14:paraId="4BD8A2E1">
      <w:pPr>
        <w:ind w:firstLine="600"/>
        <w:rPr>
          <w:rFonts w:ascii="宋体" w:hAnsi="宋体"/>
          <w:sz w:val="30"/>
          <w:szCs w:val="30"/>
        </w:rPr>
      </w:pPr>
      <w:r>
        <w:rPr>
          <w:rFonts w:hint="eastAsia" w:ascii="宋体" w:hAnsi="宋体"/>
          <w:sz w:val="30"/>
          <w:szCs w:val="30"/>
        </w:rPr>
        <w:t>8） 根据合同约定应增加和扣减的其他金额。</w:t>
      </w:r>
    </w:p>
    <w:p w14:paraId="38102857">
      <w:pPr>
        <w:pStyle w:val="994"/>
        <w:numPr>
          <w:ilvl w:val="0"/>
          <w:numId w:val="0"/>
        </w:numPr>
        <w:rPr>
          <w:sz w:val="30"/>
          <w:szCs w:val="30"/>
        </w:rPr>
      </w:pPr>
      <w:bookmarkStart w:id="575" w:name="_Ref531957608"/>
      <w:r>
        <w:rPr>
          <w:rFonts w:hint="eastAsia"/>
          <w:sz w:val="30"/>
          <w:szCs w:val="30"/>
        </w:rPr>
        <w:t>1</w:t>
      </w:r>
      <w:r>
        <w:rPr>
          <w:sz w:val="30"/>
          <w:szCs w:val="30"/>
        </w:rPr>
        <w:t xml:space="preserve">4.3.2 </w:t>
      </w:r>
      <w:r>
        <w:rPr>
          <w:rFonts w:hint="eastAsia"/>
          <w:sz w:val="30"/>
          <w:szCs w:val="30"/>
        </w:rPr>
        <w:t>进度付款审核和支付</w:t>
      </w:r>
      <w:bookmarkEnd w:id="575"/>
    </w:p>
    <w:p w14:paraId="7B629004">
      <w:pPr>
        <w:pStyle w:val="977"/>
        <w:numPr>
          <w:ilvl w:val="0"/>
          <w:numId w:val="0"/>
        </w:numPr>
        <w:ind w:firstLine="600" w:firstLineChars="200"/>
        <w:rPr>
          <w:kern w:val="2"/>
          <w:sz w:val="30"/>
          <w:szCs w:val="30"/>
        </w:rPr>
      </w:pPr>
      <w:r>
        <w:rPr>
          <w:rFonts w:hint="eastAsia"/>
          <w:kern w:val="2"/>
          <w:sz w:val="30"/>
          <w:szCs w:val="30"/>
        </w:rPr>
        <w:t>除专用合同条件另有约定外，工程师应在收到承包人进度付款申请单以及相关资料后7天内完成审查并报送发包人，发包人应在收到后7天内完成审批并向承包人签发进度款支付证书。发包人逾期（包括因工程师原因延误报送的时间）未完成审批且未提出异议的，视为已签发进度款支付证书。</w:t>
      </w:r>
    </w:p>
    <w:p w14:paraId="7124B8B1">
      <w:pPr>
        <w:ind w:firstLine="600"/>
        <w:rPr>
          <w:rFonts w:ascii="宋体" w:hAnsi="宋体"/>
          <w:sz w:val="30"/>
          <w:szCs w:val="30"/>
        </w:rPr>
      </w:pPr>
      <w:r>
        <w:rPr>
          <w:rFonts w:hint="eastAsia" w:ascii="宋体" w:hAnsi="宋体"/>
          <w:sz w:val="30"/>
          <w:szCs w:val="30"/>
        </w:rPr>
        <w:t>工程师对承包人的进度付款申请单有异议的，有权要求承包人修正和提供补充资料，承包人应提交修正后的进度付款申请单。工程师应在收到承包人修正后的进度付款申请单及相关资料后7天内完成审查并报送发包人，发包人应在收到工程师报送的进度付款申请单及相关资料后7天内，向承包人签发无异议部分的进度款支付证书。存在争议的部分，按照第</w:t>
      </w:r>
      <w:r>
        <w:rPr>
          <w:rFonts w:ascii="宋体" w:hAnsi="宋体"/>
          <w:sz w:val="30"/>
          <w:szCs w:val="30"/>
        </w:rPr>
        <w:t>20条</w:t>
      </w:r>
      <w:r>
        <w:rPr>
          <w:rFonts w:hint="eastAsia" w:ascii="宋体" w:hAnsi="宋体"/>
          <w:sz w:val="30"/>
          <w:szCs w:val="30"/>
        </w:rPr>
        <w:t>[争议解决]的约定处理。</w:t>
      </w:r>
    </w:p>
    <w:p w14:paraId="4FCA6B9C">
      <w:pPr>
        <w:pStyle w:val="977"/>
        <w:numPr>
          <w:ilvl w:val="0"/>
          <w:numId w:val="0"/>
        </w:numPr>
        <w:ind w:firstLine="600" w:firstLineChars="200"/>
        <w:rPr>
          <w:kern w:val="2"/>
          <w:sz w:val="30"/>
          <w:szCs w:val="30"/>
        </w:rPr>
      </w:pPr>
      <w:r>
        <w:rPr>
          <w:rFonts w:hint="eastAsia"/>
          <w:kern w:val="2"/>
          <w:sz w:val="30"/>
          <w:szCs w:val="30"/>
        </w:rPr>
        <w:t xml:space="preserve">除专用合同条件另有约定外，发包人应在进度款支付证书签发后14天内完成支付，发包人逾期支付进度款的，按照贷款市场报价利率（LPR）支付利息；逾期支付超过56天的，按照贷款市场报价利率（LPR）的两倍支付利息。 </w:t>
      </w:r>
    </w:p>
    <w:p w14:paraId="51F5240B">
      <w:pPr>
        <w:pStyle w:val="977"/>
        <w:numPr>
          <w:ilvl w:val="0"/>
          <w:numId w:val="0"/>
        </w:numPr>
        <w:ind w:firstLine="600" w:firstLineChars="200"/>
        <w:rPr>
          <w:kern w:val="2"/>
          <w:sz w:val="30"/>
          <w:szCs w:val="30"/>
        </w:rPr>
      </w:pPr>
      <w:r>
        <w:rPr>
          <w:rFonts w:hint="eastAsia"/>
          <w:kern w:val="2"/>
          <w:sz w:val="30"/>
          <w:szCs w:val="30"/>
        </w:rPr>
        <w:t>发包人签发进度款支付证书，不表明发包人已同意、批准或接受了承包人完成的相应部分的工作。</w:t>
      </w:r>
    </w:p>
    <w:p w14:paraId="4398217B">
      <w:pPr>
        <w:pStyle w:val="994"/>
        <w:numPr>
          <w:ilvl w:val="0"/>
          <w:numId w:val="0"/>
        </w:numPr>
        <w:rPr>
          <w:sz w:val="30"/>
          <w:szCs w:val="30"/>
        </w:rPr>
      </w:pPr>
      <w:bookmarkStart w:id="576" w:name="_Ref531957023"/>
      <w:r>
        <w:rPr>
          <w:rFonts w:hint="eastAsia"/>
          <w:sz w:val="30"/>
          <w:szCs w:val="30"/>
        </w:rPr>
        <w:t>1</w:t>
      </w:r>
      <w:r>
        <w:rPr>
          <w:sz w:val="30"/>
          <w:szCs w:val="30"/>
        </w:rPr>
        <w:t xml:space="preserve">4.3.3 </w:t>
      </w:r>
      <w:r>
        <w:rPr>
          <w:rFonts w:hint="eastAsia"/>
          <w:sz w:val="30"/>
          <w:szCs w:val="30"/>
        </w:rPr>
        <w:t>进度付款的修正</w:t>
      </w:r>
      <w:bookmarkEnd w:id="576"/>
    </w:p>
    <w:p w14:paraId="02BDCE45">
      <w:pPr>
        <w:ind w:firstLine="600"/>
        <w:rPr>
          <w:rFonts w:ascii="宋体" w:hAnsi="宋体"/>
          <w:sz w:val="30"/>
          <w:szCs w:val="30"/>
        </w:rPr>
      </w:pPr>
      <w:r>
        <w:rPr>
          <w:rFonts w:hint="eastAsia" w:ascii="宋体" w:hAnsi="宋体"/>
          <w:sz w:val="30"/>
          <w:szCs w:val="30"/>
        </w:rPr>
        <w:t>在对已签发的进度款支付证书进行阶段汇总和复核中发现错误、遗漏或重复的，发包人和承包人均有权提出修正申请。经发包人和承包人同意的修正，应在下期进度付款中支付或扣除。</w:t>
      </w:r>
    </w:p>
    <w:p w14:paraId="0DD59764">
      <w:pPr>
        <w:pStyle w:val="969"/>
        <w:widowControl/>
        <w:numPr>
          <w:ilvl w:val="0"/>
          <w:numId w:val="0"/>
        </w:numPr>
        <w:rPr>
          <w:rFonts w:ascii="宋体" w:hAnsi="宋体" w:eastAsia="宋体"/>
          <w:b w:val="0"/>
          <w:sz w:val="30"/>
          <w:szCs w:val="30"/>
        </w:rPr>
      </w:pPr>
      <w:bookmarkStart w:id="577" w:name="_Toc54862295"/>
      <w:bookmarkStart w:id="578" w:name="_Ref4538578"/>
      <w:bookmarkStart w:id="579" w:name="_Ref536647814"/>
      <w:bookmarkStart w:id="580" w:name="_Ref536647822"/>
      <w:r>
        <w:rPr>
          <w:rFonts w:hint="eastAsia" w:ascii="宋体" w:hAnsi="宋体" w:eastAsia="宋体"/>
          <w:b w:val="0"/>
          <w:sz w:val="30"/>
          <w:szCs w:val="30"/>
        </w:rPr>
        <w:t>1</w:t>
      </w:r>
      <w:r>
        <w:rPr>
          <w:rFonts w:ascii="宋体" w:hAnsi="宋体" w:eastAsia="宋体"/>
          <w:b w:val="0"/>
          <w:sz w:val="30"/>
          <w:szCs w:val="30"/>
        </w:rPr>
        <w:t xml:space="preserve">4.4 </w:t>
      </w:r>
      <w:r>
        <w:rPr>
          <w:rFonts w:hint="eastAsia" w:ascii="宋体" w:hAnsi="宋体" w:eastAsia="宋体"/>
          <w:b w:val="0"/>
          <w:sz w:val="30"/>
          <w:szCs w:val="30"/>
        </w:rPr>
        <w:t>付款计划表</w:t>
      </w:r>
      <w:bookmarkEnd w:id="577"/>
      <w:bookmarkEnd w:id="578"/>
    </w:p>
    <w:p w14:paraId="6D600C5D">
      <w:pPr>
        <w:pStyle w:val="994"/>
        <w:numPr>
          <w:ilvl w:val="0"/>
          <w:numId w:val="0"/>
        </w:numPr>
        <w:rPr>
          <w:sz w:val="30"/>
          <w:szCs w:val="30"/>
        </w:rPr>
      </w:pPr>
      <w:bookmarkStart w:id="581" w:name="_Ref4570974"/>
      <w:r>
        <w:rPr>
          <w:rFonts w:hint="eastAsia"/>
          <w:sz w:val="30"/>
          <w:szCs w:val="30"/>
        </w:rPr>
        <w:t>1</w:t>
      </w:r>
      <w:r>
        <w:rPr>
          <w:sz w:val="30"/>
          <w:szCs w:val="30"/>
        </w:rPr>
        <w:t xml:space="preserve">4.4.1 </w:t>
      </w:r>
      <w:r>
        <w:rPr>
          <w:rFonts w:hint="eastAsia"/>
          <w:sz w:val="30"/>
          <w:szCs w:val="30"/>
        </w:rPr>
        <w:t>付款计划表的编制要求</w:t>
      </w:r>
      <w:bookmarkEnd w:id="581"/>
    </w:p>
    <w:p w14:paraId="73927EA3">
      <w:pPr>
        <w:ind w:firstLine="600"/>
        <w:rPr>
          <w:rFonts w:ascii="宋体" w:hAnsi="宋体"/>
          <w:sz w:val="30"/>
          <w:szCs w:val="30"/>
        </w:rPr>
      </w:pPr>
      <w:r>
        <w:rPr>
          <w:rFonts w:hint="eastAsia" w:ascii="宋体" w:hAnsi="宋体"/>
          <w:sz w:val="30"/>
          <w:szCs w:val="30"/>
        </w:rPr>
        <w:t>除专用合同条件另有约定外，付款计划表按如下要求编制：</w:t>
      </w:r>
    </w:p>
    <w:p w14:paraId="26D588FA">
      <w:pPr>
        <w:ind w:firstLine="600"/>
        <w:rPr>
          <w:rFonts w:ascii="宋体" w:hAnsi="宋体"/>
          <w:sz w:val="30"/>
          <w:szCs w:val="30"/>
        </w:rPr>
      </w:pPr>
      <w:r>
        <w:rPr>
          <w:rFonts w:hint="eastAsia" w:ascii="宋体" w:hAnsi="宋体"/>
          <w:sz w:val="30"/>
          <w:szCs w:val="30"/>
        </w:rPr>
        <w:t>（1） 付款计划表中所列的每期付款金额，应为第</w:t>
      </w:r>
      <w:r>
        <w:rPr>
          <w:rFonts w:ascii="宋体" w:hAnsi="宋体"/>
          <w:sz w:val="30"/>
          <w:szCs w:val="30"/>
        </w:rPr>
        <w:t>14.3.1</w:t>
      </w:r>
      <w:r>
        <w:rPr>
          <w:rFonts w:hint="eastAsia" w:ascii="宋体" w:hAnsi="宋体"/>
          <w:sz w:val="30"/>
          <w:szCs w:val="30"/>
        </w:rPr>
        <w:t>项[工程进度付款申请]每期进度款的估算金额；</w:t>
      </w:r>
    </w:p>
    <w:p w14:paraId="2A5AA6AF">
      <w:pPr>
        <w:ind w:firstLine="600"/>
        <w:rPr>
          <w:rFonts w:ascii="宋体" w:hAnsi="宋体"/>
          <w:sz w:val="30"/>
          <w:szCs w:val="30"/>
        </w:rPr>
      </w:pPr>
      <w:r>
        <w:rPr>
          <w:rFonts w:hint="eastAsia" w:ascii="宋体" w:hAnsi="宋体"/>
          <w:sz w:val="30"/>
          <w:szCs w:val="30"/>
        </w:rPr>
        <w:t>（2） 实际进度与项目进度计划不一致的，合同当事人可按照第</w:t>
      </w:r>
      <w:r>
        <w:rPr>
          <w:rFonts w:ascii="宋体" w:hAnsi="宋体"/>
          <w:sz w:val="30"/>
          <w:szCs w:val="30"/>
        </w:rPr>
        <w:t>3.6</w:t>
      </w:r>
      <w:r>
        <w:rPr>
          <w:rFonts w:hint="eastAsia" w:ascii="宋体" w:hAnsi="宋体"/>
          <w:sz w:val="30"/>
          <w:szCs w:val="30"/>
        </w:rPr>
        <w:t>款[</w:t>
      </w:r>
      <w:r>
        <w:rPr>
          <w:rFonts w:ascii="宋体" w:hAnsi="宋体"/>
          <w:sz w:val="30"/>
          <w:szCs w:val="30"/>
        </w:rPr>
        <w:t>商定或确定</w:t>
      </w:r>
      <w:r>
        <w:rPr>
          <w:rFonts w:hint="eastAsia" w:ascii="宋体" w:hAnsi="宋体"/>
          <w:sz w:val="30"/>
          <w:szCs w:val="30"/>
        </w:rPr>
        <w:t>]修改付款计划表；</w:t>
      </w:r>
    </w:p>
    <w:p w14:paraId="3458B53C">
      <w:pPr>
        <w:ind w:firstLine="600"/>
        <w:rPr>
          <w:rFonts w:ascii="宋体" w:hAnsi="宋体"/>
          <w:sz w:val="30"/>
          <w:szCs w:val="30"/>
        </w:rPr>
      </w:pPr>
      <w:r>
        <w:rPr>
          <w:rFonts w:hint="eastAsia" w:ascii="宋体" w:hAnsi="宋体"/>
          <w:sz w:val="30"/>
          <w:szCs w:val="30"/>
        </w:rPr>
        <w:t>（3） 不采用付款计划表的，承包人应向工程师提交按季度编制的支付估算付款计划表，用于支付参考。</w:t>
      </w:r>
    </w:p>
    <w:p w14:paraId="6FE0EE21">
      <w:pPr>
        <w:pStyle w:val="994"/>
        <w:numPr>
          <w:ilvl w:val="0"/>
          <w:numId w:val="0"/>
        </w:numPr>
        <w:rPr>
          <w:sz w:val="30"/>
          <w:szCs w:val="30"/>
        </w:rPr>
      </w:pPr>
      <w:bookmarkStart w:id="582" w:name="_Ref4571011"/>
      <w:r>
        <w:rPr>
          <w:rFonts w:hint="eastAsia"/>
          <w:sz w:val="30"/>
          <w:szCs w:val="30"/>
        </w:rPr>
        <w:t>1</w:t>
      </w:r>
      <w:r>
        <w:rPr>
          <w:sz w:val="30"/>
          <w:szCs w:val="30"/>
        </w:rPr>
        <w:t xml:space="preserve">4.4.2 </w:t>
      </w:r>
      <w:r>
        <w:rPr>
          <w:rFonts w:hint="eastAsia"/>
          <w:sz w:val="30"/>
          <w:szCs w:val="30"/>
        </w:rPr>
        <w:t>付款计划表的编制与审批</w:t>
      </w:r>
      <w:bookmarkEnd w:id="582"/>
    </w:p>
    <w:p w14:paraId="37015842">
      <w:pPr>
        <w:ind w:firstLine="600"/>
        <w:rPr>
          <w:rFonts w:ascii="宋体" w:hAnsi="宋体"/>
          <w:sz w:val="30"/>
          <w:szCs w:val="30"/>
        </w:rPr>
      </w:pPr>
      <w:r>
        <w:rPr>
          <w:rFonts w:hint="eastAsia" w:ascii="宋体" w:hAnsi="宋体"/>
          <w:sz w:val="30"/>
          <w:szCs w:val="30"/>
        </w:rPr>
        <w:t>（1） 除专用合同条件另有约定外，承包人应根据第</w:t>
      </w:r>
      <w:r>
        <w:rPr>
          <w:rFonts w:ascii="宋体" w:hAnsi="宋体"/>
          <w:sz w:val="30"/>
          <w:szCs w:val="30"/>
        </w:rPr>
        <w:t>8.4</w:t>
      </w:r>
      <w:r>
        <w:rPr>
          <w:rFonts w:hint="eastAsia" w:ascii="宋体" w:hAnsi="宋体"/>
          <w:sz w:val="30"/>
          <w:szCs w:val="30"/>
        </w:rPr>
        <w:t>款[项目进度计划]约定的项目进度计划、签约合同价和工程量等因素对总价合同进行分解，确定付款期数、计划每期达到的主要形象进度和（或）完成的主要计划工程量（含设计、采购、施工、竣工试验和竣工后试验等）等目标任务，编制付款计划表。其中人工费应按月确定付款期和付款计划。承包人应当在收到工程师和发包人批准的项目进度计划后7天内，将付款计划表及编制付款计划表的支持性资料报送工程师。</w:t>
      </w:r>
    </w:p>
    <w:p w14:paraId="4CDCC5D4">
      <w:pPr>
        <w:ind w:firstLine="600"/>
        <w:rPr>
          <w:rFonts w:ascii="宋体" w:hAnsi="宋体"/>
          <w:sz w:val="30"/>
          <w:szCs w:val="30"/>
        </w:rPr>
      </w:pPr>
      <w:r>
        <w:rPr>
          <w:rFonts w:hint="eastAsia" w:ascii="宋体" w:hAnsi="宋体"/>
          <w:sz w:val="30"/>
          <w:szCs w:val="30"/>
        </w:rPr>
        <w:t>（2） 工程师应在收到付款计划表后7天内完成审核并报送发包人。发包人应在收到经工程师审核的付款计划表后7天内完成审批，经发包人批准的付款计划表为有约束力的付款计划表。</w:t>
      </w:r>
    </w:p>
    <w:p w14:paraId="525C0022">
      <w:pPr>
        <w:ind w:firstLine="600"/>
        <w:rPr>
          <w:rFonts w:ascii="宋体" w:hAnsi="宋体"/>
          <w:sz w:val="30"/>
          <w:szCs w:val="30"/>
        </w:rPr>
      </w:pPr>
      <w:r>
        <w:rPr>
          <w:rFonts w:hint="eastAsia" w:ascii="宋体" w:hAnsi="宋体"/>
          <w:sz w:val="30"/>
          <w:szCs w:val="30"/>
        </w:rPr>
        <w:t>（3） 发包人逾期未完成付款计划表审批的，也未及时要求承包人进行修正和提供补充资料的，则承包人提交的付款计划表视为已经获得发包人批准。</w:t>
      </w:r>
    </w:p>
    <w:p w14:paraId="3A7A9F38">
      <w:pPr>
        <w:pStyle w:val="969"/>
        <w:widowControl/>
        <w:numPr>
          <w:ilvl w:val="0"/>
          <w:numId w:val="0"/>
        </w:numPr>
        <w:rPr>
          <w:rFonts w:ascii="宋体" w:hAnsi="宋体" w:eastAsia="宋体"/>
          <w:b w:val="0"/>
          <w:sz w:val="30"/>
          <w:szCs w:val="30"/>
        </w:rPr>
      </w:pPr>
      <w:bookmarkStart w:id="583" w:name="_Toc54862296"/>
      <w:bookmarkStart w:id="584" w:name="_Ref4538634"/>
      <w:r>
        <w:rPr>
          <w:rFonts w:hint="eastAsia" w:ascii="宋体" w:hAnsi="宋体" w:eastAsia="宋体"/>
          <w:b w:val="0"/>
          <w:sz w:val="30"/>
          <w:szCs w:val="30"/>
        </w:rPr>
        <w:t>1</w:t>
      </w:r>
      <w:r>
        <w:rPr>
          <w:rFonts w:ascii="宋体" w:hAnsi="宋体" w:eastAsia="宋体"/>
          <w:b w:val="0"/>
          <w:sz w:val="30"/>
          <w:szCs w:val="30"/>
        </w:rPr>
        <w:t xml:space="preserve">4.5 </w:t>
      </w:r>
      <w:r>
        <w:rPr>
          <w:rFonts w:hint="eastAsia" w:ascii="宋体" w:hAnsi="宋体" w:eastAsia="宋体"/>
          <w:b w:val="0"/>
          <w:sz w:val="30"/>
          <w:szCs w:val="30"/>
        </w:rPr>
        <w:t>竣工结算</w:t>
      </w:r>
      <w:bookmarkEnd w:id="583"/>
      <w:bookmarkEnd w:id="584"/>
    </w:p>
    <w:p w14:paraId="75DDD88B">
      <w:pPr>
        <w:pStyle w:val="994"/>
        <w:numPr>
          <w:ilvl w:val="0"/>
          <w:numId w:val="0"/>
        </w:numPr>
        <w:rPr>
          <w:sz w:val="30"/>
          <w:szCs w:val="30"/>
        </w:rPr>
      </w:pPr>
      <w:bookmarkStart w:id="585" w:name="_Ref4571361"/>
      <w:r>
        <w:rPr>
          <w:rFonts w:hint="eastAsia"/>
          <w:sz w:val="30"/>
          <w:szCs w:val="30"/>
        </w:rPr>
        <w:t>1</w:t>
      </w:r>
      <w:r>
        <w:rPr>
          <w:sz w:val="30"/>
          <w:szCs w:val="30"/>
        </w:rPr>
        <w:t xml:space="preserve">4.5.1 </w:t>
      </w:r>
      <w:r>
        <w:rPr>
          <w:rFonts w:hint="eastAsia"/>
          <w:sz w:val="30"/>
          <w:szCs w:val="30"/>
        </w:rPr>
        <w:t>竣工结算申请</w:t>
      </w:r>
      <w:bookmarkEnd w:id="585"/>
    </w:p>
    <w:p w14:paraId="263DE57C">
      <w:pPr>
        <w:ind w:firstLine="600"/>
        <w:rPr>
          <w:rFonts w:ascii="宋体" w:hAnsi="宋体"/>
          <w:sz w:val="30"/>
          <w:szCs w:val="30"/>
        </w:rPr>
      </w:pPr>
      <w:r>
        <w:rPr>
          <w:rFonts w:hint="eastAsia" w:ascii="宋体" w:hAnsi="宋体"/>
          <w:sz w:val="30"/>
          <w:szCs w:val="30"/>
        </w:rPr>
        <w:t>除专用合同条件另有约定外，承包人应在工程竣工验收合格后42天内向工程师提交竣工结算申请单，并提交完整的结算资料，有关竣工结算申请单的资料清单和份数等要求由合同当事人在专用合同条件中约定。</w:t>
      </w:r>
    </w:p>
    <w:p w14:paraId="639D7E1A">
      <w:pPr>
        <w:ind w:firstLine="600"/>
        <w:rPr>
          <w:rFonts w:ascii="宋体" w:hAnsi="宋体"/>
          <w:sz w:val="30"/>
          <w:szCs w:val="30"/>
        </w:rPr>
      </w:pPr>
      <w:r>
        <w:rPr>
          <w:rFonts w:hint="eastAsia" w:ascii="宋体" w:hAnsi="宋体"/>
          <w:sz w:val="30"/>
          <w:szCs w:val="30"/>
        </w:rPr>
        <w:t>除专用合同条件另有约定外，竣工结算申请单应包括以下内容：</w:t>
      </w:r>
    </w:p>
    <w:p w14:paraId="2DAE1D5A">
      <w:pPr>
        <w:ind w:firstLine="600"/>
        <w:rPr>
          <w:rFonts w:ascii="宋体" w:hAnsi="宋体"/>
          <w:sz w:val="30"/>
          <w:szCs w:val="30"/>
        </w:rPr>
      </w:pPr>
      <w:r>
        <w:rPr>
          <w:rFonts w:hint="eastAsia" w:ascii="宋体" w:hAnsi="宋体"/>
          <w:sz w:val="30"/>
          <w:szCs w:val="30"/>
        </w:rPr>
        <w:t>（1） 竣工结算合同价格；</w:t>
      </w:r>
    </w:p>
    <w:p w14:paraId="473543DE">
      <w:pPr>
        <w:ind w:firstLine="600"/>
        <w:rPr>
          <w:rFonts w:ascii="宋体" w:hAnsi="宋体"/>
          <w:sz w:val="30"/>
          <w:szCs w:val="30"/>
        </w:rPr>
      </w:pPr>
      <w:r>
        <w:rPr>
          <w:rFonts w:hint="eastAsia" w:ascii="宋体" w:hAnsi="宋体"/>
          <w:sz w:val="30"/>
          <w:szCs w:val="30"/>
        </w:rPr>
        <w:t>（2） 发包人已支付承包人的款项；</w:t>
      </w:r>
    </w:p>
    <w:p w14:paraId="34012684">
      <w:pPr>
        <w:ind w:firstLine="600"/>
        <w:rPr>
          <w:rFonts w:ascii="宋体" w:hAnsi="宋体"/>
          <w:sz w:val="30"/>
          <w:szCs w:val="30"/>
        </w:rPr>
      </w:pPr>
      <w:r>
        <w:rPr>
          <w:rFonts w:hint="eastAsia" w:ascii="宋体" w:hAnsi="宋体"/>
          <w:sz w:val="30"/>
          <w:szCs w:val="30"/>
        </w:rPr>
        <w:t>（3） 采用第</w:t>
      </w:r>
      <w:r>
        <w:rPr>
          <w:rFonts w:ascii="宋体" w:hAnsi="宋体"/>
          <w:sz w:val="30"/>
          <w:szCs w:val="30"/>
        </w:rPr>
        <w:t>14.6.1</w:t>
      </w:r>
      <w:r>
        <w:rPr>
          <w:rFonts w:hint="eastAsia" w:ascii="宋体" w:hAnsi="宋体"/>
          <w:sz w:val="30"/>
          <w:szCs w:val="30"/>
        </w:rPr>
        <w:t>项[承包人提供质量保证金的方式]第（2）种方式提供质量保证金的，应当列明应预留的质量保证金金额；采用第</w:t>
      </w:r>
      <w:r>
        <w:rPr>
          <w:rFonts w:ascii="宋体" w:hAnsi="宋体"/>
          <w:sz w:val="30"/>
          <w:szCs w:val="30"/>
        </w:rPr>
        <w:t>14.6.1</w:t>
      </w:r>
      <w:r>
        <w:rPr>
          <w:rFonts w:hint="eastAsia" w:ascii="宋体" w:hAnsi="宋体"/>
          <w:sz w:val="30"/>
          <w:szCs w:val="30"/>
        </w:rPr>
        <w:t>项[承包人提供质量保证金的方式]中其他方式提供质量保证金的，应当按第</w:t>
      </w:r>
      <w:r>
        <w:rPr>
          <w:rFonts w:ascii="宋体" w:hAnsi="宋体"/>
          <w:sz w:val="30"/>
          <w:szCs w:val="30"/>
        </w:rPr>
        <w:t>14.6</w:t>
      </w:r>
      <w:r>
        <w:rPr>
          <w:rFonts w:hint="eastAsia" w:ascii="宋体" w:hAnsi="宋体"/>
          <w:sz w:val="30"/>
          <w:szCs w:val="30"/>
        </w:rPr>
        <w:t>款[质量保证金]提供相关文件作为附件；</w:t>
      </w:r>
    </w:p>
    <w:p w14:paraId="116529C7">
      <w:pPr>
        <w:ind w:firstLine="600"/>
        <w:rPr>
          <w:rFonts w:ascii="宋体" w:hAnsi="宋体"/>
          <w:sz w:val="30"/>
          <w:szCs w:val="30"/>
        </w:rPr>
      </w:pPr>
      <w:r>
        <w:rPr>
          <w:rFonts w:hint="eastAsia" w:ascii="宋体" w:hAnsi="宋体"/>
          <w:sz w:val="30"/>
          <w:szCs w:val="30"/>
        </w:rPr>
        <w:t>（4） 发包人应支付承包人的合同价款。</w:t>
      </w:r>
    </w:p>
    <w:p w14:paraId="53380968">
      <w:pPr>
        <w:pStyle w:val="994"/>
        <w:numPr>
          <w:ilvl w:val="0"/>
          <w:numId w:val="0"/>
        </w:numPr>
        <w:rPr>
          <w:sz w:val="30"/>
          <w:szCs w:val="30"/>
        </w:rPr>
      </w:pPr>
      <w:bookmarkStart w:id="586" w:name="_Ref4571384"/>
      <w:r>
        <w:rPr>
          <w:rFonts w:hint="eastAsia"/>
          <w:sz w:val="30"/>
          <w:szCs w:val="30"/>
        </w:rPr>
        <w:t>1</w:t>
      </w:r>
      <w:r>
        <w:rPr>
          <w:sz w:val="30"/>
          <w:szCs w:val="30"/>
        </w:rPr>
        <w:t xml:space="preserve">4.5.2 </w:t>
      </w:r>
      <w:r>
        <w:rPr>
          <w:rFonts w:hint="eastAsia"/>
          <w:sz w:val="30"/>
          <w:szCs w:val="30"/>
        </w:rPr>
        <w:t>竣工结算审核</w:t>
      </w:r>
      <w:bookmarkEnd w:id="586"/>
    </w:p>
    <w:p w14:paraId="76E90C14">
      <w:pPr>
        <w:ind w:firstLine="600"/>
        <w:rPr>
          <w:rFonts w:ascii="宋体" w:hAnsi="宋体"/>
          <w:sz w:val="30"/>
          <w:szCs w:val="30"/>
        </w:rPr>
      </w:pPr>
      <w:r>
        <w:rPr>
          <w:rFonts w:hint="eastAsia" w:ascii="宋体" w:hAnsi="宋体"/>
          <w:sz w:val="30"/>
          <w:szCs w:val="30"/>
        </w:rPr>
        <w:t>（1） 除专用合同条件另有约定外，工程师应在收到竣工结算申请单后14天内完成核查并报送发包人。发包人应在收到工程师提交的经审核的竣工结算申请单后14天内完成审批，并由工程师向承包人签发经发包人签认的竣工付款证书。工程师或发包人对竣工结算申请单有异议的，有权要求承包人进行修正和提供补充资料，承包人应提交修正后的竣工结算申请单。</w:t>
      </w:r>
    </w:p>
    <w:p w14:paraId="583C5F39">
      <w:pPr>
        <w:ind w:firstLine="600"/>
        <w:rPr>
          <w:rFonts w:ascii="宋体" w:hAnsi="宋体"/>
          <w:sz w:val="30"/>
          <w:szCs w:val="30"/>
        </w:rPr>
      </w:pPr>
      <w:r>
        <w:rPr>
          <w:rFonts w:hint="eastAsia" w:ascii="宋体" w:hAnsi="宋体"/>
          <w:sz w:val="30"/>
          <w:szCs w:val="30"/>
        </w:rPr>
        <w:t>发包人在收到承包人提交竣工结算申请书后28天内未完成审批且未提出异议的，视为发包人认可承包人提交的竣工结算申请单，并自发包人收到承包人提交的竣工结算申请单后第29天起视为已签发竣工付款证书。</w:t>
      </w:r>
    </w:p>
    <w:p w14:paraId="239EFED7">
      <w:pPr>
        <w:ind w:firstLine="600"/>
        <w:rPr>
          <w:rFonts w:ascii="宋体" w:hAnsi="宋体"/>
          <w:sz w:val="30"/>
          <w:szCs w:val="30"/>
        </w:rPr>
      </w:pPr>
      <w:bookmarkStart w:id="587" w:name="_Ref4618006"/>
      <w:r>
        <w:rPr>
          <w:rFonts w:hint="eastAsia" w:ascii="宋体" w:hAnsi="宋体"/>
          <w:sz w:val="30"/>
          <w:szCs w:val="30"/>
        </w:rPr>
        <w:t>（2） 除专用合同条件另有约定外，发包人应在签发竣工付款证书后的14天内，完成对承包人的竣工付款。发包人逾期支付的，按照贷款市场报价利率（LPR）支付违约金；逾期支付超过56天的，按照贷款市场报价利率（LPR）的两倍支付违约金。</w:t>
      </w:r>
      <w:bookmarkEnd w:id="587"/>
    </w:p>
    <w:p w14:paraId="32FE88D9">
      <w:pPr>
        <w:ind w:firstLine="600"/>
        <w:rPr>
          <w:rFonts w:ascii="宋体" w:hAnsi="宋体"/>
          <w:sz w:val="30"/>
          <w:szCs w:val="30"/>
        </w:rPr>
      </w:pPr>
      <w:r>
        <w:rPr>
          <w:rFonts w:hint="eastAsia" w:ascii="宋体" w:hAnsi="宋体"/>
          <w:sz w:val="30"/>
          <w:szCs w:val="30"/>
        </w:rPr>
        <w:t>（3） 承包人对发包人签认的竣工付款证书有异议的，对于有异议部分应在收到发包人签认的竣工付款证书后7天内提出异议，并由合同当事人按照专用合同条件约定的方式和程序进行复核，或按照第</w:t>
      </w:r>
      <w:r>
        <w:rPr>
          <w:rFonts w:ascii="宋体" w:hAnsi="宋体"/>
          <w:sz w:val="30"/>
          <w:szCs w:val="30"/>
        </w:rPr>
        <w:t>20条</w:t>
      </w:r>
      <w:r>
        <w:rPr>
          <w:rFonts w:hint="eastAsia" w:ascii="宋体" w:hAnsi="宋体"/>
          <w:sz w:val="30"/>
          <w:szCs w:val="30"/>
        </w:rPr>
        <w:t>[争议解决]约定处理。对于无异议部分，发包人应签发临时竣工付款证书，并按本款第（2）项完成付款。承包人逾期未提出异议的，视为认可发包人的审批结果。</w:t>
      </w:r>
    </w:p>
    <w:p w14:paraId="43E56654">
      <w:pPr>
        <w:pStyle w:val="994"/>
        <w:numPr>
          <w:ilvl w:val="0"/>
          <w:numId w:val="0"/>
        </w:numPr>
        <w:rPr>
          <w:sz w:val="30"/>
          <w:szCs w:val="30"/>
        </w:rPr>
      </w:pPr>
      <w:bookmarkStart w:id="588" w:name="_Ref15484305"/>
      <w:r>
        <w:rPr>
          <w:rFonts w:hint="eastAsia"/>
          <w:sz w:val="30"/>
          <w:szCs w:val="30"/>
        </w:rPr>
        <w:t>1</w:t>
      </w:r>
      <w:r>
        <w:rPr>
          <w:sz w:val="30"/>
          <w:szCs w:val="30"/>
        </w:rPr>
        <w:t xml:space="preserve">4.5.3 </w:t>
      </w:r>
      <w:r>
        <w:rPr>
          <w:rFonts w:hint="eastAsia"/>
          <w:sz w:val="30"/>
          <w:szCs w:val="30"/>
        </w:rPr>
        <w:t>扫尾工作清单</w:t>
      </w:r>
      <w:bookmarkEnd w:id="588"/>
    </w:p>
    <w:p w14:paraId="3C8B83CC">
      <w:pPr>
        <w:ind w:firstLine="600"/>
        <w:rPr>
          <w:rFonts w:ascii="宋体" w:hAnsi="宋体"/>
          <w:sz w:val="30"/>
          <w:szCs w:val="30"/>
        </w:rPr>
      </w:pPr>
      <w:r>
        <w:rPr>
          <w:rFonts w:hint="eastAsia" w:ascii="宋体" w:hAnsi="宋体"/>
          <w:sz w:val="30"/>
          <w:szCs w:val="30"/>
        </w:rPr>
        <w:t>经双方协商，部分工作在工程竣工验收后进行的，承包人应当编制扫尾工作清单，扫尾工作清单中应当列明承包人应当完成的扫尾工作的内容及完成时间。</w:t>
      </w:r>
    </w:p>
    <w:p w14:paraId="27A21156">
      <w:pPr>
        <w:ind w:firstLine="600"/>
        <w:rPr>
          <w:rFonts w:ascii="宋体" w:hAnsi="宋体"/>
          <w:sz w:val="30"/>
          <w:szCs w:val="30"/>
        </w:rPr>
      </w:pPr>
      <w:r>
        <w:rPr>
          <w:rFonts w:hint="eastAsia" w:ascii="宋体" w:hAnsi="宋体"/>
          <w:sz w:val="30"/>
          <w:szCs w:val="30"/>
        </w:rPr>
        <w:t>承包人完成扫尾工作清单中的内容应取得的费用包含在第</w:t>
      </w:r>
      <w:r>
        <w:rPr>
          <w:rFonts w:ascii="宋体" w:hAnsi="宋体"/>
          <w:sz w:val="30"/>
          <w:szCs w:val="30"/>
        </w:rPr>
        <w:t>14.5.1</w:t>
      </w:r>
      <w:r>
        <w:rPr>
          <w:rFonts w:hint="eastAsia" w:ascii="宋体" w:hAnsi="宋体"/>
          <w:sz w:val="30"/>
          <w:szCs w:val="30"/>
        </w:rPr>
        <w:t>项[</w:t>
      </w:r>
      <w:r>
        <w:rPr>
          <w:rFonts w:ascii="宋体" w:hAnsi="宋体"/>
          <w:sz w:val="30"/>
          <w:szCs w:val="30"/>
        </w:rPr>
        <w:t>竣工结算申请</w:t>
      </w:r>
      <w:r>
        <w:rPr>
          <w:rFonts w:hint="eastAsia" w:ascii="宋体" w:hAnsi="宋体"/>
          <w:sz w:val="30"/>
          <w:szCs w:val="30"/>
        </w:rPr>
        <w:t>]及第</w:t>
      </w:r>
      <w:r>
        <w:rPr>
          <w:rFonts w:ascii="宋体" w:hAnsi="宋体"/>
          <w:sz w:val="30"/>
          <w:szCs w:val="30"/>
        </w:rPr>
        <w:t>14.5.2</w:t>
      </w:r>
      <w:r>
        <w:rPr>
          <w:rFonts w:hint="eastAsia" w:ascii="宋体" w:hAnsi="宋体"/>
          <w:sz w:val="30"/>
          <w:szCs w:val="30"/>
        </w:rPr>
        <w:t>项[竣工结算审核]中一并结算。</w:t>
      </w:r>
    </w:p>
    <w:p w14:paraId="4098CFB5">
      <w:pPr>
        <w:ind w:firstLine="600"/>
        <w:rPr>
          <w:rFonts w:ascii="宋体" w:hAnsi="宋体"/>
          <w:sz w:val="30"/>
          <w:szCs w:val="30"/>
        </w:rPr>
      </w:pPr>
      <w:r>
        <w:rPr>
          <w:rFonts w:hint="eastAsia" w:ascii="宋体" w:hAnsi="宋体"/>
          <w:sz w:val="30"/>
          <w:szCs w:val="30"/>
        </w:rPr>
        <w:t>扫尾工作的缺陷责任期按第</w:t>
      </w:r>
      <w:r>
        <w:rPr>
          <w:rFonts w:ascii="宋体" w:hAnsi="宋体"/>
          <w:sz w:val="30"/>
          <w:szCs w:val="30"/>
        </w:rPr>
        <w:t>11条</w:t>
      </w:r>
      <w:r>
        <w:rPr>
          <w:rFonts w:hint="eastAsia" w:ascii="宋体" w:hAnsi="宋体"/>
          <w:sz w:val="30"/>
          <w:szCs w:val="30"/>
        </w:rPr>
        <w:t>[缺陷责任与</w:t>
      </w:r>
      <w:r>
        <w:rPr>
          <w:rFonts w:ascii="宋体" w:hAnsi="宋体"/>
          <w:sz w:val="30"/>
          <w:szCs w:val="30"/>
        </w:rPr>
        <w:t>保</w:t>
      </w:r>
      <w:r>
        <w:rPr>
          <w:rFonts w:hint="eastAsia" w:ascii="宋体" w:hAnsi="宋体"/>
          <w:sz w:val="30"/>
          <w:szCs w:val="30"/>
        </w:rPr>
        <w:t>修]处理。承包人未能按照扫尾工作清单约定的完成时间完成扫尾工作的，视为承包人原因导致的工程质量缺陷按照第</w:t>
      </w:r>
      <w:r>
        <w:rPr>
          <w:rFonts w:ascii="宋体" w:hAnsi="宋体"/>
          <w:sz w:val="30"/>
          <w:szCs w:val="30"/>
        </w:rPr>
        <w:t>11.3</w:t>
      </w:r>
      <w:r>
        <w:rPr>
          <w:rFonts w:hint="eastAsia" w:ascii="宋体" w:hAnsi="宋体"/>
          <w:sz w:val="30"/>
          <w:szCs w:val="30"/>
        </w:rPr>
        <w:t>款[缺陷调查]处理。</w:t>
      </w:r>
    </w:p>
    <w:p w14:paraId="20A89AC8">
      <w:pPr>
        <w:pStyle w:val="969"/>
        <w:widowControl/>
        <w:numPr>
          <w:ilvl w:val="0"/>
          <w:numId w:val="0"/>
        </w:numPr>
        <w:rPr>
          <w:rFonts w:ascii="宋体" w:hAnsi="宋体" w:eastAsia="宋体"/>
          <w:b w:val="0"/>
          <w:sz w:val="30"/>
          <w:szCs w:val="30"/>
        </w:rPr>
      </w:pPr>
      <w:bookmarkStart w:id="589" w:name="_Ref15395020"/>
      <w:bookmarkStart w:id="590" w:name="_Ref4617582"/>
      <w:bookmarkStart w:id="591" w:name="_Ref4582115"/>
      <w:bookmarkStart w:id="592" w:name="_Toc54862297"/>
      <w:bookmarkStart w:id="593" w:name="_Ref4617592"/>
      <w:bookmarkStart w:id="594" w:name="_Ref4571127"/>
      <w:bookmarkStart w:id="595" w:name="_Ref4571100"/>
      <w:bookmarkStart w:id="596" w:name="_Hlk15394931"/>
      <w:r>
        <w:rPr>
          <w:rFonts w:hint="eastAsia" w:ascii="宋体" w:hAnsi="宋体" w:eastAsia="宋体"/>
          <w:b w:val="0"/>
          <w:sz w:val="30"/>
          <w:szCs w:val="30"/>
        </w:rPr>
        <w:t>1</w:t>
      </w:r>
      <w:r>
        <w:rPr>
          <w:rFonts w:ascii="宋体" w:hAnsi="宋体" w:eastAsia="宋体"/>
          <w:b w:val="0"/>
          <w:sz w:val="30"/>
          <w:szCs w:val="30"/>
        </w:rPr>
        <w:t xml:space="preserve">4.6 </w:t>
      </w:r>
      <w:r>
        <w:rPr>
          <w:rFonts w:hint="eastAsia" w:ascii="宋体" w:hAnsi="宋体" w:eastAsia="宋体"/>
          <w:b w:val="0"/>
          <w:sz w:val="30"/>
          <w:szCs w:val="30"/>
        </w:rPr>
        <w:t>质量保证金</w:t>
      </w:r>
      <w:bookmarkEnd w:id="579"/>
      <w:bookmarkEnd w:id="580"/>
      <w:bookmarkEnd w:id="589"/>
      <w:bookmarkEnd w:id="590"/>
      <w:bookmarkEnd w:id="591"/>
      <w:bookmarkEnd w:id="592"/>
      <w:bookmarkEnd w:id="593"/>
      <w:bookmarkEnd w:id="594"/>
      <w:bookmarkEnd w:id="595"/>
      <w:r>
        <w:rPr>
          <w:rFonts w:hint="eastAsia" w:ascii="宋体" w:hAnsi="宋体" w:eastAsia="宋体"/>
          <w:b w:val="0"/>
          <w:sz w:val="30"/>
          <w:szCs w:val="30"/>
        </w:rPr>
        <w:t xml:space="preserve"> </w:t>
      </w:r>
    </w:p>
    <w:p w14:paraId="7F00E6C4">
      <w:pPr>
        <w:ind w:firstLine="600"/>
        <w:rPr>
          <w:rFonts w:ascii="宋体" w:hAnsi="宋体"/>
          <w:sz w:val="30"/>
          <w:szCs w:val="30"/>
        </w:rPr>
      </w:pPr>
      <w:r>
        <w:rPr>
          <w:rFonts w:hint="eastAsia" w:ascii="宋体" w:hAnsi="宋体"/>
          <w:sz w:val="30"/>
          <w:szCs w:val="30"/>
        </w:rPr>
        <w:t>经合同当事人协商一致提供质量保证金的，应在专用合同条件中予以明确。在工程项目竣工前，承包人已经提供履约担保的，发包人不得同时要求承包人提供质量保证金。</w:t>
      </w:r>
    </w:p>
    <w:bookmarkEnd w:id="596"/>
    <w:p w14:paraId="3284CF6D">
      <w:pPr>
        <w:pStyle w:val="994"/>
        <w:numPr>
          <w:ilvl w:val="0"/>
          <w:numId w:val="0"/>
        </w:numPr>
        <w:rPr>
          <w:sz w:val="30"/>
          <w:szCs w:val="30"/>
        </w:rPr>
      </w:pPr>
      <w:bookmarkStart w:id="597" w:name="_Ref531955069"/>
      <w:bookmarkStart w:id="598" w:name="_Ref531957153"/>
      <w:r>
        <w:rPr>
          <w:rFonts w:hint="eastAsia"/>
          <w:sz w:val="30"/>
          <w:szCs w:val="30"/>
        </w:rPr>
        <w:t>1</w:t>
      </w:r>
      <w:r>
        <w:rPr>
          <w:sz w:val="30"/>
          <w:szCs w:val="30"/>
        </w:rPr>
        <w:t xml:space="preserve">4.6.1 </w:t>
      </w:r>
      <w:r>
        <w:rPr>
          <w:rFonts w:hint="eastAsia"/>
          <w:sz w:val="30"/>
          <w:szCs w:val="30"/>
        </w:rPr>
        <w:t>承包人提供质量保证金的方式</w:t>
      </w:r>
      <w:bookmarkEnd w:id="597"/>
    </w:p>
    <w:p w14:paraId="6A503F9B">
      <w:pPr>
        <w:ind w:firstLine="600"/>
        <w:rPr>
          <w:rFonts w:ascii="宋体" w:hAnsi="宋体"/>
          <w:sz w:val="30"/>
          <w:szCs w:val="30"/>
        </w:rPr>
      </w:pPr>
      <w:r>
        <w:rPr>
          <w:rFonts w:hint="eastAsia" w:ascii="宋体" w:hAnsi="宋体"/>
          <w:sz w:val="30"/>
          <w:szCs w:val="30"/>
        </w:rPr>
        <w:t>承包人提供质量保证金有以下三种方式：</w:t>
      </w:r>
    </w:p>
    <w:p w14:paraId="2949C048">
      <w:pPr>
        <w:ind w:firstLine="600"/>
        <w:rPr>
          <w:rFonts w:ascii="宋体" w:hAnsi="宋体"/>
          <w:sz w:val="30"/>
          <w:szCs w:val="30"/>
        </w:rPr>
      </w:pPr>
      <w:bookmarkStart w:id="599" w:name="_Ref531955096"/>
      <w:r>
        <w:rPr>
          <w:rFonts w:hint="eastAsia" w:ascii="宋体" w:hAnsi="宋体"/>
          <w:sz w:val="30"/>
          <w:szCs w:val="30"/>
        </w:rPr>
        <w:t>（1） 提交工程质量保证担保；</w:t>
      </w:r>
      <w:bookmarkEnd w:id="599"/>
    </w:p>
    <w:p w14:paraId="43329708">
      <w:pPr>
        <w:ind w:firstLine="600"/>
        <w:rPr>
          <w:rFonts w:ascii="宋体" w:hAnsi="宋体"/>
          <w:sz w:val="30"/>
          <w:szCs w:val="30"/>
        </w:rPr>
      </w:pPr>
      <w:bookmarkStart w:id="600" w:name="_Ref531955107"/>
      <w:r>
        <w:rPr>
          <w:rFonts w:hint="eastAsia" w:ascii="宋体" w:hAnsi="宋体"/>
          <w:sz w:val="30"/>
          <w:szCs w:val="30"/>
        </w:rPr>
        <w:t>（2） 预留相应比例的工程款；</w:t>
      </w:r>
      <w:bookmarkEnd w:id="600"/>
    </w:p>
    <w:p w14:paraId="5D515BA4">
      <w:pPr>
        <w:ind w:firstLine="600"/>
        <w:rPr>
          <w:rFonts w:ascii="宋体" w:hAnsi="宋体"/>
          <w:sz w:val="30"/>
          <w:szCs w:val="30"/>
        </w:rPr>
      </w:pPr>
      <w:bookmarkStart w:id="601" w:name="_Ref531955117"/>
      <w:r>
        <w:rPr>
          <w:rFonts w:hint="eastAsia" w:ascii="宋体" w:hAnsi="宋体"/>
          <w:sz w:val="30"/>
          <w:szCs w:val="30"/>
        </w:rPr>
        <w:t>（3） 双方约定的其他方式。</w:t>
      </w:r>
      <w:bookmarkEnd w:id="601"/>
    </w:p>
    <w:p w14:paraId="18698084">
      <w:pPr>
        <w:ind w:firstLine="600"/>
        <w:rPr>
          <w:rFonts w:ascii="宋体" w:hAnsi="宋体"/>
          <w:sz w:val="30"/>
          <w:szCs w:val="30"/>
        </w:rPr>
      </w:pPr>
      <w:r>
        <w:rPr>
          <w:rFonts w:hint="eastAsia" w:ascii="宋体" w:hAnsi="宋体"/>
          <w:sz w:val="30"/>
          <w:szCs w:val="30"/>
        </w:rPr>
        <w:t>除专用合同条件另有约定外，质量保证金原则上采用上述第（1）种方式，且承包人应在工程竣工验收合格后7天内，向发包人提交工程质量保证担保。承包人提交工程质量保证担保时，发包人应同时返还预留的作为质量保证金的工程价款（如有）。但不论承包人以何种方式提供质量保证金，累计金额均不得高于工程价款结算总额的3%。</w:t>
      </w:r>
    </w:p>
    <w:p w14:paraId="3B71A4D4">
      <w:pPr>
        <w:pStyle w:val="994"/>
        <w:numPr>
          <w:ilvl w:val="0"/>
          <w:numId w:val="0"/>
        </w:numPr>
        <w:rPr>
          <w:sz w:val="30"/>
          <w:szCs w:val="30"/>
        </w:rPr>
      </w:pPr>
      <w:bookmarkStart w:id="602" w:name="_Ref18931667"/>
      <w:bookmarkStart w:id="603" w:name="_Ref15419738"/>
      <w:r>
        <w:rPr>
          <w:rFonts w:hint="eastAsia"/>
          <w:sz w:val="30"/>
          <w:szCs w:val="30"/>
        </w:rPr>
        <w:t>1</w:t>
      </w:r>
      <w:r>
        <w:rPr>
          <w:sz w:val="30"/>
          <w:szCs w:val="30"/>
        </w:rPr>
        <w:t xml:space="preserve">4.6.2 </w:t>
      </w:r>
      <w:r>
        <w:rPr>
          <w:rFonts w:hint="eastAsia"/>
          <w:sz w:val="30"/>
          <w:szCs w:val="30"/>
        </w:rPr>
        <w:t>质量保证金的预留</w:t>
      </w:r>
      <w:bookmarkEnd w:id="602"/>
      <w:bookmarkEnd w:id="603"/>
    </w:p>
    <w:p w14:paraId="0A097D75">
      <w:pPr>
        <w:ind w:firstLine="600"/>
        <w:rPr>
          <w:rFonts w:ascii="宋体" w:hAnsi="宋体"/>
          <w:sz w:val="30"/>
          <w:szCs w:val="30"/>
        </w:rPr>
      </w:pPr>
      <w:r>
        <w:rPr>
          <w:rFonts w:hint="eastAsia" w:ascii="宋体" w:hAnsi="宋体"/>
          <w:sz w:val="30"/>
          <w:szCs w:val="30"/>
        </w:rPr>
        <w:t>双方约定采用预留相应比例的工程款方式提供质量保证金的，质量保证金的预留有以下三种方式：</w:t>
      </w:r>
    </w:p>
    <w:p w14:paraId="5ED89A34">
      <w:pPr>
        <w:ind w:firstLine="600"/>
        <w:rPr>
          <w:rFonts w:ascii="宋体" w:hAnsi="宋体"/>
          <w:sz w:val="30"/>
          <w:szCs w:val="30"/>
        </w:rPr>
      </w:pPr>
      <w:bookmarkStart w:id="604" w:name="_Hlk18840714"/>
      <w:bookmarkStart w:id="605" w:name="_Ref531955143"/>
      <w:r>
        <w:rPr>
          <w:rFonts w:hint="eastAsia" w:ascii="宋体" w:hAnsi="宋体"/>
          <w:sz w:val="30"/>
          <w:szCs w:val="30"/>
        </w:rPr>
        <w:t>（1） 按专用合同条件的约定在支付工程进度款时逐次预留，直至预留的质量保证金总额达到专用合同条件约定的金额或比例为止</w:t>
      </w:r>
      <w:bookmarkEnd w:id="604"/>
      <w:r>
        <w:rPr>
          <w:rFonts w:hint="eastAsia" w:ascii="宋体" w:hAnsi="宋体"/>
          <w:sz w:val="30"/>
          <w:szCs w:val="30"/>
        </w:rPr>
        <w:t>。在此情形下，质量保证金的计算基数不包括预付款的支付、扣回以及价格调整的金额；</w:t>
      </w:r>
      <w:bookmarkEnd w:id="605"/>
    </w:p>
    <w:p w14:paraId="25438B7E">
      <w:pPr>
        <w:ind w:firstLine="600"/>
        <w:rPr>
          <w:rFonts w:ascii="宋体" w:hAnsi="宋体"/>
          <w:sz w:val="30"/>
          <w:szCs w:val="30"/>
        </w:rPr>
      </w:pPr>
      <w:bookmarkStart w:id="606" w:name="_Ref531955151"/>
      <w:r>
        <w:rPr>
          <w:rFonts w:hint="eastAsia" w:ascii="宋体" w:hAnsi="宋体"/>
          <w:sz w:val="30"/>
          <w:szCs w:val="30"/>
        </w:rPr>
        <w:t>（2） 工程竣工结算时一次性预留质量保证金；</w:t>
      </w:r>
      <w:bookmarkEnd w:id="606"/>
    </w:p>
    <w:p w14:paraId="229B36F1">
      <w:pPr>
        <w:ind w:firstLine="600"/>
        <w:rPr>
          <w:rFonts w:ascii="宋体" w:hAnsi="宋体"/>
          <w:sz w:val="30"/>
          <w:szCs w:val="30"/>
        </w:rPr>
      </w:pPr>
      <w:bookmarkStart w:id="607" w:name="_Ref531955161"/>
      <w:r>
        <w:rPr>
          <w:rFonts w:hint="eastAsia" w:ascii="宋体" w:hAnsi="宋体"/>
          <w:sz w:val="30"/>
          <w:szCs w:val="30"/>
        </w:rPr>
        <w:t>（3） 双方约定的其他预留方式。</w:t>
      </w:r>
      <w:bookmarkEnd w:id="607"/>
    </w:p>
    <w:p w14:paraId="02C3F36D">
      <w:pPr>
        <w:ind w:firstLine="600"/>
        <w:rPr>
          <w:rFonts w:ascii="宋体" w:hAnsi="宋体"/>
          <w:sz w:val="30"/>
          <w:szCs w:val="30"/>
        </w:rPr>
      </w:pPr>
      <w:r>
        <w:rPr>
          <w:rFonts w:hint="eastAsia" w:ascii="宋体" w:hAnsi="宋体"/>
          <w:sz w:val="30"/>
          <w:szCs w:val="30"/>
        </w:rPr>
        <w:t>除专用合同条件另有约定外，质量保证金的预留原则上采用上述第（1）种方式。如承包人在发包人签发竣工付款证书后28天内提交工程质量保证担保，发包人应同时返还预留的作为质量保证金的工程价款。发包人在返还本条款项下的质量保证金的同时，按照中国人民银行同期同类存款基准利率支付利息。</w:t>
      </w:r>
    </w:p>
    <w:p w14:paraId="5F0C961D">
      <w:pPr>
        <w:pStyle w:val="994"/>
        <w:numPr>
          <w:ilvl w:val="0"/>
          <w:numId w:val="0"/>
        </w:numPr>
        <w:rPr>
          <w:sz w:val="30"/>
          <w:szCs w:val="30"/>
        </w:rPr>
      </w:pPr>
      <w:bookmarkStart w:id="608" w:name="_Ref532690096"/>
      <w:bookmarkStart w:id="609" w:name="_Ref4571243"/>
      <w:r>
        <w:rPr>
          <w:rFonts w:hint="eastAsia"/>
          <w:sz w:val="30"/>
          <w:szCs w:val="30"/>
        </w:rPr>
        <w:t>1</w:t>
      </w:r>
      <w:r>
        <w:rPr>
          <w:sz w:val="30"/>
          <w:szCs w:val="30"/>
        </w:rPr>
        <w:t xml:space="preserve">4.6.3 </w:t>
      </w:r>
      <w:r>
        <w:rPr>
          <w:rFonts w:hint="eastAsia"/>
          <w:sz w:val="30"/>
          <w:szCs w:val="30"/>
        </w:rPr>
        <w:t>质量保证金的</w:t>
      </w:r>
      <w:bookmarkEnd w:id="608"/>
      <w:r>
        <w:rPr>
          <w:rFonts w:hint="eastAsia"/>
          <w:sz w:val="30"/>
          <w:szCs w:val="30"/>
        </w:rPr>
        <w:t>返还</w:t>
      </w:r>
      <w:bookmarkEnd w:id="609"/>
    </w:p>
    <w:p w14:paraId="1B8BE59C">
      <w:pPr>
        <w:ind w:firstLine="600"/>
        <w:rPr>
          <w:rFonts w:ascii="宋体" w:hAnsi="宋体"/>
          <w:sz w:val="30"/>
          <w:szCs w:val="30"/>
        </w:rPr>
      </w:pPr>
      <w:r>
        <w:rPr>
          <w:rFonts w:hint="eastAsia" w:ascii="宋体" w:hAnsi="宋体"/>
          <w:sz w:val="30"/>
          <w:szCs w:val="30"/>
        </w:rPr>
        <w:t>缺陷责任期内，承包人认真履行合同约定的责任，缺陷责任期满，发包人根据第</w:t>
      </w:r>
      <w:r>
        <w:rPr>
          <w:rFonts w:ascii="宋体" w:hAnsi="宋体"/>
          <w:sz w:val="30"/>
          <w:szCs w:val="30"/>
        </w:rPr>
        <w:t>11.6</w:t>
      </w:r>
      <w:r>
        <w:rPr>
          <w:rFonts w:hint="eastAsia" w:ascii="宋体" w:hAnsi="宋体"/>
          <w:sz w:val="30"/>
          <w:szCs w:val="30"/>
        </w:rPr>
        <w:t>款[缺陷责任期终止证书]向承包人颁发缺陷责任期终止证书后，承包人可向发包人申请返还质量保证金。</w:t>
      </w:r>
    </w:p>
    <w:p w14:paraId="4FB8AC8C">
      <w:pPr>
        <w:ind w:firstLine="600"/>
        <w:rPr>
          <w:rFonts w:ascii="宋体" w:hAnsi="宋体"/>
          <w:sz w:val="30"/>
          <w:szCs w:val="30"/>
        </w:rPr>
      </w:pPr>
      <w:r>
        <w:rPr>
          <w:rFonts w:hint="eastAsia" w:ascii="宋体" w:hAnsi="宋体"/>
          <w:sz w:val="30"/>
          <w:szCs w:val="30"/>
        </w:rPr>
        <w:t>发包人在接到承包人返还质量保证金申请后，应于</w:t>
      </w:r>
      <w:r>
        <w:rPr>
          <w:rFonts w:ascii="宋体" w:hAnsi="宋体"/>
          <w:sz w:val="30"/>
          <w:szCs w:val="30"/>
        </w:rPr>
        <w:t>7</w:t>
      </w:r>
      <w:r>
        <w:rPr>
          <w:rFonts w:hint="eastAsia" w:ascii="宋体" w:hAnsi="宋体"/>
          <w:sz w:val="30"/>
          <w:szCs w:val="30"/>
        </w:rPr>
        <w:t>天内将质量保证金返还承包人，逾期未返还的，应承担违约责任。发包人在接到承包人返还质量保证金申请后</w:t>
      </w:r>
      <w:r>
        <w:rPr>
          <w:rFonts w:ascii="宋体" w:hAnsi="宋体"/>
          <w:sz w:val="30"/>
          <w:szCs w:val="30"/>
        </w:rPr>
        <w:t>7</w:t>
      </w:r>
      <w:r>
        <w:rPr>
          <w:rFonts w:hint="eastAsia" w:ascii="宋体" w:hAnsi="宋体"/>
          <w:sz w:val="30"/>
          <w:szCs w:val="30"/>
        </w:rPr>
        <w:t>天内不予答复，视同认可承包人的返还质量保证金申请。</w:t>
      </w:r>
    </w:p>
    <w:p w14:paraId="274D8274">
      <w:pPr>
        <w:ind w:firstLine="600"/>
        <w:rPr>
          <w:rFonts w:ascii="宋体" w:hAnsi="宋体"/>
          <w:sz w:val="30"/>
          <w:szCs w:val="30"/>
        </w:rPr>
      </w:pPr>
      <w:r>
        <w:rPr>
          <w:rFonts w:hint="eastAsia" w:ascii="宋体" w:hAnsi="宋体"/>
          <w:sz w:val="30"/>
          <w:szCs w:val="30"/>
        </w:rPr>
        <w:t>发包人和承包人对质量保证金预留、返还以及工程维修质量、费用有争议的，按本合同第</w:t>
      </w:r>
      <w:r>
        <w:rPr>
          <w:rFonts w:ascii="宋体" w:hAnsi="宋体"/>
          <w:sz w:val="30"/>
          <w:szCs w:val="30"/>
        </w:rPr>
        <w:t>20条</w:t>
      </w:r>
      <w:r>
        <w:rPr>
          <w:rFonts w:hint="eastAsia" w:ascii="宋体" w:hAnsi="宋体"/>
          <w:sz w:val="30"/>
          <w:szCs w:val="30"/>
        </w:rPr>
        <w:t>[争议解决]约定的争议和纠纷解决程序处理。</w:t>
      </w:r>
    </w:p>
    <w:bookmarkEnd w:id="598"/>
    <w:p w14:paraId="2825BAAC">
      <w:pPr>
        <w:pStyle w:val="969"/>
        <w:widowControl/>
        <w:numPr>
          <w:ilvl w:val="0"/>
          <w:numId w:val="0"/>
        </w:numPr>
        <w:rPr>
          <w:rFonts w:ascii="宋体" w:hAnsi="宋体" w:eastAsia="宋体"/>
          <w:b w:val="0"/>
          <w:sz w:val="30"/>
          <w:szCs w:val="30"/>
        </w:rPr>
      </w:pPr>
      <w:bookmarkStart w:id="610" w:name="_Ref531957341"/>
      <w:bookmarkStart w:id="611" w:name="_Ref531957339"/>
      <w:bookmarkStart w:id="612" w:name="_Toc54862298"/>
      <w:r>
        <w:rPr>
          <w:rFonts w:hint="eastAsia" w:ascii="宋体" w:hAnsi="宋体" w:eastAsia="宋体"/>
          <w:b w:val="0"/>
          <w:sz w:val="30"/>
          <w:szCs w:val="30"/>
        </w:rPr>
        <w:t>1</w:t>
      </w:r>
      <w:r>
        <w:rPr>
          <w:rFonts w:ascii="宋体" w:hAnsi="宋体" w:eastAsia="宋体"/>
          <w:b w:val="0"/>
          <w:sz w:val="30"/>
          <w:szCs w:val="30"/>
        </w:rPr>
        <w:t xml:space="preserve">4.7 </w:t>
      </w:r>
      <w:r>
        <w:rPr>
          <w:rFonts w:hint="eastAsia" w:ascii="宋体" w:hAnsi="宋体" w:eastAsia="宋体"/>
          <w:b w:val="0"/>
          <w:sz w:val="30"/>
          <w:szCs w:val="30"/>
        </w:rPr>
        <w:t>最终结清</w:t>
      </w:r>
      <w:bookmarkEnd w:id="610"/>
      <w:bookmarkEnd w:id="611"/>
      <w:bookmarkEnd w:id="612"/>
      <w:r>
        <w:rPr>
          <w:rFonts w:hint="eastAsia" w:ascii="宋体" w:hAnsi="宋体" w:eastAsia="宋体"/>
          <w:b w:val="0"/>
          <w:sz w:val="30"/>
          <w:szCs w:val="30"/>
        </w:rPr>
        <w:t xml:space="preserve"> </w:t>
      </w:r>
    </w:p>
    <w:p w14:paraId="7805C523">
      <w:pPr>
        <w:pStyle w:val="994"/>
        <w:numPr>
          <w:ilvl w:val="0"/>
          <w:numId w:val="0"/>
        </w:numPr>
        <w:rPr>
          <w:sz w:val="30"/>
          <w:szCs w:val="30"/>
        </w:rPr>
      </w:pPr>
      <w:bookmarkStart w:id="613" w:name="_Ref531957350"/>
      <w:r>
        <w:rPr>
          <w:rFonts w:hint="eastAsia"/>
          <w:sz w:val="30"/>
          <w:szCs w:val="30"/>
        </w:rPr>
        <w:t>1</w:t>
      </w:r>
      <w:r>
        <w:rPr>
          <w:sz w:val="30"/>
          <w:szCs w:val="30"/>
        </w:rPr>
        <w:t xml:space="preserve">4.7.1 </w:t>
      </w:r>
      <w:r>
        <w:rPr>
          <w:rFonts w:hint="eastAsia"/>
          <w:sz w:val="30"/>
          <w:szCs w:val="30"/>
        </w:rPr>
        <w:t>最终结清申请</w:t>
      </w:r>
      <w:bookmarkEnd w:id="613"/>
      <w:r>
        <w:rPr>
          <w:rFonts w:hint="eastAsia"/>
          <w:sz w:val="30"/>
          <w:szCs w:val="30"/>
        </w:rPr>
        <w:t>单</w:t>
      </w:r>
    </w:p>
    <w:p w14:paraId="41BED37B">
      <w:pPr>
        <w:ind w:firstLine="600"/>
        <w:rPr>
          <w:rFonts w:ascii="宋体" w:hAnsi="宋体"/>
          <w:sz w:val="30"/>
          <w:szCs w:val="30"/>
        </w:rPr>
      </w:pPr>
      <w:r>
        <w:rPr>
          <w:rFonts w:hint="eastAsia" w:ascii="宋体" w:hAnsi="宋体"/>
          <w:sz w:val="30"/>
          <w:szCs w:val="30"/>
        </w:rPr>
        <w:t>（1） 除专用合同条件另有约定外，承包人应在缺陷责任期终止证书颁发后7天内，按专用合同条件约定的份数向发包人提交最终结清申请单，并提供相关证明材料。</w:t>
      </w:r>
    </w:p>
    <w:p w14:paraId="4D31108A">
      <w:pPr>
        <w:ind w:firstLine="600"/>
        <w:rPr>
          <w:rFonts w:ascii="宋体" w:hAnsi="宋体"/>
          <w:sz w:val="30"/>
          <w:szCs w:val="30"/>
        </w:rPr>
      </w:pPr>
      <w:r>
        <w:rPr>
          <w:rFonts w:hint="eastAsia" w:ascii="宋体" w:hAnsi="宋体"/>
          <w:sz w:val="30"/>
          <w:szCs w:val="30"/>
        </w:rPr>
        <w:t>除专用合同条件另有约定外，最终结清申请单应列明质量保证金、应扣除的质量保证金、缺陷责任期内发生的增减费用。</w:t>
      </w:r>
    </w:p>
    <w:p w14:paraId="3F8EE0A5">
      <w:pPr>
        <w:ind w:firstLine="600"/>
        <w:rPr>
          <w:rFonts w:ascii="宋体" w:hAnsi="宋体"/>
          <w:sz w:val="30"/>
          <w:szCs w:val="30"/>
        </w:rPr>
      </w:pPr>
      <w:r>
        <w:rPr>
          <w:rFonts w:hint="eastAsia" w:ascii="宋体" w:hAnsi="宋体"/>
          <w:sz w:val="30"/>
          <w:szCs w:val="30"/>
        </w:rPr>
        <w:t>（2） 发包人对最终结清申请单内容有异议的，有权要求承包人进行修正和提供补充资料，承包人应向发包人提交修正后的最终结清申请单。</w:t>
      </w:r>
    </w:p>
    <w:p w14:paraId="616EC5B3">
      <w:pPr>
        <w:pStyle w:val="994"/>
        <w:numPr>
          <w:ilvl w:val="0"/>
          <w:numId w:val="0"/>
        </w:numPr>
        <w:rPr>
          <w:sz w:val="30"/>
          <w:szCs w:val="30"/>
        </w:rPr>
      </w:pPr>
      <w:bookmarkStart w:id="614" w:name="_Ref531957369"/>
      <w:bookmarkStart w:id="615" w:name="_Ref4624099"/>
      <w:r>
        <w:rPr>
          <w:rFonts w:hint="eastAsia"/>
          <w:sz w:val="30"/>
          <w:szCs w:val="30"/>
        </w:rPr>
        <w:t>1</w:t>
      </w:r>
      <w:r>
        <w:rPr>
          <w:sz w:val="30"/>
          <w:szCs w:val="30"/>
        </w:rPr>
        <w:t xml:space="preserve">4.7.2 </w:t>
      </w:r>
      <w:r>
        <w:rPr>
          <w:rFonts w:hint="eastAsia"/>
          <w:sz w:val="30"/>
          <w:szCs w:val="30"/>
        </w:rPr>
        <w:t>最终结清证书</w:t>
      </w:r>
      <w:bookmarkEnd w:id="614"/>
      <w:r>
        <w:rPr>
          <w:rFonts w:hint="eastAsia"/>
          <w:sz w:val="30"/>
          <w:szCs w:val="30"/>
        </w:rPr>
        <w:t>和支付</w:t>
      </w:r>
      <w:bookmarkEnd w:id="615"/>
    </w:p>
    <w:p w14:paraId="079B70E3">
      <w:pPr>
        <w:ind w:firstLine="600"/>
        <w:rPr>
          <w:rFonts w:ascii="宋体" w:hAnsi="宋体"/>
          <w:sz w:val="30"/>
          <w:szCs w:val="30"/>
        </w:rPr>
      </w:pPr>
      <w:r>
        <w:rPr>
          <w:rFonts w:hint="eastAsia" w:ascii="宋体" w:hAnsi="宋体"/>
          <w:sz w:val="30"/>
          <w:szCs w:val="30"/>
        </w:rPr>
        <w:t>（1） 除专用合同条件另有约定外，发包人应在收到承包人提交的最终结清申请单后14天内完成审批并向承包人颁发最终结清证书。发包人逾期未完成审批，又未提出修改意见的，视为发包人同意承包人提交的最终结清申请单，且自发包人收到承包人提交的最终结清申请单后15天起视为已颁发最终结清证书。</w:t>
      </w:r>
    </w:p>
    <w:p w14:paraId="003FCAAD">
      <w:pPr>
        <w:ind w:firstLine="600"/>
        <w:rPr>
          <w:rFonts w:ascii="宋体" w:hAnsi="宋体"/>
          <w:sz w:val="30"/>
          <w:szCs w:val="30"/>
        </w:rPr>
      </w:pPr>
      <w:r>
        <w:rPr>
          <w:rFonts w:hint="eastAsia" w:ascii="宋体" w:hAnsi="宋体"/>
          <w:sz w:val="30"/>
          <w:szCs w:val="30"/>
        </w:rPr>
        <w:t>（2） 除专用合同条件另有约定外，发包人应在颁发最终结清证书后7天内完成支付。发包人逾期支付的，按照贷款市场报价利率（LPR）支付利息；逾期支付超过56天的，按照贷款市场报价利率（LPR）的两倍支付利息。</w:t>
      </w:r>
    </w:p>
    <w:p w14:paraId="07FC27E5">
      <w:pPr>
        <w:ind w:firstLine="600"/>
        <w:rPr>
          <w:rFonts w:ascii="宋体" w:hAnsi="宋体"/>
          <w:sz w:val="30"/>
          <w:szCs w:val="30"/>
        </w:rPr>
      </w:pPr>
      <w:r>
        <w:rPr>
          <w:rFonts w:hint="eastAsia" w:ascii="宋体" w:hAnsi="宋体"/>
          <w:sz w:val="30"/>
          <w:szCs w:val="30"/>
        </w:rPr>
        <w:t>（3） 承包人对发包人颁发的最终结清证书有异议的，按第</w:t>
      </w:r>
      <w:r>
        <w:rPr>
          <w:rFonts w:ascii="宋体" w:hAnsi="宋体"/>
          <w:sz w:val="30"/>
          <w:szCs w:val="30"/>
        </w:rPr>
        <w:t>20条</w:t>
      </w:r>
      <w:r>
        <w:rPr>
          <w:rFonts w:hint="eastAsia" w:ascii="宋体" w:hAnsi="宋体"/>
          <w:sz w:val="30"/>
          <w:szCs w:val="30"/>
        </w:rPr>
        <w:t>[争议解决]的约定办理。</w:t>
      </w:r>
    </w:p>
    <w:p w14:paraId="4DB514A0">
      <w:pPr>
        <w:pStyle w:val="991"/>
        <w:numPr>
          <w:ilvl w:val="0"/>
          <w:numId w:val="0"/>
        </w:numPr>
        <w:wordWrap/>
        <w:topLinePunct w:val="0"/>
        <w:rPr>
          <w:rFonts w:ascii="宋体" w:hAnsi="宋体" w:eastAsia="宋体"/>
          <w:b w:val="0"/>
          <w:kern w:val="2"/>
          <w:sz w:val="30"/>
          <w:szCs w:val="30"/>
        </w:rPr>
      </w:pPr>
      <w:bookmarkStart w:id="616" w:name="_Ref11920407"/>
      <w:bookmarkStart w:id="617" w:name="_Toc54862299"/>
      <w:bookmarkStart w:id="618" w:name="_Ref11874957"/>
      <w:bookmarkStart w:id="619" w:name="_Ref11920396"/>
      <w:r>
        <w:rPr>
          <w:rFonts w:hint="eastAsia" w:ascii="宋体" w:hAnsi="宋体" w:eastAsia="宋体"/>
          <w:b w:val="0"/>
          <w:kern w:val="2"/>
          <w:sz w:val="30"/>
          <w:szCs w:val="30"/>
        </w:rPr>
        <w:t>第1</w:t>
      </w:r>
      <w:r>
        <w:rPr>
          <w:rFonts w:ascii="宋体" w:hAnsi="宋体" w:eastAsia="宋体"/>
          <w:b w:val="0"/>
          <w:kern w:val="2"/>
          <w:sz w:val="30"/>
          <w:szCs w:val="30"/>
        </w:rPr>
        <w:t>5</w:t>
      </w:r>
      <w:r>
        <w:rPr>
          <w:rFonts w:hint="eastAsia" w:ascii="宋体" w:hAnsi="宋体" w:eastAsia="宋体"/>
          <w:b w:val="0"/>
          <w:kern w:val="2"/>
          <w:sz w:val="30"/>
          <w:szCs w:val="30"/>
        </w:rPr>
        <w:t>条 违约</w:t>
      </w:r>
      <w:bookmarkEnd w:id="474"/>
      <w:bookmarkEnd w:id="478"/>
      <w:bookmarkEnd w:id="479"/>
      <w:bookmarkEnd w:id="616"/>
      <w:bookmarkEnd w:id="617"/>
      <w:bookmarkEnd w:id="618"/>
      <w:bookmarkEnd w:id="619"/>
    </w:p>
    <w:p w14:paraId="1F4814DE">
      <w:pPr>
        <w:pStyle w:val="969"/>
        <w:widowControl/>
        <w:numPr>
          <w:ilvl w:val="0"/>
          <w:numId w:val="0"/>
        </w:numPr>
        <w:rPr>
          <w:rFonts w:ascii="宋体" w:hAnsi="宋体" w:eastAsia="宋体"/>
          <w:b w:val="0"/>
          <w:sz w:val="30"/>
          <w:szCs w:val="30"/>
        </w:rPr>
      </w:pPr>
      <w:bookmarkStart w:id="620" w:name="_Ref4534384"/>
      <w:bookmarkStart w:id="621" w:name="_Ref4534399"/>
      <w:bookmarkStart w:id="622" w:name="_Ref4534376"/>
      <w:bookmarkStart w:id="623" w:name="_Toc54862300"/>
      <w:bookmarkStart w:id="624" w:name="_Ref4534411"/>
      <w:r>
        <w:rPr>
          <w:rFonts w:hint="eastAsia" w:ascii="宋体" w:hAnsi="宋体" w:eastAsia="宋体"/>
          <w:b w:val="0"/>
          <w:sz w:val="30"/>
          <w:szCs w:val="30"/>
        </w:rPr>
        <w:t>1</w:t>
      </w:r>
      <w:r>
        <w:rPr>
          <w:rFonts w:ascii="宋体" w:hAnsi="宋体" w:eastAsia="宋体"/>
          <w:b w:val="0"/>
          <w:sz w:val="30"/>
          <w:szCs w:val="30"/>
        </w:rPr>
        <w:t xml:space="preserve">5.1 </w:t>
      </w:r>
      <w:r>
        <w:rPr>
          <w:rFonts w:hint="eastAsia" w:ascii="宋体" w:hAnsi="宋体" w:eastAsia="宋体"/>
          <w:b w:val="0"/>
          <w:sz w:val="30"/>
          <w:szCs w:val="30"/>
        </w:rPr>
        <w:t>发包人违约</w:t>
      </w:r>
      <w:bookmarkEnd w:id="620"/>
      <w:bookmarkEnd w:id="621"/>
      <w:bookmarkEnd w:id="622"/>
      <w:bookmarkEnd w:id="623"/>
      <w:bookmarkEnd w:id="624"/>
    </w:p>
    <w:p w14:paraId="39F02CD8">
      <w:pPr>
        <w:pStyle w:val="994"/>
        <w:numPr>
          <w:ilvl w:val="0"/>
          <w:numId w:val="0"/>
        </w:numPr>
        <w:rPr>
          <w:sz w:val="30"/>
          <w:szCs w:val="30"/>
        </w:rPr>
      </w:pPr>
      <w:bookmarkStart w:id="625" w:name="_Ref3841087"/>
      <w:r>
        <w:rPr>
          <w:rFonts w:hint="eastAsia"/>
          <w:sz w:val="30"/>
          <w:szCs w:val="30"/>
        </w:rPr>
        <w:t>1</w:t>
      </w:r>
      <w:r>
        <w:rPr>
          <w:sz w:val="30"/>
          <w:szCs w:val="30"/>
        </w:rPr>
        <w:t xml:space="preserve">5.1.1 </w:t>
      </w:r>
      <w:r>
        <w:rPr>
          <w:rFonts w:hint="eastAsia"/>
          <w:sz w:val="30"/>
          <w:szCs w:val="30"/>
        </w:rPr>
        <w:t>发包人违约的情形</w:t>
      </w:r>
      <w:bookmarkEnd w:id="625"/>
    </w:p>
    <w:p w14:paraId="46EE9C34">
      <w:pPr>
        <w:ind w:firstLine="600"/>
        <w:rPr>
          <w:rFonts w:ascii="宋体" w:hAnsi="宋体"/>
          <w:sz w:val="30"/>
          <w:szCs w:val="30"/>
        </w:rPr>
      </w:pPr>
      <w:r>
        <w:rPr>
          <w:rFonts w:hint="eastAsia" w:ascii="宋体" w:hAnsi="宋体"/>
          <w:sz w:val="30"/>
          <w:szCs w:val="30"/>
        </w:rPr>
        <w:t>除专用合同条件另有约定外，在合同履行过程中发生的下列情形，属于发包人违约：</w:t>
      </w:r>
    </w:p>
    <w:p w14:paraId="569CFC94">
      <w:pPr>
        <w:ind w:firstLine="600"/>
        <w:rPr>
          <w:rFonts w:ascii="宋体" w:hAnsi="宋体"/>
          <w:sz w:val="30"/>
          <w:szCs w:val="30"/>
        </w:rPr>
      </w:pPr>
      <w:r>
        <w:rPr>
          <w:rFonts w:hint="eastAsia" w:ascii="宋体" w:hAnsi="宋体"/>
          <w:sz w:val="30"/>
          <w:szCs w:val="30"/>
        </w:rPr>
        <w:t xml:space="preserve">（1） 因发包人原因导致开始工作日期延误的； </w:t>
      </w:r>
    </w:p>
    <w:p w14:paraId="0EC0AFCF">
      <w:pPr>
        <w:ind w:firstLine="600"/>
        <w:rPr>
          <w:rFonts w:ascii="宋体" w:hAnsi="宋体"/>
          <w:sz w:val="30"/>
          <w:szCs w:val="30"/>
        </w:rPr>
      </w:pPr>
      <w:r>
        <w:rPr>
          <w:rFonts w:hint="eastAsia" w:ascii="宋体" w:hAnsi="宋体"/>
          <w:sz w:val="30"/>
          <w:szCs w:val="30"/>
        </w:rPr>
        <w:t>（2） 因发包人原因未能按合同约定支付合同价款的；</w:t>
      </w:r>
    </w:p>
    <w:p w14:paraId="089B65CA">
      <w:pPr>
        <w:ind w:firstLine="600"/>
        <w:rPr>
          <w:rFonts w:ascii="宋体" w:hAnsi="宋体"/>
          <w:sz w:val="30"/>
          <w:szCs w:val="30"/>
        </w:rPr>
      </w:pPr>
      <w:r>
        <w:rPr>
          <w:rFonts w:hint="eastAsia" w:ascii="宋体" w:hAnsi="宋体"/>
          <w:sz w:val="30"/>
          <w:szCs w:val="30"/>
        </w:rPr>
        <w:t>（3） 发包人违反第</w:t>
      </w:r>
      <w:r>
        <w:rPr>
          <w:rFonts w:ascii="宋体" w:hAnsi="宋体"/>
          <w:sz w:val="30"/>
          <w:szCs w:val="30"/>
        </w:rPr>
        <w:t>13.1.1</w:t>
      </w:r>
      <w:r>
        <w:rPr>
          <w:rFonts w:hint="eastAsia" w:ascii="宋体" w:hAnsi="宋体"/>
          <w:sz w:val="30"/>
          <w:szCs w:val="30"/>
        </w:rPr>
        <w:t>项约定，自行实施被取消的工作或转由他人实施的；</w:t>
      </w:r>
    </w:p>
    <w:p w14:paraId="6FEA39E3">
      <w:pPr>
        <w:ind w:firstLine="600"/>
        <w:rPr>
          <w:rFonts w:ascii="宋体" w:hAnsi="宋体"/>
          <w:sz w:val="30"/>
          <w:szCs w:val="30"/>
        </w:rPr>
      </w:pPr>
      <w:r>
        <w:rPr>
          <w:rFonts w:hint="eastAsia" w:ascii="宋体" w:hAnsi="宋体"/>
          <w:sz w:val="30"/>
          <w:szCs w:val="30"/>
        </w:rPr>
        <w:t>（4） 因发包人违反合同约定造成工程暂停施工的；</w:t>
      </w:r>
    </w:p>
    <w:p w14:paraId="1CAAADBA">
      <w:pPr>
        <w:ind w:firstLine="600"/>
        <w:rPr>
          <w:rFonts w:ascii="宋体" w:hAnsi="宋体"/>
          <w:sz w:val="30"/>
          <w:szCs w:val="30"/>
        </w:rPr>
      </w:pPr>
      <w:r>
        <w:rPr>
          <w:rFonts w:hint="eastAsia" w:ascii="宋体" w:hAnsi="宋体"/>
          <w:sz w:val="30"/>
          <w:szCs w:val="30"/>
        </w:rPr>
        <w:t>（5） 工程师无正当理由没有在约定期限内发出复工指示，导致承包人无法复工的；</w:t>
      </w:r>
    </w:p>
    <w:p w14:paraId="690159D2">
      <w:pPr>
        <w:ind w:firstLine="600"/>
        <w:rPr>
          <w:rFonts w:ascii="宋体" w:hAnsi="宋体"/>
          <w:sz w:val="30"/>
          <w:szCs w:val="30"/>
        </w:rPr>
      </w:pPr>
      <w:r>
        <w:rPr>
          <w:rFonts w:hint="eastAsia" w:ascii="宋体" w:hAnsi="宋体"/>
          <w:sz w:val="30"/>
          <w:szCs w:val="30"/>
        </w:rPr>
        <w:t>（6） 发包人明确表示或者以其行为表明不履行合同主要义务的；</w:t>
      </w:r>
    </w:p>
    <w:p w14:paraId="499F6C6A">
      <w:pPr>
        <w:ind w:firstLine="600"/>
        <w:rPr>
          <w:rFonts w:ascii="宋体" w:hAnsi="宋体"/>
          <w:sz w:val="30"/>
          <w:szCs w:val="30"/>
        </w:rPr>
      </w:pPr>
      <w:r>
        <w:rPr>
          <w:rFonts w:hint="eastAsia" w:ascii="宋体" w:hAnsi="宋体"/>
          <w:sz w:val="30"/>
          <w:szCs w:val="30"/>
        </w:rPr>
        <w:t>（7） 发包人未能按照合同约定履行其他义务的。</w:t>
      </w:r>
    </w:p>
    <w:p w14:paraId="3E472A42">
      <w:pPr>
        <w:pStyle w:val="994"/>
        <w:numPr>
          <w:ilvl w:val="0"/>
          <w:numId w:val="0"/>
        </w:numPr>
        <w:rPr>
          <w:sz w:val="30"/>
          <w:szCs w:val="30"/>
        </w:rPr>
      </w:pPr>
      <w:bookmarkStart w:id="626" w:name="_Ref4535692"/>
      <w:r>
        <w:rPr>
          <w:rFonts w:hint="eastAsia"/>
          <w:sz w:val="30"/>
          <w:szCs w:val="30"/>
        </w:rPr>
        <w:t>1</w:t>
      </w:r>
      <w:r>
        <w:rPr>
          <w:sz w:val="30"/>
          <w:szCs w:val="30"/>
        </w:rPr>
        <w:t xml:space="preserve">5.1.2 </w:t>
      </w:r>
      <w:r>
        <w:rPr>
          <w:rFonts w:hint="eastAsia"/>
          <w:sz w:val="30"/>
          <w:szCs w:val="30"/>
        </w:rPr>
        <w:t>通知改正</w:t>
      </w:r>
      <w:bookmarkEnd w:id="626"/>
    </w:p>
    <w:p w14:paraId="466D0942">
      <w:pPr>
        <w:ind w:firstLine="600"/>
        <w:rPr>
          <w:rFonts w:ascii="宋体" w:hAnsi="宋体"/>
          <w:sz w:val="30"/>
          <w:szCs w:val="30"/>
        </w:rPr>
      </w:pPr>
      <w:bookmarkStart w:id="627" w:name="_Hlk16248297"/>
      <w:r>
        <w:rPr>
          <w:rFonts w:hint="eastAsia" w:ascii="宋体" w:hAnsi="宋体"/>
          <w:sz w:val="30"/>
          <w:szCs w:val="30"/>
        </w:rPr>
        <w:t>发包人发生除第</w:t>
      </w:r>
      <w:r>
        <w:rPr>
          <w:rFonts w:ascii="宋体" w:hAnsi="宋体"/>
          <w:sz w:val="30"/>
          <w:szCs w:val="30"/>
        </w:rPr>
        <w:t>15.1.1</w:t>
      </w:r>
      <w:r>
        <w:rPr>
          <w:rFonts w:hint="eastAsia" w:ascii="宋体" w:hAnsi="宋体"/>
          <w:sz w:val="30"/>
          <w:szCs w:val="30"/>
        </w:rPr>
        <w:t>项第(</w:t>
      </w:r>
      <w:r>
        <w:rPr>
          <w:rFonts w:ascii="宋体" w:hAnsi="宋体"/>
          <w:sz w:val="30"/>
          <w:szCs w:val="30"/>
        </w:rPr>
        <w:t>6</w:t>
      </w:r>
      <w:r>
        <w:rPr>
          <w:rFonts w:hint="eastAsia" w:ascii="宋体" w:hAnsi="宋体"/>
          <w:sz w:val="30"/>
          <w:szCs w:val="30"/>
        </w:rPr>
        <w:t>)目以外的违约情况时，承包人可向发包人发出通知，要求发包人采取有效措施纠正违约行为。发包人收到承包人通知后28天内仍不纠正违约行为的，承包人有权暂停相应部位工程实施，并通知工程师。</w:t>
      </w:r>
      <w:bookmarkEnd w:id="627"/>
    </w:p>
    <w:p w14:paraId="7AF24EF4">
      <w:pPr>
        <w:pStyle w:val="994"/>
        <w:numPr>
          <w:ilvl w:val="0"/>
          <w:numId w:val="0"/>
        </w:numPr>
        <w:rPr>
          <w:sz w:val="30"/>
          <w:szCs w:val="30"/>
        </w:rPr>
      </w:pPr>
      <w:bookmarkStart w:id="628" w:name="_Ref3841132"/>
      <w:r>
        <w:rPr>
          <w:rFonts w:hint="eastAsia"/>
          <w:sz w:val="30"/>
          <w:szCs w:val="30"/>
        </w:rPr>
        <w:t>1</w:t>
      </w:r>
      <w:r>
        <w:rPr>
          <w:sz w:val="30"/>
          <w:szCs w:val="30"/>
        </w:rPr>
        <w:t xml:space="preserve">5.1.3 </w:t>
      </w:r>
      <w:r>
        <w:rPr>
          <w:rFonts w:hint="eastAsia"/>
          <w:sz w:val="30"/>
          <w:szCs w:val="30"/>
        </w:rPr>
        <w:t>发包人违约的责任</w:t>
      </w:r>
      <w:bookmarkEnd w:id="628"/>
    </w:p>
    <w:p w14:paraId="6F80ADC0">
      <w:pPr>
        <w:ind w:firstLine="600"/>
        <w:rPr>
          <w:rFonts w:ascii="宋体" w:hAnsi="宋体"/>
          <w:sz w:val="30"/>
          <w:szCs w:val="30"/>
        </w:rPr>
      </w:pPr>
      <w:bookmarkStart w:id="629" w:name="_Hlk16247984"/>
      <w:r>
        <w:rPr>
          <w:rFonts w:hint="eastAsia" w:ascii="宋体" w:hAnsi="宋体"/>
          <w:sz w:val="30"/>
          <w:szCs w:val="30"/>
        </w:rPr>
        <w:t>发包人应承担因其违约给承包人增加的费用和（或）延误的工期，并支付承包人合理的利润。此外，合同当事人可在专用合同条件中另行约定发包人违约责任的承担方式和计算方法。</w:t>
      </w:r>
      <w:bookmarkEnd w:id="629"/>
    </w:p>
    <w:p w14:paraId="3B309151">
      <w:pPr>
        <w:pStyle w:val="969"/>
        <w:widowControl/>
        <w:numPr>
          <w:ilvl w:val="0"/>
          <w:numId w:val="0"/>
        </w:numPr>
        <w:rPr>
          <w:rFonts w:ascii="宋体" w:hAnsi="宋体" w:eastAsia="宋体"/>
          <w:b w:val="0"/>
          <w:sz w:val="30"/>
          <w:szCs w:val="30"/>
        </w:rPr>
      </w:pPr>
      <w:bookmarkStart w:id="630" w:name="_Ref11958663"/>
      <w:bookmarkStart w:id="631" w:name="_Toc54862301"/>
      <w:bookmarkStart w:id="632" w:name="_Ref11958660"/>
      <w:r>
        <w:rPr>
          <w:rFonts w:hint="eastAsia" w:ascii="宋体" w:hAnsi="宋体" w:eastAsia="宋体"/>
          <w:b w:val="0"/>
          <w:sz w:val="30"/>
          <w:szCs w:val="30"/>
        </w:rPr>
        <w:t>1</w:t>
      </w:r>
      <w:r>
        <w:rPr>
          <w:rFonts w:ascii="宋体" w:hAnsi="宋体" w:eastAsia="宋体"/>
          <w:b w:val="0"/>
          <w:sz w:val="30"/>
          <w:szCs w:val="30"/>
        </w:rPr>
        <w:t xml:space="preserve">5.2 </w:t>
      </w:r>
      <w:r>
        <w:rPr>
          <w:rFonts w:hint="eastAsia" w:ascii="宋体" w:hAnsi="宋体" w:eastAsia="宋体"/>
          <w:b w:val="0"/>
          <w:sz w:val="30"/>
          <w:szCs w:val="30"/>
        </w:rPr>
        <w:t>承包人违约</w:t>
      </w:r>
      <w:bookmarkEnd w:id="630"/>
      <w:bookmarkEnd w:id="631"/>
      <w:bookmarkEnd w:id="632"/>
    </w:p>
    <w:p w14:paraId="1FFC5E2A">
      <w:pPr>
        <w:pStyle w:val="994"/>
        <w:numPr>
          <w:ilvl w:val="0"/>
          <w:numId w:val="0"/>
        </w:numPr>
        <w:rPr>
          <w:sz w:val="30"/>
          <w:szCs w:val="30"/>
        </w:rPr>
      </w:pPr>
      <w:bookmarkStart w:id="633" w:name="_Ref3841153"/>
      <w:r>
        <w:rPr>
          <w:rFonts w:hint="eastAsia"/>
          <w:sz w:val="30"/>
          <w:szCs w:val="30"/>
        </w:rPr>
        <w:t>1</w:t>
      </w:r>
      <w:r>
        <w:rPr>
          <w:sz w:val="30"/>
          <w:szCs w:val="30"/>
        </w:rPr>
        <w:t xml:space="preserve">5.2.1 </w:t>
      </w:r>
      <w:r>
        <w:rPr>
          <w:rFonts w:hint="eastAsia"/>
          <w:sz w:val="30"/>
          <w:szCs w:val="30"/>
        </w:rPr>
        <w:t>承包人违约的情形</w:t>
      </w:r>
      <w:bookmarkEnd w:id="633"/>
    </w:p>
    <w:p w14:paraId="5BA9CA56">
      <w:pPr>
        <w:ind w:firstLine="600"/>
        <w:rPr>
          <w:rFonts w:ascii="宋体" w:hAnsi="宋体"/>
          <w:sz w:val="30"/>
          <w:szCs w:val="30"/>
        </w:rPr>
      </w:pPr>
      <w:r>
        <w:rPr>
          <w:rFonts w:hint="eastAsia" w:ascii="宋体" w:hAnsi="宋体"/>
          <w:sz w:val="30"/>
          <w:szCs w:val="30"/>
        </w:rPr>
        <w:t>除专用合同条件另有约定外，在履行合同过程中发生的下列情况之一的，属于承包人违约：</w:t>
      </w:r>
    </w:p>
    <w:p w14:paraId="1DB09490">
      <w:pPr>
        <w:ind w:firstLine="600"/>
        <w:rPr>
          <w:rFonts w:ascii="宋体" w:hAnsi="宋体"/>
          <w:sz w:val="30"/>
          <w:szCs w:val="30"/>
        </w:rPr>
      </w:pPr>
      <w:r>
        <w:rPr>
          <w:rFonts w:hint="eastAsia" w:ascii="宋体" w:hAnsi="宋体"/>
          <w:sz w:val="30"/>
          <w:szCs w:val="30"/>
        </w:rPr>
        <w:t>（1） 承包人的原因导致的承包人文件、实施和竣工的工程不符合法律法规、工程质量验收标准以及合同约定；</w:t>
      </w:r>
    </w:p>
    <w:p w14:paraId="5BB9BF08">
      <w:pPr>
        <w:ind w:firstLine="600"/>
        <w:rPr>
          <w:rFonts w:ascii="宋体" w:hAnsi="宋体"/>
          <w:sz w:val="30"/>
          <w:szCs w:val="30"/>
        </w:rPr>
      </w:pPr>
      <w:r>
        <w:rPr>
          <w:rFonts w:hint="eastAsia" w:ascii="宋体" w:hAnsi="宋体"/>
          <w:sz w:val="30"/>
          <w:szCs w:val="30"/>
        </w:rPr>
        <w:t>（2） 承包人违反合同约定进行转包或违法分包的；</w:t>
      </w:r>
    </w:p>
    <w:p w14:paraId="51061C75">
      <w:pPr>
        <w:ind w:firstLine="600"/>
        <w:rPr>
          <w:rFonts w:ascii="宋体" w:hAnsi="宋体"/>
          <w:sz w:val="30"/>
          <w:szCs w:val="30"/>
        </w:rPr>
      </w:pPr>
      <w:r>
        <w:rPr>
          <w:rFonts w:hint="eastAsia" w:ascii="宋体" w:hAnsi="宋体"/>
          <w:sz w:val="30"/>
          <w:szCs w:val="30"/>
        </w:rPr>
        <w:t>（3） 承包人违反约定采购和使用不合格材料或工程设备；</w:t>
      </w:r>
    </w:p>
    <w:p w14:paraId="76B00845">
      <w:pPr>
        <w:ind w:firstLine="600"/>
        <w:rPr>
          <w:rFonts w:ascii="宋体" w:hAnsi="宋体"/>
          <w:sz w:val="30"/>
          <w:szCs w:val="30"/>
        </w:rPr>
      </w:pPr>
      <w:r>
        <w:rPr>
          <w:rFonts w:hint="eastAsia" w:ascii="宋体" w:hAnsi="宋体"/>
          <w:sz w:val="30"/>
          <w:szCs w:val="30"/>
        </w:rPr>
        <w:t>（4） 因承包人原因导致工程质量不符合合同要求的；</w:t>
      </w:r>
    </w:p>
    <w:p w14:paraId="112E170E">
      <w:pPr>
        <w:ind w:firstLine="600"/>
        <w:rPr>
          <w:rFonts w:ascii="宋体" w:hAnsi="宋体"/>
          <w:sz w:val="30"/>
          <w:szCs w:val="30"/>
        </w:rPr>
      </w:pPr>
      <w:r>
        <w:rPr>
          <w:rFonts w:hint="eastAsia" w:ascii="宋体" w:hAnsi="宋体"/>
          <w:sz w:val="30"/>
          <w:szCs w:val="30"/>
        </w:rPr>
        <w:t>（5） 承包人未经工程师批准，擅自将已按合同约定进入施工现场的施工设备、临时设施或材料撤离施工现场；</w:t>
      </w:r>
    </w:p>
    <w:p w14:paraId="55FA6068">
      <w:pPr>
        <w:ind w:firstLine="600"/>
        <w:rPr>
          <w:rFonts w:ascii="宋体" w:hAnsi="宋体"/>
          <w:sz w:val="30"/>
          <w:szCs w:val="30"/>
        </w:rPr>
      </w:pPr>
      <w:r>
        <w:rPr>
          <w:rFonts w:hint="eastAsia" w:ascii="宋体" w:hAnsi="宋体"/>
          <w:sz w:val="30"/>
          <w:szCs w:val="30"/>
        </w:rPr>
        <w:t>（6） 承包人未能按项目进度计划及时完成合同约定的工作，造成工期延误；</w:t>
      </w:r>
    </w:p>
    <w:p w14:paraId="0C819E49">
      <w:pPr>
        <w:ind w:firstLine="600"/>
        <w:rPr>
          <w:rFonts w:ascii="宋体" w:hAnsi="宋体"/>
          <w:sz w:val="30"/>
          <w:szCs w:val="30"/>
        </w:rPr>
      </w:pPr>
      <w:r>
        <w:rPr>
          <w:rFonts w:hint="eastAsia" w:ascii="宋体" w:hAnsi="宋体"/>
          <w:sz w:val="30"/>
          <w:szCs w:val="30"/>
        </w:rPr>
        <w:t>（7） 由于承包人原因未能通过竣工试验或竣工后试验的；</w:t>
      </w:r>
    </w:p>
    <w:p w14:paraId="2EABFD6E">
      <w:pPr>
        <w:ind w:firstLine="600"/>
        <w:rPr>
          <w:rFonts w:ascii="宋体" w:hAnsi="宋体"/>
          <w:sz w:val="30"/>
          <w:szCs w:val="30"/>
        </w:rPr>
      </w:pPr>
      <w:r>
        <w:rPr>
          <w:rFonts w:hint="eastAsia" w:ascii="宋体" w:hAnsi="宋体"/>
          <w:sz w:val="30"/>
          <w:szCs w:val="30"/>
        </w:rPr>
        <w:t>（8） 承包人在缺陷责任期及保修期内，未能在合理期限对工程缺陷进行修复，或拒绝按发包人指示进行修复的；</w:t>
      </w:r>
    </w:p>
    <w:p w14:paraId="55A83C3F">
      <w:pPr>
        <w:ind w:firstLine="600"/>
        <w:rPr>
          <w:rFonts w:ascii="宋体" w:hAnsi="宋体"/>
          <w:sz w:val="30"/>
          <w:szCs w:val="30"/>
        </w:rPr>
      </w:pPr>
      <w:r>
        <w:rPr>
          <w:rFonts w:hint="eastAsia" w:ascii="宋体" w:hAnsi="宋体"/>
          <w:sz w:val="30"/>
          <w:szCs w:val="30"/>
        </w:rPr>
        <w:t>（9） 承包人明确表示或者以其行为表明不履行合同主要义务的；</w:t>
      </w:r>
    </w:p>
    <w:p w14:paraId="5AF3B883">
      <w:pPr>
        <w:ind w:firstLine="600"/>
        <w:rPr>
          <w:rFonts w:ascii="宋体" w:hAnsi="宋体"/>
          <w:sz w:val="30"/>
          <w:szCs w:val="30"/>
        </w:rPr>
      </w:pPr>
      <w:r>
        <w:rPr>
          <w:rFonts w:hint="eastAsia" w:ascii="宋体" w:hAnsi="宋体"/>
          <w:sz w:val="30"/>
          <w:szCs w:val="30"/>
        </w:rPr>
        <w:t>（1</w:t>
      </w:r>
      <w:r>
        <w:rPr>
          <w:rFonts w:ascii="宋体" w:hAnsi="宋体"/>
          <w:sz w:val="30"/>
          <w:szCs w:val="30"/>
        </w:rPr>
        <w:t>0</w:t>
      </w:r>
      <w:r>
        <w:rPr>
          <w:rFonts w:hint="eastAsia" w:ascii="宋体" w:hAnsi="宋体"/>
          <w:sz w:val="30"/>
          <w:szCs w:val="30"/>
        </w:rPr>
        <w:t>） 承包人未能按照合同约定履行其他义务的。</w:t>
      </w:r>
    </w:p>
    <w:p w14:paraId="568F4223">
      <w:pPr>
        <w:pStyle w:val="994"/>
        <w:numPr>
          <w:ilvl w:val="0"/>
          <w:numId w:val="0"/>
        </w:numPr>
        <w:rPr>
          <w:sz w:val="30"/>
          <w:szCs w:val="30"/>
        </w:rPr>
      </w:pPr>
      <w:bookmarkStart w:id="634" w:name="_Ref531958512"/>
      <w:r>
        <w:rPr>
          <w:rFonts w:hint="eastAsia"/>
          <w:sz w:val="30"/>
          <w:szCs w:val="30"/>
        </w:rPr>
        <w:t>1</w:t>
      </w:r>
      <w:r>
        <w:rPr>
          <w:sz w:val="30"/>
          <w:szCs w:val="30"/>
        </w:rPr>
        <w:t xml:space="preserve">5.2.2 </w:t>
      </w:r>
      <w:r>
        <w:rPr>
          <w:rFonts w:hint="eastAsia"/>
          <w:sz w:val="30"/>
          <w:szCs w:val="30"/>
        </w:rPr>
        <w:t>通知改正</w:t>
      </w:r>
      <w:bookmarkEnd w:id="634"/>
    </w:p>
    <w:p w14:paraId="602B6DFE">
      <w:pPr>
        <w:ind w:firstLine="600"/>
        <w:rPr>
          <w:rFonts w:ascii="宋体" w:hAnsi="宋体"/>
          <w:sz w:val="30"/>
          <w:szCs w:val="30"/>
        </w:rPr>
      </w:pPr>
      <w:r>
        <w:rPr>
          <w:rFonts w:hint="eastAsia" w:ascii="宋体" w:hAnsi="宋体"/>
          <w:sz w:val="30"/>
          <w:szCs w:val="30"/>
        </w:rPr>
        <w:t>承包人发生除第</w:t>
      </w:r>
      <w:r>
        <w:rPr>
          <w:rFonts w:ascii="宋体" w:hAnsi="宋体"/>
          <w:sz w:val="30"/>
          <w:szCs w:val="30"/>
        </w:rPr>
        <w:t>15.2.1</w:t>
      </w:r>
      <w:r>
        <w:rPr>
          <w:rFonts w:hint="eastAsia" w:ascii="宋体" w:hAnsi="宋体"/>
          <w:sz w:val="30"/>
          <w:szCs w:val="30"/>
        </w:rPr>
        <w:t>项第(7)目、第(9)目约定以外的其他违约情况时，工程师可在专用合同条件约定的合理期限内向承包人发出整改通知，要求其在指定的期限内改正。</w:t>
      </w:r>
    </w:p>
    <w:p w14:paraId="55FAE69A">
      <w:pPr>
        <w:pStyle w:val="994"/>
        <w:numPr>
          <w:ilvl w:val="0"/>
          <w:numId w:val="0"/>
        </w:numPr>
        <w:rPr>
          <w:sz w:val="30"/>
          <w:szCs w:val="30"/>
        </w:rPr>
      </w:pPr>
      <w:bookmarkStart w:id="635" w:name="_Ref3841166"/>
      <w:r>
        <w:rPr>
          <w:rFonts w:hint="eastAsia"/>
          <w:sz w:val="30"/>
          <w:szCs w:val="30"/>
        </w:rPr>
        <w:t>1</w:t>
      </w:r>
      <w:r>
        <w:rPr>
          <w:sz w:val="30"/>
          <w:szCs w:val="30"/>
        </w:rPr>
        <w:t xml:space="preserve">5.2.3 </w:t>
      </w:r>
      <w:r>
        <w:rPr>
          <w:rFonts w:hint="eastAsia"/>
          <w:sz w:val="30"/>
          <w:szCs w:val="30"/>
        </w:rPr>
        <w:t>承包人违约的责任</w:t>
      </w:r>
      <w:bookmarkEnd w:id="635"/>
    </w:p>
    <w:p w14:paraId="5208FEA1">
      <w:pPr>
        <w:ind w:firstLine="600"/>
        <w:rPr>
          <w:rFonts w:ascii="宋体" w:hAnsi="宋体"/>
          <w:sz w:val="30"/>
          <w:szCs w:val="30"/>
        </w:rPr>
      </w:pPr>
      <w:r>
        <w:rPr>
          <w:rFonts w:hint="eastAsia" w:ascii="宋体" w:hAnsi="宋体"/>
          <w:sz w:val="30"/>
          <w:szCs w:val="30"/>
        </w:rPr>
        <w:t>承包人应承担因其违约行为而增加的费用和（或）延误的工期。此外，合同当事人可在专用合同条件中另行约定承包人违约责任的承担方式和计算方法。</w:t>
      </w:r>
    </w:p>
    <w:p w14:paraId="3D29D61F">
      <w:pPr>
        <w:pStyle w:val="969"/>
        <w:widowControl/>
        <w:numPr>
          <w:ilvl w:val="0"/>
          <w:numId w:val="0"/>
        </w:numPr>
        <w:rPr>
          <w:rFonts w:ascii="宋体" w:hAnsi="宋体" w:eastAsia="宋体"/>
          <w:b w:val="0"/>
          <w:sz w:val="30"/>
          <w:szCs w:val="30"/>
        </w:rPr>
      </w:pPr>
      <w:bookmarkStart w:id="636" w:name="_Toc54862302"/>
      <w:r>
        <w:rPr>
          <w:rFonts w:hint="eastAsia" w:ascii="宋体" w:hAnsi="宋体" w:eastAsia="宋体"/>
          <w:b w:val="0"/>
          <w:sz w:val="30"/>
          <w:szCs w:val="30"/>
        </w:rPr>
        <w:t>1</w:t>
      </w:r>
      <w:r>
        <w:rPr>
          <w:rFonts w:ascii="宋体" w:hAnsi="宋体" w:eastAsia="宋体"/>
          <w:b w:val="0"/>
          <w:sz w:val="30"/>
          <w:szCs w:val="30"/>
        </w:rPr>
        <w:t xml:space="preserve">5.3 </w:t>
      </w:r>
      <w:r>
        <w:rPr>
          <w:rFonts w:hint="eastAsia" w:ascii="宋体" w:hAnsi="宋体" w:eastAsia="宋体"/>
          <w:b w:val="0"/>
          <w:sz w:val="30"/>
          <w:szCs w:val="30"/>
        </w:rPr>
        <w:t>第三人造成的违约</w:t>
      </w:r>
      <w:bookmarkEnd w:id="636"/>
    </w:p>
    <w:p w14:paraId="75E2475A">
      <w:pPr>
        <w:ind w:firstLine="600"/>
        <w:rPr>
          <w:rFonts w:ascii="宋体" w:hAnsi="宋体"/>
          <w:sz w:val="30"/>
          <w:szCs w:val="30"/>
        </w:rPr>
      </w:pPr>
      <w:r>
        <w:rPr>
          <w:rFonts w:hint="eastAsia" w:ascii="宋体" w:hAnsi="宋体"/>
          <w:sz w:val="30"/>
          <w:szCs w:val="30"/>
        </w:rPr>
        <w:t>在履行合同过程中，一方当事人因第三人的原因造成违约的，应当向对方当事人承担违约责任。一方当事人和第三人之间的纠纷，依照法律规定或者按照约定解决。</w:t>
      </w:r>
    </w:p>
    <w:p w14:paraId="61A17C5E">
      <w:pPr>
        <w:pStyle w:val="991"/>
        <w:numPr>
          <w:ilvl w:val="0"/>
          <w:numId w:val="0"/>
        </w:numPr>
        <w:wordWrap/>
        <w:topLinePunct w:val="0"/>
        <w:rPr>
          <w:rFonts w:ascii="宋体" w:hAnsi="宋体" w:eastAsia="宋体"/>
          <w:b w:val="0"/>
          <w:kern w:val="2"/>
          <w:sz w:val="30"/>
          <w:szCs w:val="30"/>
        </w:rPr>
      </w:pPr>
      <w:bookmarkStart w:id="637" w:name="_Ref4510572"/>
      <w:bookmarkStart w:id="638" w:name="_Toc54862303"/>
      <w:bookmarkStart w:id="639" w:name="_Ref3840457"/>
      <w:bookmarkStart w:id="640" w:name="_Ref532142069"/>
      <w:r>
        <w:rPr>
          <w:rFonts w:hint="eastAsia" w:ascii="宋体" w:hAnsi="宋体" w:eastAsia="宋体"/>
          <w:b w:val="0"/>
          <w:kern w:val="2"/>
          <w:sz w:val="30"/>
          <w:szCs w:val="30"/>
        </w:rPr>
        <w:t>第1</w:t>
      </w:r>
      <w:r>
        <w:rPr>
          <w:rFonts w:ascii="宋体" w:hAnsi="宋体" w:eastAsia="宋体"/>
          <w:b w:val="0"/>
          <w:kern w:val="2"/>
          <w:sz w:val="30"/>
          <w:szCs w:val="30"/>
        </w:rPr>
        <w:t>6</w:t>
      </w:r>
      <w:r>
        <w:rPr>
          <w:rFonts w:hint="eastAsia" w:ascii="宋体" w:hAnsi="宋体" w:eastAsia="宋体"/>
          <w:b w:val="0"/>
          <w:kern w:val="2"/>
          <w:sz w:val="30"/>
          <w:szCs w:val="30"/>
        </w:rPr>
        <w:t>条 合同解除</w:t>
      </w:r>
      <w:bookmarkEnd w:id="637"/>
      <w:bookmarkEnd w:id="638"/>
    </w:p>
    <w:p w14:paraId="14023F5B">
      <w:pPr>
        <w:pStyle w:val="969"/>
        <w:widowControl/>
        <w:numPr>
          <w:ilvl w:val="0"/>
          <w:numId w:val="0"/>
        </w:numPr>
        <w:rPr>
          <w:rFonts w:ascii="宋体" w:hAnsi="宋体" w:eastAsia="宋体"/>
          <w:b w:val="0"/>
          <w:sz w:val="30"/>
          <w:szCs w:val="30"/>
        </w:rPr>
      </w:pPr>
      <w:bookmarkStart w:id="641" w:name="_Ref531958502"/>
      <w:bookmarkStart w:id="642" w:name="_Ref531958499"/>
      <w:bookmarkStart w:id="643" w:name="_Toc54862304"/>
      <w:r>
        <w:rPr>
          <w:rFonts w:hint="eastAsia" w:ascii="宋体" w:hAnsi="宋体" w:eastAsia="宋体"/>
          <w:b w:val="0"/>
          <w:sz w:val="30"/>
          <w:szCs w:val="30"/>
        </w:rPr>
        <w:t>1</w:t>
      </w:r>
      <w:r>
        <w:rPr>
          <w:rFonts w:ascii="宋体" w:hAnsi="宋体" w:eastAsia="宋体"/>
          <w:b w:val="0"/>
          <w:sz w:val="30"/>
          <w:szCs w:val="30"/>
        </w:rPr>
        <w:t xml:space="preserve">6.1 </w:t>
      </w:r>
      <w:r>
        <w:rPr>
          <w:rFonts w:hint="eastAsia" w:ascii="宋体" w:hAnsi="宋体" w:eastAsia="宋体"/>
          <w:b w:val="0"/>
          <w:sz w:val="30"/>
          <w:szCs w:val="30"/>
        </w:rPr>
        <w:t>由发包人解除合同</w:t>
      </w:r>
      <w:bookmarkEnd w:id="641"/>
      <w:bookmarkEnd w:id="642"/>
      <w:bookmarkEnd w:id="643"/>
    </w:p>
    <w:p w14:paraId="61C5EABB">
      <w:pPr>
        <w:pStyle w:val="994"/>
        <w:numPr>
          <w:ilvl w:val="0"/>
          <w:numId w:val="0"/>
        </w:numPr>
        <w:rPr>
          <w:sz w:val="30"/>
          <w:szCs w:val="30"/>
        </w:rPr>
      </w:pPr>
      <w:bookmarkStart w:id="644" w:name="_Ref4535422"/>
      <w:r>
        <w:rPr>
          <w:rFonts w:hint="eastAsia"/>
          <w:sz w:val="30"/>
          <w:szCs w:val="30"/>
        </w:rPr>
        <w:t>1</w:t>
      </w:r>
      <w:r>
        <w:rPr>
          <w:sz w:val="30"/>
          <w:szCs w:val="30"/>
        </w:rPr>
        <w:t xml:space="preserve">6.1.1 </w:t>
      </w:r>
      <w:r>
        <w:rPr>
          <w:rFonts w:hint="eastAsia"/>
          <w:sz w:val="30"/>
          <w:szCs w:val="30"/>
        </w:rPr>
        <w:t>因承包人违约解除合同</w:t>
      </w:r>
      <w:bookmarkEnd w:id="644"/>
    </w:p>
    <w:p w14:paraId="577D9359">
      <w:pPr>
        <w:ind w:firstLine="600"/>
        <w:rPr>
          <w:rFonts w:ascii="宋体" w:hAnsi="宋体"/>
          <w:sz w:val="30"/>
          <w:szCs w:val="30"/>
        </w:rPr>
      </w:pPr>
      <w:r>
        <w:rPr>
          <w:rFonts w:hint="eastAsia" w:ascii="宋体" w:hAnsi="宋体"/>
          <w:sz w:val="30"/>
          <w:szCs w:val="30"/>
        </w:rPr>
        <w:t>除专用合同条件另有约定外，发包人有权基于下列原因，以书面形式通知承包人解除合同，解除通知中应注明是根据第</w:t>
      </w:r>
      <w:r>
        <w:rPr>
          <w:rFonts w:ascii="宋体" w:hAnsi="宋体"/>
          <w:sz w:val="30"/>
          <w:szCs w:val="30"/>
        </w:rPr>
        <w:t>16.1.1</w:t>
      </w:r>
      <w:r>
        <w:rPr>
          <w:rFonts w:hint="eastAsia" w:ascii="宋体" w:hAnsi="宋体"/>
          <w:sz w:val="30"/>
          <w:szCs w:val="30"/>
        </w:rPr>
        <w:t>项发出的，发包人应在发出正式解除合同通知14天前告知承包人其解除合同意向，除非承包人在收到该解除合同意向通知后14天内采取了补救措施，否则发包人可向承包人发出正式解除合同通知立即解除合同。解除日期应为承包人收到正式解除合同通知的日期，但在第(</w:t>
      </w:r>
      <w:r>
        <w:rPr>
          <w:rFonts w:ascii="宋体" w:hAnsi="宋体"/>
          <w:sz w:val="30"/>
          <w:szCs w:val="30"/>
        </w:rPr>
        <w:t>5</w:t>
      </w:r>
      <w:r>
        <w:rPr>
          <w:rFonts w:hint="eastAsia" w:ascii="宋体" w:hAnsi="宋体"/>
          <w:sz w:val="30"/>
          <w:szCs w:val="30"/>
        </w:rPr>
        <w:t>)目的情况下，发包人无须提前告知承包人其解除合同意向，可直接发出正式解除合同通知立即解除合同：</w:t>
      </w:r>
    </w:p>
    <w:p w14:paraId="1B6BFD97">
      <w:pPr>
        <w:ind w:firstLine="600"/>
        <w:rPr>
          <w:rFonts w:ascii="宋体" w:hAnsi="宋体"/>
          <w:sz w:val="30"/>
          <w:szCs w:val="30"/>
        </w:rPr>
      </w:pPr>
      <w:bookmarkStart w:id="645" w:name="_Ref531958536"/>
      <w:r>
        <w:rPr>
          <w:rFonts w:hint="eastAsia" w:ascii="宋体" w:hAnsi="宋体"/>
          <w:sz w:val="30"/>
          <w:szCs w:val="30"/>
        </w:rPr>
        <w:t>（1） 承包人未能遵守第</w:t>
      </w:r>
      <w:r>
        <w:rPr>
          <w:rFonts w:ascii="宋体" w:hAnsi="宋体"/>
          <w:sz w:val="30"/>
          <w:szCs w:val="30"/>
        </w:rPr>
        <w:t>4.2</w:t>
      </w:r>
      <w:r>
        <w:rPr>
          <w:rFonts w:hint="eastAsia" w:ascii="宋体" w:hAnsi="宋体"/>
          <w:sz w:val="30"/>
          <w:szCs w:val="30"/>
        </w:rPr>
        <w:t>款</w:t>
      </w:r>
      <w:bookmarkStart w:id="646" w:name="_Hlk18839947"/>
      <w:r>
        <w:rPr>
          <w:rFonts w:hint="eastAsia" w:ascii="宋体" w:hAnsi="宋体"/>
          <w:sz w:val="30"/>
          <w:szCs w:val="30"/>
        </w:rPr>
        <w:t>[履约担保]</w:t>
      </w:r>
      <w:bookmarkEnd w:id="646"/>
      <w:r>
        <w:rPr>
          <w:rFonts w:hint="eastAsia" w:ascii="宋体" w:hAnsi="宋体"/>
          <w:sz w:val="30"/>
          <w:szCs w:val="30"/>
        </w:rPr>
        <w:t>的约定；</w:t>
      </w:r>
    </w:p>
    <w:p w14:paraId="584AB40A">
      <w:pPr>
        <w:ind w:firstLine="600"/>
        <w:rPr>
          <w:rFonts w:ascii="宋体" w:hAnsi="宋体"/>
          <w:sz w:val="30"/>
          <w:szCs w:val="30"/>
        </w:rPr>
      </w:pPr>
      <w:r>
        <w:rPr>
          <w:rFonts w:hint="eastAsia" w:ascii="宋体" w:hAnsi="宋体"/>
          <w:sz w:val="30"/>
          <w:szCs w:val="30"/>
        </w:rPr>
        <w:t>（2） 承包人未能遵守第</w:t>
      </w:r>
      <w:r>
        <w:rPr>
          <w:rFonts w:ascii="宋体" w:hAnsi="宋体"/>
          <w:sz w:val="30"/>
          <w:szCs w:val="30"/>
        </w:rPr>
        <w:t>4.5</w:t>
      </w:r>
      <w:r>
        <w:rPr>
          <w:rFonts w:hint="eastAsia" w:ascii="宋体" w:hAnsi="宋体"/>
          <w:sz w:val="30"/>
          <w:szCs w:val="30"/>
        </w:rPr>
        <w:t>款[分包]有关分包和转包的约定；</w:t>
      </w:r>
    </w:p>
    <w:p w14:paraId="4753C738">
      <w:pPr>
        <w:ind w:firstLine="600"/>
        <w:rPr>
          <w:rFonts w:ascii="宋体" w:hAnsi="宋体"/>
          <w:sz w:val="30"/>
          <w:szCs w:val="30"/>
        </w:rPr>
      </w:pPr>
      <w:r>
        <w:rPr>
          <w:rFonts w:hint="eastAsia" w:ascii="宋体" w:hAnsi="宋体"/>
          <w:sz w:val="30"/>
          <w:szCs w:val="30"/>
        </w:rPr>
        <w:t>（3） 承包人实际进度明显落后于进度计划，并且未按发包人的指令采取措施并修正进度计划；</w:t>
      </w:r>
    </w:p>
    <w:p w14:paraId="53498467">
      <w:pPr>
        <w:ind w:firstLine="600"/>
        <w:rPr>
          <w:rFonts w:ascii="宋体" w:hAnsi="宋体"/>
          <w:sz w:val="30"/>
          <w:szCs w:val="30"/>
        </w:rPr>
      </w:pPr>
      <w:r>
        <w:rPr>
          <w:rFonts w:hint="eastAsia" w:ascii="宋体" w:hAnsi="宋体"/>
          <w:sz w:val="30"/>
          <w:szCs w:val="30"/>
        </w:rPr>
        <w:t>（4） 工程质量有严重缺陷，承包人无正当理由使修复开始日期拖延达28天以上；</w:t>
      </w:r>
    </w:p>
    <w:p w14:paraId="6A9DECB9">
      <w:pPr>
        <w:ind w:firstLine="600"/>
        <w:rPr>
          <w:rFonts w:ascii="宋体" w:hAnsi="宋体"/>
          <w:sz w:val="30"/>
          <w:szCs w:val="30"/>
        </w:rPr>
      </w:pPr>
      <w:r>
        <w:rPr>
          <w:rFonts w:hint="eastAsia" w:ascii="宋体" w:hAnsi="宋体"/>
          <w:sz w:val="30"/>
          <w:szCs w:val="30"/>
        </w:rPr>
        <w:t>（5） 承包人破产、停业清理或进入清算程序，或情况表明承包人将进入破产和（或）清算程序，已有对其财产的接管令或管理令，与债权人达成和解，或为其债权人的利益在财产接管人、受托人或管理人的监督下营业，或采取了任何行动或发生任何事件（根据有关适用法律）具有与前述行动或事件相似的效果；</w:t>
      </w:r>
    </w:p>
    <w:p w14:paraId="318CDBA2">
      <w:pPr>
        <w:ind w:firstLine="600"/>
        <w:rPr>
          <w:rFonts w:ascii="宋体" w:hAnsi="宋体"/>
          <w:sz w:val="30"/>
          <w:szCs w:val="30"/>
        </w:rPr>
      </w:pPr>
      <w:r>
        <w:rPr>
          <w:rFonts w:hint="eastAsia" w:ascii="宋体" w:hAnsi="宋体"/>
          <w:sz w:val="30"/>
          <w:szCs w:val="30"/>
        </w:rPr>
        <w:t>（6） 承包人明确表示或以自己的行为表明不履行合同、或经发包人以书面形式通知其履约后仍未能依约履行合同、或以不适当的方式履行合同；</w:t>
      </w:r>
    </w:p>
    <w:p w14:paraId="1C5A1BFE">
      <w:pPr>
        <w:ind w:firstLine="600"/>
        <w:rPr>
          <w:rFonts w:ascii="宋体" w:hAnsi="宋体"/>
          <w:sz w:val="30"/>
          <w:szCs w:val="30"/>
        </w:rPr>
      </w:pPr>
      <w:r>
        <w:rPr>
          <w:rFonts w:hint="eastAsia" w:ascii="宋体" w:hAnsi="宋体"/>
          <w:sz w:val="30"/>
          <w:szCs w:val="30"/>
        </w:rPr>
        <w:t>（7） 未能通过的竣工试验、未能通过的竣工后试验，使工程的任何部分和（或）整个工程丧失了主要使用功能、生产功能；</w:t>
      </w:r>
    </w:p>
    <w:p w14:paraId="6FB3F86C">
      <w:pPr>
        <w:ind w:firstLine="600"/>
        <w:rPr>
          <w:rFonts w:ascii="宋体" w:hAnsi="宋体"/>
          <w:sz w:val="30"/>
          <w:szCs w:val="30"/>
        </w:rPr>
      </w:pPr>
      <w:r>
        <w:rPr>
          <w:rFonts w:hint="eastAsia" w:ascii="宋体" w:hAnsi="宋体"/>
          <w:sz w:val="30"/>
          <w:szCs w:val="30"/>
        </w:rPr>
        <w:t>（8） 因承包人的原因暂停工作超过56天且暂停影响到整个工程，或因承包人的原因暂停工作超过182天；</w:t>
      </w:r>
    </w:p>
    <w:p w14:paraId="20C0B61A">
      <w:pPr>
        <w:ind w:firstLine="600"/>
        <w:rPr>
          <w:rFonts w:ascii="宋体" w:hAnsi="宋体"/>
          <w:sz w:val="30"/>
          <w:szCs w:val="30"/>
        </w:rPr>
      </w:pPr>
      <w:r>
        <w:rPr>
          <w:rFonts w:hint="eastAsia" w:ascii="宋体" w:hAnsi="宋体"/>
          <w:sz w:val="30"/>
          <w:szCs w:val="30"/>
        </w:rPr>
        <w:t>（9） 承包人未能遵守第</w:t>
      </w:r>
      <w:r>
        <w:rPr>
          <w:rFonts w:ascii="宋体" w:hAnsi="宋体"/>
          <w:sz w:val="30"/>
          <w:szCs w:val="30"/>
        </w:rPr>
        <w:t>8.2</w:t>
      </w:r>
      <w:r>
        <w:rPr>
          <w:rFonts w:hint="eastAsia" w:ascii="宋体" w:hAnsi="宋体"/>
          <w:sz w:val="30"/>
          <w:szCs w:val="30"/>
        </w:rPr>
        <w:t>款[竣工日期]规定，延误超过1</w:t>
      </w:r>
      <w:r>
        <w:rPr>
          <w:rFonts w:ascii="宋体" w:hAnsi="宋体"/>
          <w:sz w:val="30"/>
          <w:szCs w:val="30"/>
        </w:rPr>
        <w:t>82</w:t>
      </w:r>
      <w:r>
        <w:rPr>
          <w:rFonts w:hint="eastAsia" w:ascii="宋体" w:hAnsi="宋体"/>
          <w:sz w:val="30"/>
          <w:szCs w:val="30"/>
        </w:rPr>
        <w:t>天；</w:t>
      </w:r>
    </w:p>
    <w:p w14:paraId="7B0EFE04">
      <w:pPr>
        <w:ind w:firstLine="600"/>
        <w:rPr>
          <w:rFonts w:ascii="宋体" w:hAnsi="宋体"/>
          <w:sz w:val="30"/>
          <w:szCs w:val="30"/>
        </w:rPr>
      </w:pPr>
      <w:r>
        <w:rPr>
          <w:rFonts w:hint="eastAsia" w:ascii="宋体" w:hAnsi="宋体"/>
          <w:sz w:val="30"/>
          <w:szCs w:val="30"/>
        </w:rPr>
        <w:t>（1</w:t>
      </w:r>
      <w:r>
        <w:rPr>
          <w:rFonts w:ascii="宋体" w:hAnsi="宋体"/>
          <w:sz w:val="30"/>
          <w:szCs w:val="30"/>
        </w:rPr>
        <w:t>0</w:t>
      </w:r>
      <w:r>
        <w:rPr>
          <w:rFonts w:hint="eastAsia" w:ascii="宋体" w:hAnsi="宋体"/>
          <w:sz w:val="30"/>
          <w:szCs w:val="30"/>
        </w:rPr>
        <w:t>） 工程师根据第</w:t>
      </w:r>
      <w:r>
        <w:rPr>
          <w:rFonts w:ascii="宋体" w:hAnsi="宋体"/>
          <w:sz w:val="30"/>
          <w:szCs w:val="30"/>
        </w:rPr>
        <w:t>15.2.2</w:t>
      </w:r>
      <w:r>
        <w:rPr>
          <w:rFonts w:hint="eastAsia" w:ascii="宋体" w:hAnsi="宋体"/>
          <w:sz w:val="30"/>
          <w:szCs w:val="30"/>
        </w:rPr>
        <w:t>项[通知改正]发出整改通知后，承包人在指定的合理期限内仍不纠正违约行为并致使合同目的不能实现的。</w:t>
      </w:r>
    </w:p>
    <w:bookmarkEnd w:id="645"/>
    <w:p w14:paraId="2695E877">
      <w:pPr>
        <w:pStyle w:val="994"/>
        <w:numPr>
          <w:ilvl w:val="0"/>
          <w:numId w:val="0"/>
        </w:numPr>
        <w:rPr>
          <w:sz w:val="30"/>
          <w:szCs w:val="30"/>
        </w:rPr>
      </w:pPr>
      <w:bookmarkStart w:id="647" w:name="_Ref3841839"/>
      <w:bookmarkStart w:id="648" w:name="_Ref4624315"/>
      <w:r>
        <w:rPr>
          <w:rFonts w:hint="eastAsia"/>
          <w:sz w:val="30"/>
          <w:szCs w:val="30"/>
        </w:rPr>
        <w:t>1</w:t>
      </w:r>
      <w:r>
        <w:rPr>
          <w:sz w:val="30"/>
          <w:szCs w:val="30"/>
        </w:rPr>
        <w:t xml:space="preserve">6.1.2 </w:t>
      </w:r>
      <w:r>
        <w:rPr>
          <w:rFonts w:hint="eastAsia"/>
          <w:sz w:val="30"/>
          <w:szCs w:val="30"/>
        </w:rPr>
        <w:t>因承包人违约解除合同后</w:t>
      </w:r>
      <w:bookmarkEnd w:id="647"/>
      <w:r>
        <w:rPr>
          <w:rFonts w:hint="eastAsia"/>
          <w:sz w:val="30"/>
          <w:szCs w:val="30"/>
        </w:rPr>
        <w:t>承包人的义务</w:t>
      </w:r>
      <w:bookmarkEnd w:id="648"/>
    </w:p>
    <w:p w14:paraId="084CF208">
      <w:pPr>
        <w:ind w:firstLine="600"/>
        <w:rPr>
          <w:rFonts w:ascii="宋体" w:hAnsi="宋体"/>
          <w:sz w:val="30"/>
          <w:szCs w:val="30"/>
        </w:rPr>
      </w:pPr>
      <w:r>
        <w:rPr>
          <w:rFonts w:hint="eastAsia" w:ascii="宋体" w:hAnsi="宋体"/>
          <w:sz w:val="30"/>
          <w:szCs w:val="30"/>
        </w:rPr>
        <w:t>合同解除后，承包人应按以下约定执行：</w:t>
      </w:r>
    </w:p>
    <w:p w14:paraId="06C833AE">
      <w:pPr>
        <w:ind w:firstLine="600"/>
        <w:rPr>
          <w:rFonts w:ascii="宋体" w:hAnsi="宋体"/>
          <w:sz w:val="30"/>
          <w:szCs w:val="30"/>
        </w:rPr>
      </w:pPr>
      <w:r>
        <w:rPr>
          <w:rFonts w:hint="eastAsia" w:ascii="宋体" w:hAnsi="宋体"/>
          <w:sz w:val="30"/>
          <w:szCs w:val="30"/>
        </w:rPr>
        <w:t>（1） 除了为保护生命、财产或工程安全、清理和必须执行的工作外，停止执行所有被通知解除的工作，并将相关人员撤离现场；</w:t>
      </w:r>
    </w:p>
    <w:p w14:paraId="42E095C4">
      <w:pPr>
        <w:ind w:firstLine="600"/>
        <w:rPr>
          <w:rFonts w:ascii="宋体" w:hAnsi="宋体"/>
          <w:sz w:val="30"/>
          <w:szCs w:val="30"/>
        </w:rPr>
      </w:pPr>
      <w:r>
        <w:rPr>
          <w:rFonts w:hint="eastAsia" w:ascii="宋体" w:hAnsi="宋体"/>
          <w:sz w:val="30"/>
          <w:szCs w:val="30"/>
        </w:rPr>
        <w:t>（2） 经发包人批准，承包人应将与被解除合同相关的和正在执行的分包合同及相关的责任和义务转让至发包人和（或）发包人指定方的名下，包括永久性工程及工程物资，以及相关工作；</w:t>
      </w:r>
    </w:p>
    <w:p w14:paraId="07FC9293">
      <w:pPr>
        <w:ind w:firstLine="600"/>
        <w:rPr>
          <w:rFonts w:ascii="宋体" w:hAnsi="宋体"/>
          <w:sz w:val="30"/>
          <w:szCs w:val="30"/>
        </w:rPr>
      </w:pPr>
      <w:r>
        <w:rPr>
          <w:rFonts w:hint="eastAsia" w:ascii="宋体" w:hAnsi="宋体"/>
          <w:sz w:val="30"/>
          <w:szCs w:val="30"/>
        </w:rPr>
        <w:t>（3） 移交已完成的永久性工程及负责已运抵现场的工程物资。在移交前，妥善做好己完工程和已运抵现场的工程物资的保管、维护和保养；</w:t>
      </w:r>
    </w:p>
    <w:p w14:paraId="588F80F7">
      <w:pPr>
        <w:ind w:firstLine="600"/>
        <w:rPr>
          <w:rFonts w:ascii="宋体" w:hAnsi="宋体"/>
          <w:sz w:val="30"/>
          <w:szCs w:val="30"/>
        </w:rPr>
      </w:pPr>
      <w:r>
        <w:rPr>
          <w:rFonts w:hint="eastAsia" w:ascii="宋体" w:hAnsi="宋体"/>
          <w:sz w:val="30"/>
          <w:szCs w:val="30"/>
        </w:rPr>
        <w:t>（4） 将发包人提供的所有信息及承包人为本工程编制的设计文件、技术资料及其它文件移交给发包人。在承包人留有的资料文件中，销毁与发包人提供的所有信息相关的数据及资料的备份；</w:t>
      </w:r>
    </w:p>
    <w:p w14:paraId="5026F036">
      <w:pPr>
        <w:ind w:firstLine="600"/>
        <w:rPr>
          <w:rFonts w:ascii="宋体" w:hAnsi="宋体"/>
          <w:sz w:val="30"/>
          <w:szCs w:val="30"/>
        </w:rPr>
      </w:pPr>
      <w:r>
        <w:rPr>
          <w:rFonts w:hint="eastAsia" w:ascii="宋体" w:hAnsi="宋体"/>
          <w:sz w:val="30"/>
          <w:szCs w:val="30"/>
        </w:rPr>
        <w:t>（5） 移交相应实施阶段已经付款的并已完成的和尚待完成的设计文件、图纸、资料、操作维修手册、施工组织设计、质检资料、竣工资料等；</w:t>
      </w:r>
    </w:p>
    <w:p w14:paraId="2A2E2742">
      <w:pPr>
        <w:pStyle w:val="994"/>
        <w:numPr>
          <w:ilvl w:val="0"/>
          <w:numId w:val="0"/>
        </w:numPr>
        <w:rPr>
          <w:sz w:val="30"/>
          <w:szCs w:val="30"/>
        </w:rPr>
      </w:pPr>
      <w:r>
        <w:rPr>
          <w:rFonts w:hint="eastAsia"/>
          <w:sz w:val="30"/>
          <w:szCs w:val="30"/>
        </w:rPr>
        <w:t>1</w:t>
      </w:r>
      <w:r>
        <w:rPr>
          <w:sz w:val="30"/>
          <w:szCs w:val="30"/>
        </w:rPr>
        <w:t xml:space="preserve">6.1.3 </w:t>
      </w:r>
      <w:r>
        <w:rPr>
          <w:rFonts w:hint="eastAsia"/>
          <w:sz w:val="30"/>
          <w:szCs w:val="30"/>
        </w:rPr>
        <w:t>因承包人违约解除合同后的估价、付款和结算</w:t>
      </w:r>
    </w:p>
    <w:p w14:paraId="12EEAB7F">
      <w:pPr>
        <w:ind w:firstLine="600"/>
        <w:rPr>
          <w:rFonts w:ascii="宋体" w:hAnsi="宋体"/>
          <w:sz w:val="30"/>
          <w:szCs w:val="30"/>
        </w:rPr>
      </w:pPr>
      <w:r>
        <w:rPr>
          <w:rFonts w:hint="eastAsia" w:ascii="宋体" w:hAnsi="宋体"/>
          <w:sz w:val="30"/>
          <w:szCs w:val="30"/>
        </w:rPr>
        <w:t>因承包人原因导致合同解除的，则合同当事人应在合同解除后28天内完成估价、付款和清算，并按以下约定执行：</w:t>
      </w:r>
    </w:p>
    <w:p w14:paraId="6DE50925">
      <w:pPr>
        <w:ind w:firstLine="600"/>
        <w:rPr>
          <w:rFonts w:ascii="宋体" w:hAnsi="宋体"/>
          <w:sz w:val="30"/>
          <w:szCs w:val="30"/>
        </w:rPr>
      </w:pPr>
      <w:r>
        <w:rPr>
          <w:rFonts w:hint="eastAsia" w:ascii="宋体" w:hAnsi="宋体"/>
          <w:sz w:val="30"/>
          <w:szCs w:val="30"/>
        </w:rPr>
        <w:t>（1） 合同解除后，按第</w:t>
      </w:r>
      <w:r>
        <w:rPr>
          <w:rFonts w:ascii="宋体" w:hAnsi="宋体"/>
          <w:sz w:val="30"/>
          <w:szCs w:val="30"/>
        </w:rPr>
        <w:t>3.6</w:t>
      </w:r>
      <w:r>
        <w:rPr>
          <w:rFonts w:hint="eastAsia" w:ascii="宋体" w:hAnsi="宋体"/>
          <w:sz w:val="30"/>
          <w:szCs w:val="30"/>
        </w:rPr>
        <w:t>款[商定或确定]商定或确定承包人实际完成工作对应的合同价款，以及承包人已提供的材料、工程设备、施工设备和临时工程等的价值；</w:t>
      </w:r>
    </w:p>
    <w:p w14:paraId="23277B45">
      <w:pPr>
        <w:ind w:firstLine="600"/>
        <w:rPr>
          <w:rFonts w:ascii="宋体" w:hAnsi="宋体"/>
          <w:sz w:val="30"/>
          <w:szCs w:val="30"/>
        </w:rPr>
      </w:pPr>
      <w:r>
        <w:rPr>
          <w:rFonts w:hint="eastAsia" w:ascii="宋体" w:hAnsi="宋体"/>
          <w:sz w:val="30"/>
          <w:szCs w:val="30"/>
        </w:rPr>
        <w:t>（2） 合同解除后，承包人应支付的违约金；</w:t>
      </w:r>
    </w:p>
    <w:p w14:paraId="5D4B7923">
      <w:pPr>
        <w:ind w:firstLine="600"/>
        <w:rPr>
          <w:rFonts w:ascii="宋体" w:hAnsi="宋体"/>
          <w:sz w:val="30"/>
          <w:szCs w:val="30"/>
        </w:rPr>
      </w:pPr>
      <w:r>
        <w:rPr>
          <w:rFonts w:hint="eastAsia" w:ascii="宋体" w:hAnsi="宋体"/>
          <w:sz w:val="30"/>
          <w:szCs w:val="30"/>
        </w:rPr>
        <w:t>（3） 合同解除后，因解除合同给发包人造成的损失；</w:t>
      </w:r>
    </w:p>
    <w:p w14:paraId="0D331843">
      <w:pPr>
        <w:ind w:firstLine="600"/>
        <w:rPr>
          <w:rFonts w:ascii="宋体" w:hAnsi="宋体"/>
          <w:sz w:val="30"/>
          <w:szCs w:val="30"/>
        </w:rPr>
      </w:pPr>
      <w:r>
        <w:rPr>
          <w:rFonts w:hint="eastAsia" w:ascii="宋体" w:hAnsi="宋体"/>
          <w:sz w:val="30"/>
          <w:szCs w:val="30"/>
        </w:rPr>
        <w:t>（4） 合同解除后，承包人应按照发包人的指示完成现场的清理和撤离；</w:t>
      </w:r>
    </w:p>
    <w:p w14:paraId="7DD2958F">
      <w:pPr>
        <w:ind w:firstLine="600"/>
        <w:rPr>
          <w:rFonts w:ascii="宋体" w:hAnsi="宋体"/>
          <w:sz w:val="30"/>
          <w:szCs w:val="30"/>
        </w:rPr>
      </w:pPr>
      <w:r>
        <w:rPr>
          <w:rFonts w:hint="eastAsia" w:ascii="宋体" w:hAnsi="宋体"/>
          <w:sz w:val="30"/>
          <w:szCs w:val="30"/>
        </w:rPr>
        <w:t>（5） 发包人和承包人应在合同解除后进行清算，出具最终结清付款证书，结清全部款项。</w:t>
      </w:r>
    </w:p>
    <w:p w14:paraId="4CA6A48C">
      <w:pPr>
        <w:ind w:firstLine="600"/>
        <w:rPr>
          <w:rFonts w:ascii="宋体" w:hAnsi="宋体"/>
          <w:sz w:val="30"/>
          <w:szCs w:val="30"/>
        </w:rPr>
      </w:pPr>
      <w:r>
        <w:rPr>
          <w:rFonts w:hint="eastAsia" w:ascii="宋体" w:hAnsi="宋体"/>
          <w:sz w:val="30"/>
          <w:szCs w:val="30"/>
        </w:rPr>
        <w:t>因承包人违约解除合同的，发包人有权暂停对承包人的付款，查清各项付款和已扣款项，发包人和承包人未能就合同解除后的清算和款项支付达成一致的，按照第</w:t>
      </w:r>
      <w:r>
        <w:rPr>
          <w:rFonts w:ascii="宋体" w:hAnsi="宋体"/>
          <w:sz w:val="30"/>
          <w:szCs w:val="30"/>
        </w:rPr>
        <w:t>20条[争议解决]的约定处理</w:t>
      </w:r>
      <w:r>
        <w:rPr>
          <w:rFonts w:hint="eastAsia" w:ascii="宋体" w:hAnsi="宋体"/>
          <w:sz w:val="30"/>
          <w:szCs w:val="30"/>
        </w:rPr>
        <w:t>。</w:t>
      </w:r>
    </w:p>
    <w:p w14:paraId="77F09E87">
      <w:pPr>
        <w:pStyle w:val="994"/>
        <w:numPr>
          <w:ilvl w:val="0"/>
          <w:numId w:val="0"/>
        </w:numPr>
        <w:rPr>
          <w:sz w:val="30"/>
          <w:szCs w:val="30"/>
        </w:rPr>
      </w:pPr>
      <w:r>
        <w:rPr>
          <w:rFonts w:hint="eastAsia"/>
          <w:sz w:val="30"/>
          <w:szCs w:val="30"/>
        </w:rPr>
        <w:t>1</w:t>
      </w:r>
      <w:r>
        <w:rPr>
          <w:sz w:val="30"/>
          <w:szCs w:val="30"/>
        </w:rPr>
        <w:t xml:space="preserve">6.1.4 </w:t>
      </w:r>
      <w:r>
        <w:rPr>
          <w:rFonts w:hint="eastAsia"/>
          <w:sz w:val="30"/>
          <w:szCs w:val="30"/>
        </w:rPr>
        <w:t>因承包人违约解除合同的合同权益转让</w:t>
      </w:r>
    </w:p>
    <w:p w14:paraId="78A066F0">
      <w:pPr>
        <w:ind w:firstLine="600"/>
        <w:rPr>
          <w:rFonts w:ascii="宋体" w:hAnsi="宋体"/>
          <w:sz w:val="30"/>
          <w:szCs w:val="30"/>
        </w:rPr>
      </w:pPr>
      <w:r>
        <w:rPr>
          <w:rFonts w:hint="eastAsia" w:ascii="宋体" w:hAnsi="宋体"/>
          <w:sz w:val="30"/>
          <w:szCs w:val="30"/>
        </w:rPr>
        <w:t>合同解除后，发包人可以继续完成工程，和（或）安排第三人完成。发包人有权要求承包人将其为实施合同而订立的材料和设备的订货合同或任何服务合同利益转让给发包人，并在承包人收到解除合同通知后的14天内，依法办理转让手续。发包人和（或）第三人有权使用承包人在施工现场的材料、设备、临时工程、承包人文件和由承包人或以其名义编制的其他文件。</w:t>
      </w:r>
    </w:p>
    <w:p w14:paraId="7FB79552">
      <w:pPr>
        <w:pStyle w:val="969"/>
        <w:widowControl/>
        <w:numPr>
          <w:ilvl w:val="0"/>
          <w:numId w:val="0"/>
        </w:numPr>
        <w:rPr>
          <w:rFonts w:ascii="宋体" w:hAnsi="宋体" w:eastAsia="宋体"/>
          <w:b w:val="0"/>
          <w:sz w:val="30"/>
          <w:szCs w:val="30"/>
        </w:rPr>
      </w:pPr>
      <w:bookmarkStart w:id="649" w:name="_Ref531958549"/>
      <w:bookmarkStart w:id="650" w:name="_Ref531958554"/>
      <w:bookmarkStart w:id="651" w:name="_Toc54862305"/>
      <w:r>
        <w:rPr>
          <w:rFonts w:hint="eastAsia" w:ascii="宋体" w:hAnsi="宋体" w:eastAsia="宋体"/>
          <w:b w:val="0"/>
          <w:sz w:val="30"/>
          <w:szCs w:val="30"/>
        </w:rPr>
        <w:t>1</w:t>
      </w:r>
      <w:r>
        <w:rPr>
          <w:rFonts w:ascii="宋体" w:hAnsi="宋体" w:eastAsia="宋体"/>
          <w:b w:val="0"/>
          <w:sz w:val="30"/>
          <w:szCs w:val="30"/>
        </w:rPr>
        <w:t xml:space="preserve">6.2 </w:t>
      </w:r>
      <w:r>
        <w:rPr>
          <w:rFonts w:hint="eastAsia" w:ascii="宋体" w:hAnsi="宋体" w:eastAsia="宋体"/>
          <w:b w:val="0"/>
          <w:sz w:val="30"/>
          <w:szCs w:val="30"/>
        </w:rPr>
        <w:t>由承包人解除合同</w:t>
      </w:r>
      <w:bookmarkEnd w:id="649"/>
      <w:bookmarkEnd w:id="650"/>
      <w:bookmarkEnd w:id="651"/>
    </w:p>
    <w:p w14:paraId="4C9FBD63">
      <w:pPr>
        <w:pStyle w:val="994"/>
        <w:numPr>
          <w:ilvl w:val="0"/>
          <w:numId w:val="0"/>
        </w:numPr>
        <w:rPr>
          <w:sz w:val="30"/>
          <w:szCs w:val="30"/>
        </w:rPr>
      </w:pPr>
      <w:bookmarkStart w:id="652" w:name="_Ref3841758"/>
      <w:r>
        <w:rPr>
          <w:rFonts w:hint="eastAsia"/>
          <w:sz w:val="30"/>
          <w:szCs w:val="30"/>
        </w:rPr>
        <w:t>1</w:t>
      </w:r>
      <w:r>
        <w:rPr>
          <w:sz w:val="30"/>
          <w:szCs w:val="30"/>
        </w:rPr>
        <w:t xml:space="preserve">6.2.1 </w:t>
      </w:r>
      <w:r>
        <w:rPr>
          <w:rFonts w:hint="eastAsia"/>
          <w:sz w:val="30"/>
          <w:szCs w:val="30"/>
        </w:rPr>
        <w:t>因发包人违约解除合同</w:t>
      </w:r>
      <w:bookmarkEnd w:id="652"/>
    </w:p>
    <w:p w14:paraId="52386495">
      <w:pPr>
        <w:ind w:firstLine="600"/>
        <w:rPr>
          <w:rFonts w:ascii="宋体" w:hAnsi="宋体"/>
          <w:sz w:val="30"/>
          <w:szCs w:val="30"/>
        </w:rPr>
      </w:pPr>
      <w:r>
        <w:rPr>
          <w:rFonts w:hint="eastAsia" w:ascii="宋体" w:hAnsi="宋体"/>
          <w:sz w:val="30"/>
          <w:szCs w:val="30"/>
        </w:rPr>
        <w:t>除专用合同条件另有约定外，承包人有权基于下列原因，以书面形式通知发包人解除合同，解除通知中应注明是根据第</w:t>
      </w:r>
      <w:r>
        <w:rPr>
          <w:rFonts w:ascii="宋体" w:hAnsi="宋体"/>
          <w:sz w:val="30"/>
          <w:szCs w:val="30"/>
        </w:rPr>
        <w:t>16.2.1</w:t>
      </w:r>
      <w:r>
        <w:rPr>
          <w:rFonts w:hint="eastAsia" w:ascii="宋体" w:hAnsi="宋体"/>
          <w:sz w:val="30"/>
          <w:szCs w:val="30"/>
        </w:rPr>
        <w:t>项发出的，承包人应在发出正式解除合同通知14天前告知发包人其解除合同意向，除非发包人在收到该解除合同意向通知后14天内采取了补救措施，否则承包人可向发包人发出正式解除合同通知立即解除合同。解除日期应为发包人收到正式解除合同通知的日期，但在第(5)目的情况下，承包人无须提前告知发包人其解除合同意向，可直接发出正式解除合同通知立即解除合同：</w:t>
      </w:r>
    </w:p>
    <w:p w14:paraId="5E087793">
      <w:pPr>
        <w:ind w:firstLine="600"/>
        <w:rPr>
          <w:rFonts w:ascii="宋体" w:hAnsi="宋体"/>
          <w:sz w:val="30"/>
          <w:szCs w:val="30"/>
        </w:rPr>
      </w:pPr>
      <w:r>
        <w:rPr>
          <w:rFonts w:hint="eastAsia" w:ascii="宋体" w:hAnsi="宋体"/>
          <w:sz w:val="30"/>
          <w:szCs w:val="30"/>
        </w:rPr>
        <w:t>（1） 承包人就发包人未能遵守第2.</w:t>
      </w:r>
      <w:r>
        <w:rPr>
          <w:rFonts w:ascii="宋体" w:hAnsi="宋体"/>
          <w:sz w:val="30"/>
          <w:szCs w:val="30"/>
        </w:rPr>
        <w:t>5.2</w:t>
      </w:r>
      <w:r>
        <w:rPr>
          <w:rFonts w:hint="eastAsia" w:ascii="宋体" w:hAnsi="宋体"/>
          <w:sz w:val="30"/>
          <w:szCs w:val="30"/>
        </w:rPr>
        <w:t>项关于发包人的资金安排发出通知后42天内，仍未收到合理的证明；</w:t>
      </w:r>
    </w:p>
    <w:p w14:paraId="417084CE">
      <w:pPr>
        <w:ind w:firstLine="600"/>
        <w:rPr>
          <w:rFonts w:ascii="宋体" w:hAnsi="宋体"/>
          <w:sz w:val="30"/>
          <w:szCs w:val="30"/>
        </w:rPr>
      </w:pPr>
      <w:r>
        <w:rPr>
          <w:rFonts w:hint="eastAsia" w:ascii="宋体" w:hAnsi="宋体"/>
          <w:sz w:val="30"/>
          <w:szCs w:val="30"/>
        </w:rPr>
        <w:t xml:space="preserve">（2） 在第14条规定的付款时间到期后42天内，承包人仍未收到应付款项； </w:t>
      </w:r>
    </w:p>
    <w:p w14:paraId="53A19C84">
      <w:pPr>
        <w:ind w:firstLine="600"/>
        <w:rPr>
          <w:rFonts w:ascii="宋体" w:hAnsi="宋体"/>
          <w:sz w:val="30"/>
          <w:szCs w:val="30"/>
        </w:rPr>
      </w:pPr>
      <w:r>
        <w:rPr>
          <w:rFonts w:hint="eastAsia" w:ascii="宋体" w:hAnsi="宋体"/>
          <w:sz w:val="30"/>
          <w:szCs w:val="30"/>
        </w:rPr>
        <w:t>（3） 发包人实质上未能根据合同约定履行其义务，构成根本性违约；</w:t>
      </w:r>
    </w:p>
    <w:p w14:paraId="704FC342">
      <w:pPr>
        <w:ind w:firstLine="600"/>
        <w:rPr>
          <w:rFonts w:ascii="宋体" w:hAnsi="宋体"/>
          <w:sz w:val="30"/>
          <w:szCs w:val="30"/>
        </w:rPr>
      </w:pPr>
      <w:r>
        <w:rPr>
          <w:rFonts w:hint="eastAsia" w:ascii="宋体" w:hAnsi="宋体"/>
          <w:sz w:val="30"/>
          <w:szCs w:val="30"/>
        </w:rPr>
        <w:t>（4） 发承包双方订立本合同协议书后的84天内，承包人未收到根据第</w:t>
      </w:r>
      <w:r>
        <w:rPr>
          <w:rFonts w:ascii="宋体" w:hAnsi="宋体"/>
          <w:sz w:val="30"/>
          <w:szCs w:val="30"/>
        </w:rPr>
        <w:t>8.1</w:t>
      </w:r>
      <w:r>
        <w:rPr>
          <w:rFonts w:hint="eastAsia" w:ascii="宋体" w:hAnsi="宋体"/>
          <w:sz w:val="30"/>
          <w:szCs w:val="30"/>
        </w:rPr>
        <w:t>款[开始工作]的开始工作通知；</w:t>
      </w:r>
    </w:p>
    <w:p w14:paraId="524FD52D">
      <w:pPr>
        <w:ind w:firstLine="600"/>
        <w:rPr>
          <w:rFonts w:ascii="宋体" w:hAnsi="宋体"/>
          <w:sz w:val="30"/>
          <w:szCs w:val="30"/>
        </w:rPr>
      </w:pPr>
      <w:r>
        <w:rPr>
          <w:rFonts w:hint="eastAsia" w:ascii="宋体" w:hAnsi="宋体"/>
          <w:sz w:val="30"/>
          <w:szCs w:val="30"/>
        </w:rPr>
        <w:t>（5） 发包人破产、停业清理或进入清算程序，或情况表明发包人将进入破产和（或）清算程序或发包人资信严重恶化，已有对其财产的接管令或管理令，与债权人达成和解，或为其债权人的利益在财产接管人、受托人或管理人的监督下营业，或采取了任何行动或发生任何事件（根据有关适用法律）具有与前述行动或事件相似的效果；</w:t>
      </w:r>
    </w:p>
    <w:p w14:paraId="730BD999">
      <w:pPr>
        <w:ind w:firstLine="600"/>
        <w:rPr>
          <w:rFonts w:ascii="宋体" w:hAnsi="宋体"/>
          <w:sz w:val="30"/>
          <w:szCs w:val="30"/>
        </w:rPr>
      </w:pPr>
      <w:r>
        <w:rPr>
          <w:rFonts w:hint="eastAsia" w:ascii="宋体" w:hAnsi="宋体"/>
          <w:sz w:val="30"/>
          <w:szCs w:val="30"/>
        </w:rPr>
        <w:t>（6） 发包人未能遵守第</w:t>
      </w:r>
      <w:r>
        <w:rPr>
          <w:rFonts w:ascii="宋体" w:hAnsi="宋体"/>
          <w:sz w:val="30"/>
          <w:szCs w:val="30"/>
        </w:rPr>
        <w:t>2.5.3</w:t>
      </w:r>
      <w:r>
        <w:rPr>
          <w:rFonts w:hint="eastAsia" w:ascii="宋体" w:hAnsi="宋体"/>
          <w:sz w:val="30"/>
          <w:szCs w:val="30"/>
        </w:rPr>
        <w:t>项的约定提交支付担保；</w:t>
      </w:r>
    </w:p>
    <w:p w14:paraId="0C812E2D">
      <w:pPr>
        <w:ind w:firstLine="600"/>
        <w:rPr>
          <w:rFonts w:ascii="宋体" w:hAnsi="宋体"/>
          <w:sz w:val="30"/>
          <w:szCs w:val="30"/>
        </w:rPr>
      </w:pPr>
      <w:r>
        <w:rPr>
          <w:rFonts w:hint="eastAsia" w:ascii="宋体" w:hAnsi="宋体"/>
          <w:sz w:val="30"/>
          <w:szCs w:val="30"/>
        </w:rPr>
        <w:t>（7） 发包人未能执行第</w:t>
      </w:r>
      <w:r>
        <w:rPr>
          <w:rFonts w:ascii="宋体" w:hAnsi="宋体"/>
          <w:sz w:val="30"/>
          <w:szCs w:val="30"/>
        </w:rPr>
        <w:t>15.1.2</w:t>
      </w:r>
      <w:r>
        <w:rPr>
          <w:rFonts w:hint="eastAsia" w:ascii="宋体" w:hAnsi="宋体"/>
          <w:sz w:val="30"/>
          <w:szCs w:val="30"/>
        </w:rPr>
        <w:t>项[通知改正]的约定，致使合同目的不能实现的；</w:t>
      </w:r>
    </w:p>
    <w:p w14:paraId="26362A8F">
      <w:pPr>
        <w:ind w:firstLine="600"/>
        <w:rPr>
          <w:rFonts w:ascii="宋体" w:hAnsi="宋体"/>
          <w:sz w:val="30"/>
          <w:szCs w:val="30"/>
        </w:rPr>
      </w:pPr>
      <w:r>
        <w:rPr>
          <w:rFonts w:hint="eastAsia" w:ascii="宋体" w:hAnsi="宋体"/>
          <w:sz w:val="30"/>
          <w:szCs w:val="30"/>
        </w:rPr>
        <w:t>（8） 因发包人的原因暂停工作超过56天且暂停影响到整个工程，或因发包人的原因暂停工作超过182天的；</w:t>
      </w:r>
    </w:p>
    <w:p w14:paraId="35EC7C85">
      <w:pPr>
        <w:ind w:firstLine="600"/>
        <w:rPr>
          <w:rFonts w:ascii="宋体" w:hAnsi="宋体"/>
          <w:sz w:val="30"/>
          <w:szCs w:val="30"/>
        </w:rPr>
      </w:pPr>
      <w:r>
        <w:rPr>
          <w:rFonts w:hint="eastAsia" w:ascii="宋体" w:hAnsi="宋体"/>
          <w:sz w:val="30"/>
          <w:szCs w:val="30"/>
        </w:rPr>
        <w:t>（9） 因发包人原因造成开始工作日期迟于承包人收到中标通知书（或在无中标通知书的情况下，订立本合同之日）后第</w:t>
      </w:r>
      <w:r>
        <w:rPr>
          <w:rFonts w:ascii="宋体" w:hAnsi="宋体"/>
          <w:sz w:val="30"/>
          <w:szCs w:val="30"/>
        </w:rPr>
        <w:t>84</w:t>
      </w:r>
      <w:r>
        <w:rPr>
          <w:rFonts w:hint="eastAsia" w:ascii="宋体" w:hAnsi="宋体"/>
          <w:sz w:val="30"/>
          <w:szCs w:val="30"/>
        </w:rPr>
        <w:t>天的。</w:t>
      </w:r>
    </w:p>
    <w:p w14:paraId="09AD570C">
      <w:pPr>
        <w:ind w:firstLine="600"/>
        <w:rPr>
          <w:rFonts w:ascii="宋体" w:hAnsi="宋体"/>
          <w:sz w:val="30"/>
          <w:szCs w:val="30"/>
        </w:rPr>
      </w:pPr>
      <w:r>
        <w:rPr>
          <w:rFonts w:hint="eastAsia" w:ascii="宋体" w:hAnsi="宋体"/>
          <w:sz w:val="30"/>
          <w:szCs w:val="30"/>
        </w:rPr>
        <w:t>发包人接到承包人解除合同意向通知后14天内，发包人随后给予了付款，或同意复工、或继续履行其义务、或提供了支付担保等，承包人应尽快安排并恢复正常工作；因此造成工期延误的，竣工日期顺延；承包人因此增加的费用，由发包人承担。</w:t>
      </w:r>
    </w:p>
    <w:p w14:paraId="37B68DEF">
      <w:pPr>
        <w:pStyle w:val="994"/>
        <w:numPr>
          <w:ilvl w:val="0"/>
          <w:numId w:val="0"/>
        </w:numPr>
        <w:rPr>
          <w:sz w:val="30"/>
          <w:szCs w:val="30"/>
        </w:rPr>
      </w:pPr>
      <w:bookmarkStart w:id="653" w:name="_Ref3842018"/>
      <w:bookmarkStart w:id="654" w:name="_Ref4624336"/>
      <w:r>
        <w:rPr>
          <w:rFonts w:hint="eastAsia"/>
          <w:sz w:val="30"/>
          <w:szCs w:val="30"/>
        </w:rPr>
        <w:t>1</w:t>
      </w:r>
      <w:r>
        <w:rPr>
          <w:sz w:val="30"/>
          <w:szCs w:val="30"/>
        </w:rPr>
        <w:t xml:space="preserve">6.2.2 </w:t>
      </w:r>
      <w:r>
        <w:rPr>
          <w:rFonts w:hint="eastAsia"/>
          <w:sz w:val="30"/>
          <w:szCs w:val="30"/>
        </w:rPr>
        <w:t>因发包人违约解除合同后</w:t>
      </w:r>
      <w:bookmarkEnd w:id="653"/>
      <w:r>
        <w:rPr>
          <w:rFonts w:hint="eastAsia"/>
          <w:sz w:val="30"/>
          <w:szCs w:val="30"/>
        </w:rPr>
        <w:t>承包人的义务</w:t>
      </w:r>
      <w:bookmarkEnd w:id="654"/>
    </w:p>
    <w:p w14:paraId="32333CEE">
      <w:pPr>
        <w:pStyle w:val="977"/>
        <w:numPr>
          <w:ilvl w:val="0"/>
          <w:numId w:val="0"/>
        </w:numPr>
        <w:ind w:left="400" w:firstLine="425"/>
        <w:rPr>
          <w:kern w:val="2"/>
          <w:sz w:val="30"/>
          <w:szCs w:val="30"/>
        </w:rPr>
      </w:pPr>
      <w:r>
        <w:rPr>
          <w:rFonts w:hint="eastAsia"/>
          <w:kern w:val="2"/>
          <w:sz w:val="30"/>
          <w:szCs w:val="30"/>
        </w:rPr>
        <w:t>合同解除后，承包人应按以下约定执行：</w:t>
      </w:r>
    </w:p>
    <w:p w14:paraId="3B4840C1">
      <w:pPr>
        <w:ind w:firstLine="600"/>
        <w:rPr>
          <w:rFonts w:ascii="宋体" w:hAnsi="宋体"/>
          <w:sz w:val="30"/>
          <w:szCs w:val="30"/>
        </w:rPr>
      </w:pPr>
      <w:r>
        <w:rPr>
          <w:rFonts w:hint="eastAsia" w:ascii="宋体" w:hAnsi="宋体"/>
          <w:sz w:val="30"/>
          <w:szCs w:val="30"/>
        </w:rPr>
        <w:t>（1） 除为保护生命、财产、工程安全的工作外，停止所有进一步的工作；承包人因执行该保护工作而产生费用的，由发包人承担；</w:t>
      </w:r>
    </w:p>
    <w:p w14:paraId="5B9FAF3A">
      <w:pPr>
        <w:ind w:firstLine="600"/>
        <w:rPr>
          <w:rFonts w:ascii="宋体" w:hAnsi="宋体"/>
          <w:sz w:val="30"/>
          <w:szCs w:val="30"/>
        </w:rPr>
      </w:pPr>
      <w:r>
        <w:rPr>
          <w:rFonts w:hint="eastAsia" w:ascii="宋体" w:hAnsi="宋体"/>
          <w:sz w:val="30"/>
          <w:szCs w:val="30"/>
        </w:rPr>
        <w:t>（2） 向发包人移交承包人已获得支付的承包人文件、生产设备、材料和其他工作；</w:t>
      </w:r>
    </w:p>
    <w:p w14:paraId="08485AB6">
      <w:pPr>
        <w:ind w:firstLine="600"/>
        <w:rPr>
          <w:rFonts w:ascii="宋体" w:hAnsi="宋体"/>
          <w:sz w:val="30"/>
          <w:szCs w:val="30"/>
        </w:rPr>
      </w:pPr>
      <w:r>
        <w:rPr>
          <w:rFonts w:hint="eastAsia" w:ascii="宋体" w:hAnsi="宋体"/>
          <w:sz w:val="30"/>
          <w:szCs w:val="30"/>
        </w:rPr>
        <w:t>（3） 从现场运走除为了安全需要以外的所有属于承包人的其他货物，并撤离现场。</w:t>
      </w:r>
    </w:p>
    <w:p w14:paraId="138223A9">
      <w:pPr>
        <w:pStyle w:val="994"/>
        <w:numPr>
          <w:ilvl w:val="0"/>
          <w:numId w:val="0"/>
        </w:numPr>
        <w:rPr>
          <w:sz w:val="30"/>
          <w:szCs w:val="30"/>
        </w:rPr>
      </w:pPr>
      <w:r>
        <w:rPr>
          <w:rFonts w:hint="eastAsia"/>
          <w:sz w:val="30"/>
          <w:szCs w:val="30"/>
        </w:rPr>
        <w:t>1</w:t>
      </w:r>
      <w:r>
        <w:rPr>
          <w:sz w:val="30"/>
          <w:szCs w:val="30"/>
        </w:rPr>
        <w:t xml:space="preserve">6.2.3 </w:t>
      </w:r>
      <w:r>
        <w:rPr>
          <w:rFonts w:hint="eastAsia"/>
          <w:sz w:val="30"/>
          <w:szCs w:val="30"/>
        </w:rPr>
        <w:t>因发包人违约解除合同后的付款</w:t>
      </w:r>
    </w:p>
    <w:p w14:paraId="7A294F2C">
      <w:pPr>
        <w:ind w:firstLine="600"/>
        <w:rPr>
          <w:rFonts w:ascii="宋体" w:hAnsi="宋体"/>
          <w:sz w:val="30"/>
          <w:szCs w:val="30"/>
        </w:rPr>
      </w:pPr>
      <w:r>
        <w:rPr>
          <w:rFonts w:hint="eastAsia" w:ascii="宋体" w:hAnsi="宋体"/>
          <w:sz w:val="30"/>
          <w:szCs w:val="30"/>
        </w:rPr>
        <w:t>承包人按照本款约定解除合同的，发包人应在解除合同后28天内支付下列款项，并退还履约担保：</w:t>
      </w:r>
    </w:p>
    <w:p w14:paraId="78925888">
      <w:pPr>
        <w:ind w:firstLine="600"/>
        <w:rPr>
          <w:rFonts w:ascii="宋体" w:hAnsi="宋体"/>
          <w:sz w:val="30"/>
          <w:szCs w:val="30"/>
        </w:rPr>
      </w:pPr>
      <w:r>
        <w:rPr>
          <w:rFonts w:hint="eastAsia" w:ascii="宋体" w:hAnsi="宋体"/>
          <w:sz w:val="30"/>
          <w:szCs w:val="30"/>
        </w:rPr>
        <w:t>（1） 合同解除前所完成工作的价款；</w:t>
      </w:r>
    </w:p>
    <w:p w14:paraId="2A2A0968">
      <w:pPr>
        <w:ind w:firstLine="600"/>
        <w:rPr>
          <w:rFonts w:ascii="宋体" w:hAnsi="宋体"/>
          <w:sz w:val="30"/>
          <w:szCs w:val="30"/>
        </w:rPr>
      </w:pPr>
      <w:r>
        <w:rPr>
          <w:rFonts w:hint="eastAsia" w:ascii="宋体" w:hAnsi="宋体"/>
          <w:sz w:val="30"/>
          <w:szCs w:val="30"/>
        </w:rPr>
        <w:t>（2） 承包人为工程施工订购并已付款的材料、工程设备和其他物品的价款；发包人付款后，该材料、工程设备和其他物品归发包人所有；</w:t>
      </w:r>
    </w:p>
    <w:p w14:paraId="3A4A2631">
      <w:pPr>
        <w:ind w:firstLine="600"/>
        <w:rPr>
          <w:rFonts w:ascii="宋体" w:hAnsi="宋体"/>
          <w:sz w:val="30"/>
          <w:szCs w:val="30"/>
        </w:rPr>
      </w:pPr>
      <w:r>
        <w:rPr>
          <w:rFonts w:hint="eastAsia" w:ascii="宋体" w:hAnsi="宋体"/>
          <w:sz w:val="30"/>
          <w:szCs w:val="30"/>
        </w:rPr>
        <w:t>（3） 承包人为完成工程所发生的，而发包人未支付的金额；</w:t>
      </w:r>
    </w:p>
    <w:p w14:paraId="471980FB">
      <w:pPr>
        <w:ind w:firstLine="600"/>
        <w:rPr>
          <w:rFonts w:ascii="宋体" w:hAnsi="宋体"/>
          <w:sz w:val="30"/>
          <w:szCs w:val="30"/>
        </w:rPr>
      </w:pPr>
      <w:r>
        <w:rPr>
          <w:rFonts w:hint="eastAsia" w:ascii="宋体" w:hAnsi="宋体"/>
          <w:sz w:val="30"/>
          <w:szCs w:val="30"/>
        </w:rPr>
        <w:t>（4） 承包人撤离施工现场以及遣散承包人人员的款项；</w:t>
      </w:r>
    </w:p>
    <w:p w14:paraId="41AFA05D">
      <w:pPr>
        <w:ind w:firstLine="600"/>
        <w:rPr>
          <w:rFonts w:ascii="宋体" w:hAnsi="宋体"/>
          <w:sz w:val="30"/>
          <w:szCs w:val="30"/>
        </w:rPr>
      </w:pPr>
      <w:r>
        <w:rPr>
          <w:rFonts w:hint="eastAsia" w:ascii="宋体" w:hAnsi="宋体"/>
          <w:sz w:val="30"/>
          <w:szCs w:val="30"/>
        </w:rPr>
        <w:t>（5） 按照合同约定在合同解除前应支付的违约金；</w:t>
      </w:r>
    </w:p>
    <w:p w14:paraId="6BACCA77">
      <w:pPr>
        <w:ind w:firstLine="600"/>
        <w:rPr>
          <w:rFonts w:ascii="宋体" w:hAnsi="宋体"/>
          <w:sz w:val="30"/>
          <w:szCs w:val="30"/>
        </w:rPr>
      </w:pPr>
      <w:r>
        <w:rPr>
          <w:rFonts w:hint="eastAsia" w:ascii="宋体" w:hAnsi="宋体"/>
          <w:sz w:val="30"/>
          <w:szCs w:val="30"/>
        </w:rPr>
        <w:t>（6） 按照合同约定应当支付给承包人的其他款项；</w:t>
      </w:r>
    </w:p>
    <w:p w14:paraId="6D54556E">
      <w:pPr>
        <w:ind w:firstLine="600"/>
        <w:rPr>
          <w:rFonts w:ascii="宋体" w:hAnsi="宋体"/>
          <w:sz w:val="30"/>
          <w:szCs w:val="30"/>
        </w:rPr>
      </w:pPr>
      <w:r>
        <w:rPr>
          <w:rFonts w:hint="eastAsia" w:ascii="宋体" w:hAnsi="宋体"/>
          <w:sz w:val="30"/>
          <w:szCs w:val="30"/>
        </w:rPr>
        <w:t>（7） 按照合同约定应返还的质量保证金；</w:t>
      </w:r>
    </w:p>
    <w:p w14:paraId="5A0F822B">
      <w:pPr>
        <w:ind w:firstLine="600"/>
        <w:rPr>
          <w:rFonts w:ascii="宋体" w:hAnsi="宋体"/>
          <w:sz w:val="30"/>
          <w:szCs w:val="30"/>
        </w:rPr>
      </w:pPr>
      <w:r>
        <w:rPr>
          <w:rFonts w:hint="eastAsia" w:ascii="宋体" w:hAnsi="宋体"/>
          <w:sz w:val="30"/>
          <w:szCs w:val="30"/>
        </w:rPr>
        <w:t>（8） 因解除合同给承包人造成的损失。</w:t>
      </w:r>
    </w:p>
    <w:p w14:paraId="7FDC310E">
      <w:pPr>
        <w:ind w:firstLine="600"/>
        <w:rPr>
          <w:rFonts w:ascii="宋体" w:hAnsi="宋体"/>
          <w:sz w:val="30"/>
          <w:szCs w:val="30"/>
        </w:rPr>
      </w:pPr>
      <w:r>
        <w:rPr>
          <w:rFonts w:hint="eastAsia" w:ascii="宋体" w:hAnsi="宋体"/>
          <w:sz w:val="30"/>
          <w:szCs w:val="30"/>
        </w:rPr>
        <w:t>承包人应妥善做好已完工程和与工程有关的已购材料、工程设备的保护和移交工作，并将施工设备和人员撤出施工现场，发包人应为承包人撤出提供必要条件。</w:t>
      </w:r>
    </w:p>
    <w:p w14:paraId="5A35CCF6">
      <w:pPr>
        <w:pStyle w:val="969"/>
        <w:widowControl/>
        <w:numPr>
          <w:ilvl w:val="0"/>
          <w:numId w:val="0"/>
        </w:numPr>
        <w:rPr>
          <w:rFonts w:ascii="宋体" w:hAnsi="宋体" w:eastAsia="宋体"/>
          <w:b w:val="0"/>
          <w:sz w:val="30"/>
          <w:szCs w:val="30"/>
        </w:rPr>
      </w:pPr>
      <w:bookmarkStart w:id="655" w:name="_Toc54862306"/>
      <w:bookmarkStart w:id="656" w:name="_Ref3841966"/>
      <w:r>
        <w:rPr>
          <w:rFonts w:hint="eastAsia" w:ascii="宋体" w:hAnsi="宋体" w:eastAsia="宋体"/>
          <w:b w:val="0"/>
          <w:sz w:val="30"/>
          <w:szCs w:val="30"/>
        </w:rPr>
        <w:t>1</w:t>
      </w:r>
      <w:r>
        <w:rPr>
          <w:rFonts w:ascii="宋体" w:hAnsi="宋体" w:eastAsia="宋体"/>
          <w:b w:val="0"/>
          <w:sz w:val="30"/>
          <w:szCs w:val="30"/>
        </w:rPr>
        <w:t xml:space="preserve">6.3 </w:t>
      </w:r>
      <w:r>
        <w:rPr>
          <w:rFonts w:hint="eastAsia" w:ascii="宋体" w:hAnsi="宋体" w:eastAsia="宋体"/>
          <w:b w:val="0"/>
          <w:sz w:val="30"/>
          <w:szCs w:val="30"/>
        </w:rPr>
        <w:t>合同解除后的事项</w:t>
      </w:r>
      <w:bookmarkEnd w:id="655"/>
      <w:bookmarkEnd w:id="656"/>
    </w:p>
    <w:p w14:paraId="3331F18A">
      <w:pPr>
        <w:pStyle w:val="994"/>
        <w:numPr>
          <w:ilvl w:val="0"/>
          <w:numId w:val="0"/>
        </w:numPr>
        <w:rPr>
          <w:sz w:val="30"/>
          <w:szCs w:val="30"/>
        </w:rPr>
      </w:pPr>
      <w:r>
        <w:rPr>
          <w:rFonts w:hint="eastAsia"/>
          <w:sz w:val="30"/>
          <w:szCs w:val="30"/>
        </w:rPr>
        <w:t>1</w:t>
      </w:r>
      <w:r>
        <w:rPr>
          <w:sz w:val="30"/>
          <w:szCs w:val="30"/>
        </w:rPr>
        <w:t xml:space="preserve">6.3.1 </w:t>
      </w:r>
      <w:r>
        <w:rPr>
          <w:rFonts w:hint="eastAsia"/>
          <w:sz w:val="30"/>
          <w:szCs w:val="30"/>
        </w:rPr>
        <w:t>结算约定依然有效</w:t>
      </w:r>
    </w:p>
    <w:p w14:paraId="5DE9201C">
      <w:pPr>
        <w:ind w:firstLine="600"/>
        <w:rPr>
          <w:rFonts w:ascii="宋体" w:hAnsi="宋体"/>
          <w:sz w:val="30"/>
          <w:szCs w:val="30"/>
        </w:rPr>
      </w:pPr>
      <w:r>
        <w:rPr>
          <w:rFonts w:hint="eastAsia" w:ascii="宋体" w:hAnsi="宋体"/>
          <w:sz w:val="30"/>
          <w:szCs w:val="30"/>
        </w:rPr>
        <w:t>合同解除后，由发包人或由承包人解除合同的结算及结算后的付款约定仍然有效，直至解除合同的结算工作结清。</w:t>
      </w:r>
    </w:p>
    <w:p w14:paraId="5B2C0291">
      <w:pPr>
        <w:pStyle w:val="994"/>
        <w:numPr>
          <w:ilvl w:val="0"/>
          <w:numId w:val="0"/>
        </w:numPr>
        <w:rPr>
          <w:sz w:val="30"/>
          <w:szCs w:val="30"/>
        </w:rPr>
      </w:pPr>
      <w:r>
        <w:rPr>
          <w:rFonts w:hint="eastAsia"/>
          <w:sz w:val="30"/>
          <w:szCs w:val="30"/>
        </w:rPr>
        <w:t>1</w:t>
      </w:r>
      <w:r>
        <w:rPr>
          <w:sz w:val="30"/>
          <w:szCs w:val="30"/>
        </w:rPr>
        <w:t xml:space="preserve">6.3.2 </w:t>
      </w:r>
      <w:r>
        <w:rPr>
          <w:rFonts w:hint="eastAsia"/>
          <w:sz w:val="30"/>
          <w:szCs w:val="30"/>
        </w:rPr>
        <w:t>解除合同的争议</w:t>
      </w:r>
    </w:p>
    <w:p w14:paraId="11DB3BD5">
      <w:pPr>
        <w:ind w:firstLine="600"/>
        <w:rPr>
          <w:rFonts w:ascii="宋体" w:hAnsi="宋体"/>
          <w:sz w:val="30"/>
          <w:szCs w:val="30"/>
        </w:rPr>
      </w:pPr>
      <w:bookmarkStart w:id="657" w:name="_Hlk18988355"/>
      <w:r>
        <w:rPr>
          <w:rFonts w:hint="eastAsia" w:ascii="宋体" w:hAnsi="宋体"/>
          <w:sz w:val="30"/>
          <w:szCs w:val="30"/>
        </w:rPr>
        <w:t>双方对解除合同或解除合同后的结算有争议的，按照第</w:t>
      </w:r>
      <w:r>
        <w:rPr>
          <w:rFonts w:ascii="宋体" w:hAnsi="宋体"/>
          <w:sz w:val="30"/>
          <w:szCs w:val="30"/>
        </w:rPr>
        <w:t>20条</w:t>
      </w:r>
      <w:r>
        <w:rPr>
          <w:rFonts w:hint="eastAsia" w:ascii="宋体" w:hAnsi="宋体"/>
          <w:sz w:val="30"/>
          <w:szCs w:val="30"/>
        </w:rPr>
        <w:t>[</w:t>
      </w:r>
      <w:r>
        <w:rPr>
          <w:rFonts w:ascii="宋体" w:hAnsi="宋体"/>
          <w:sz w:val="30"/>
          <w:szCs w:val="30"/>
        </w:rPr>
        <w:t>争议解决</w:t>
      </w:r>
      <w:r>
        <w:rPr>
          <w:rFonts w:hint="eastAsia" w:ascii="宋体" w:hAnsi="宋体"/>
          <w:sz w:val="30"/>
          <w:szCs w:val="30"/>
        </w:rPr>
        <w:t>]的约定处理。</w:t>
      </w:r>
      <w:bookmarkEnd w:id="657"/>
    </w:p>
    <w:p w14:paraId="34431FC0">
      <w:pPr>
        <w:pStyle w:val="991"/>
        <w:numPr>
          <w:ilvl w:val="0"/>
          <w:numId w:val="0"/>
        </w:numPr>
        <w:wordWrap/>
        <w:topLinePunct w:val="0"/>
        <w:rPr>
          <w:rFonts w:ascii="宋体" w:hAnsi="宋体" w:eastAsia="宋体"/>
          <w:b w:val="0"/>
          <w:kern w:val="2"/>
          <w:sz w:val="30"/>
          <w:szCs w:val="30"/>
        </w:rPr>
      </w:pPr>
      <w:bookmarkStart w:id="658" w:name="_Ref3840974"/>
      <w:bookmarkStart w:id="659" w:name="_Toc54862307"/>
      <w:bookmarkStart w:id="660" w:name="_Ref3840605"/>
      <w:r>
        <w:rPr>
          <w:rFonts w:hint="eastAsia" w:ascii="宋体" w:hAnsi="宋体" w:eastAsia="宋体"/>
          <w:b w:val="0"/>
          <w:kern w:val="2"/>
          <w:sz w:val="30"/>
          <w:szCs w:val="30"/>
        </w:rPr>
        <w:t>第1</w:t>
      </w:r>
      <w:r>
        <w:rPr>
          <w:rFonts w:ascii="宋体" w:hAnsi="宋体" w:eastAsia="宋体"/>
          <w:b w:val="0"/>
          <w:kern w:val="2"/>
          <w:sz w:val="30"/>
          <w:szCs w:val="30"/>
        </w:rPr>
        <w:t>7</w:t>
      </w:r>
      <w:r>
        <w:rPr>
          <w:rFonts w:hint="eastAsia" w:ascii="宋体" w:hAnsi="宋体" w:eastAsia="宋体"/>
          <w:b w:val="0"/>
          <w:kern w:val="2"/>
          <w:sz w:val="30"/>
          <w:szCs w:val="30"/>
        </w:rPr>
        <w:t>条 不可抗力</w:t>
      </w:r>
      <w:bookmarkEnd w:id="658"/>
      <w:bookmarkEnd w:id="659"/>
    </w:p>
    <w:p w14:paraId="51A70AAC">
      <w:pPr>
        <w:pStyle w:val="969"/>
        <w:widowControl/>
        <w:numPr>
          <w:ilvl w:val="0"/>
          <w:numId w:val="0"/>
        </w:numPr>
        <w:rPr>
          <w:rFonts w:ascii="宋体" w:hAnsi="宋体" w:eastAsia="宋体"/>
          <w:b w:val="0"/>
          <w:sz w:val="30"/>
          <w:szCs w:val="30"/>
        </w:rPr>
      </w:pPr>
      <w:bookmarkStart w:id="661" w:name="_Ref531958161"/>
      <w:bookmarkStart w:id="662" w:name="_Ref531958158"/>
      <w:bookmarkStart w:id="663" w:name="_Toc54862308"/>
      <w:r>
        <w:rPr>
          <w:rFonts w:hint="eastAsia" w:ascii="宋体" w:hAnsi="宋体" w:eastAsia="宋体"/>
          <w:b w:val="0"/>
          <w:sz w:val="30"/>
          <w:szCs w:val="30"/>
        </w:rPr>
        <w:t>1</w:t>
      </w:r>
      <w:r>
        <w:rPr>
          <w:rFonts w:ascii="宋体" w:hAnsi="宋体" w:eastAsia="宋体"/>
          <w:b w:val="0"/>
          <w:sz w:val="30"/>
          <w:szCs w:val="30"/>
        </w:rPr>
        <w:t xml:space="preserve">7.1 </w:t>
      </w:r>
      <w:r>
        <w:rPr>
          <w:rFonts w:hint="eastAsia" w:ascii="宋体" w:hAnsi="宋体" w:eastAsia="宋体"/>
          <w:b w:val="0"/>
          <w:sz w:val="30"/>
          <w:szCs w:val="30"/>
        </w:rPr>
        <w:t>不可抗力的</w:t>
      </w:r>
      <w:bookmarkEnd w:id="661"/>
      <w:bookmarkEnd w:id="662"/>
      <w:r>
        <w:rPr>
          <w:rFonts w:hint="eastAsia" w:ascii="宋体" w:hAnsi="宋体" w:eastAsia="宋体"/>
          <w:b w:val="0"/>
          <w:sz w:val="30"/>
          <w:szCs w:val="30"/>
        </w:rPr>
        <w:t>定义</w:t>
      </w:r>
      <w:bookmarkEnd w:id="663"/>
    </w:p>
    <w:p w14:paraId="35A3EE6A">
      <w:pPr>
        <w:ind w:firstLine="600"/>
        <w:rPr>
          <w:rFonts w:ascii="宋体" w:hAnsi="宋体"/>
          <w:sz w:val="30"/>
          <w:szCs w:val="30"/>
        </w:rPr>
      </w:pPr>
      <w:r>
        <w:rPr>
          <w:rFonts w:hint="eastAsia" w:ascii="宋体" w:hAnsi="宋体"/>
          <w:sz w:val="30"/>
          <w:szCs w:val="30"/>
        </w:rPr>
        <w:t>不可抗力是指合同当事人在订立合同时不可预见，在合同履行过程中不可避免、不能克服且不能提前防备的自然灾害和社会性突发事件，如地震、海啸、瘟疫、骚乱、戒严、暴动、战争和专用合同条件中约定的其他情形。</w:t>
      </w:r>
    </w:p>
    <w:p w14:paraId="1B1DF796">
      <w:pPr>
        <w:pStyle w:val="969"/>
        <w:widowControl/>
        <w:numPr>
          <w:ilvl w:val="0"/>
          <w:numId w:val="0"/>
        </w:numPr>
        <w:rPr>
          <w:rFonts w:ascii="宋体" w:hAnsi="宋体" w:eastAsia="宋体"/>
          <w:b w:val="0"/>
          <w:sz w:val="30"/>
          <w:szCs w:val="30"/>
        </w:rPr>
      </w:pPr>
      <w:bookmarkStart w:id="664" w:name="_Toc54862309"/>
      <w:r>
        <w:rPr>
          <w:rFonts w:hint="eastAsia" w:ascii="宋体" w:hAnsi="宋体" w:eastAsia="宋体"/>
          <w:b w:val="0"/>
          <w:sz w:val="30"/>
          <w:szCs w:val="30"/>
        </w:rPr>
        <w:t>1</w:t>
      </w:r>
      <w:r>
        <w:rPr>
          <w:rFonts w:ascii="宋体" w:hAnsi="宋体" w:eastAsia="宋体"/>
          <w:b w:val="0"/>
          <w:sz w:val="30"/>
          <w:szCs w:val="30"/>
        </w:rPr>
        <w:t xml:space="preserve">7.2 </w:t>
      </w:r>
      <w:r>
        <w:rPr>
          <w:rFonts w:hint="eastAsia" w:ascii="宋体" w:hAnsi="宋体" w:eastAsia="宋体"/>
          <w:b w:val="0"/>
          <w:sz w:val="30"/>
          <w:szCs w:val="30"/>
        </w:rPr>
        <w:t>不可抗力的通知</w:t>
      </w:r>
      <w:bookmarkEnd w:id="664"/>
      <w:r>
        <w:rPr>
          <w:rFonts w:hint="eastAsia" w:ascii="宋体" w:hAnsi="宋体" w:eastAsia="宋体"/>
          <w:b w:val="0"/>
          <w:sz w:val="30"/>
          <w:szCs w:val="30"/>
        </w:rPr>
        <w:t xml:space="preserve"> </w:t>
      </w:r>
    </w:p>
    <w:p w14:paraId="347CE87A">
      <w:pPr>
        <w:ind w:firstLine="600"/>
        <w:rPr>
          <w:rFonts w:ascii="宋体" w:hAnsi="宋体"/>
          <w:sz w:val="30"/>
          <w:szCs w:val="30"/>
        </w:rPr>
      </w:pPr>
      <w:r>
        <w:rPr>
          <w:rFonts w:hint="eastAsia" w:ascii="宋体" w:hAnsi="宋体"/>
          <w:sz w:val="30"/>
          <w:szCs w:val="30"/>
        </w:rPr>
        <w:t>合同一方当事人觉察或发现不可抗力事件发生，使其履行合同义务受到阻碍时，有义务立即通知合同另一方当事人和工程师，书面说明不可抗力和受阻碍的详细情况，并提供必要的证明。</w:t>
      </w:r>
    </w:p>
    <w:p w14:paraId="5D1D32F7">
      <w:pPr>
        <w:ind w:firstLine="600"/>
        <w:rPr>
          <w:rFonts w:ascii="宋体" w:hAnsi="宋体"/>
          <w:sz w:val="30"/>
          <w:szCs w:val="30"/>
        </w:rPr>
      </w:pPr>
      <w:r>
        <w:rPr>
          <w:rFonts w:hint="eastAsia" w:ascii="宋体" w:hAnsi="宋体"/>
          <w:sz w:val="30"/>
          <w:szCs w:val="30"/>
        </w:rPr>
        <w:t>不可抗力持续发生的，合同一方当事人应每隔28天向合同另一方当事人和工程师提交中间报告，说明不可抗力和履行合同受阻的情况，并于不可抗力事件结束后28天内提交最终报告及有关资料。</w:t>
      </w:r>
    </w:p>
    <w:p w14:paraId="5617A76C">
      <w:pPr>
        <w:pStyle w:val="969"/>
        <w:widowControl/>
        <w:numPr>
          <w:ilvl w:val="0"/>
          <w:numId w:val="0"/>
        </w:numPr>
        <w:rPr>
          <w:rFonts w:ascii="宋体" w:hAnsi="宋体" w:eastAsia="宋体"/>
          <w:b w:val="0"/>
          <w:sz w:val="30"/>
          <w:szCs w:val="30"/>
        </w:rPr>
      </w:pPr>
      <w:bookmarkStart w:id="665" w:name="_Toc54862310"/>
      <w:r>
        <w:rPr>
          <w:rFonts w:hint="eastAsia" w:ascii="宋体" w:hAnsi="宋体" w:eastAsia="宋体"/>
          <w:b w:val="0"/>
          <w:sz w:val="30"/>
          <w:szCs w:val="30"/>
        </w:rPr>
        <w:t>1</w:t>
      </w:r>
      <w:r>
        <w:rPr>
          <w:rFonts w:ascii="宋体" w:hAnsi="宋体" w:eastAsia="宋体"/>
          <w:b w:val="0"/>
          <w:sz w:val="30"/>
          <w:szCs w:val="30"/>
        </w:rPr>
        <w:t xml:space="preserve">7.3 </w:t>
      </w:r>
      <w:r>
        <w:rPr>
          <w:rFonts w:hint="eastAsia" w:ascii="宋体" w:hAnsi="宋体" w:eastAsia="宋体"/>
          <w:b w:val="0"/>
          <w:sz w:val="30"/>
          <w:szCs w:val="30"/>
        </w:rPr>
        <w:t>将损失减至最小的义务</w:t>
      </w:r>
      <w:bookmarkEnd w:id="665"/>
    </w:p>
    <w:p w14:paraId="23EE6685">
      <w:pPr>
        <w:ind w:firstLine="600"/>
        <w:rPr>
          <w:rFonts w:ascii="宋体" w:hAnsi="宋体"/>
          <w:sz w:val="30"/>
          <w:szCs w:val="30"/>
        </w:rPr>
      </w:pPr>
      <w:r>
        <w:rPr>
          <w:rFonts w:hint="eastAsia" w:ascii="宋体" w:hAnsi="宋体"/>
          <w:sz w:val="30"/>
          <w:szCs w:val="30"/>
        </w:rPr>
        <w:t>不可抗力发生后，合同当事人均应采取措施尽量避免和减少损失的扩大，使不可抗力对履行合同造成的损失减至最小。另一方全力协助并采取措施，需暂停实施的工作，立即停止。任何一方当事人没有采取有效措施导致损失扩大的，应对扩大的损失承担责任。</w:t>
      </w:r>
    </w:p>
    <w:p w14:paraId="099A072D">
      <w:pPr>
        <w:pStyle w:val="969"/>
        <w:widowControl/>
        <w:numPr>
          <w:ilvl w:val="0"/>
          <w:numId w:val="0"/>
        </w:numPr>
        <w:rPr>
          <w:rFonts w:ascii="宋体" w:hAnsi="宋体" w:eastAsia="宋体"/>
          <w:b w:val="0"/>
          <w:sz w:val="30"/>
          <w:szCs w:val="30"/>
        </w:rPr>
      </w:pPr>
      <w:bookmarkStart w:id="666" w:name="_Ref531958172"/>
      <w:bookmarkStart w:id="667" w:name="_Ref531958170"/>
      <w:bookmarkStart w:id="668" w:name="_Toc54862311"/>
      <w:bookmarkStart w:id="669" w:name="_Ref3840916"/>
      <w:r>
        <w:rPr>
          <w:rFonts w:hint="eastAsia" w:ascii="宋体" w:hAnsi="宋体" w:eastAsia="宋体"/>
          <w:b w:val="0"/>
          <w:sz w:val="30"/>
          <w:szCs w:val="30"/>
        </w:rPr>
        <w:t>1</w:t>
      </w:r>
      <w:r>
        <w:rPr>
          <w:rFonts w:ascii="宋体" w:hAnsi="宋体" w:eastAsia="宋体"/>
          <w:b w:val="0"/>
          <w:sz w:val="30"/>
          <w:szCs w:val="30"/>
        </w:rPr>
        <w:t xml:space="preserve">7.4 </w:t>
      </w:r>
      <w:r>
        <w:rPr>
          <w:rFonts w:hint="eastAsia" w:ascii="宋体" w:hAnsi="宋体" w:eastAsia="宋体"/>
          <w:b w:val="0"/>
          <w:sz w:val="30"/>
          <w:szCs w:val="30"/>
        </w:rPr>
        <w:t>不可抗力后果</w:t>
      </w:r>
      <w:bookmarkEnd w:id="666"/>
      <w:bookmarkEnd w:id="667"/>
      <w:r>
        <w:rPr>
          <w:rFonts w:hint="eastAsia" w:ascii="宋体" w:hAnsi="宋体" w:eastAsia="宋体"/>
          <w:b w:val="0"/>
          <w:sz w:val="30"/>
          <w:szCs w:val="30"/>
        </w:rPr>
        <w:t>的承担</w:t>
      </w:r>
      <w:bookmarkEnd w:id="668"/>
      <w:bookmarkEnd w:id="669"/>
      <w:r>
        <w:rPr>
          <w:rFonts w:hint="eastAsia" w:ascii="宋体" w:hAnsi="宋体" w:eastAsia="宋体"/>
          <w:b w:val="0"/>
          <w:sz w:val="30"/>
          <w:szCs w:val="30"/>
        </w:rPr>
        <w:t xml:space="preserve"> </w:t>
      </w:r>
    </w:p>
    <w:p w14:paraId="7BE19194">
      <w:pPr>
        <w:ind w:firstLine="600"/>
        <w:rPr>
          <w:rFonts w:ascii="宋体" w:hAnsi="宋体"/>
          <w:sz w:val="30"/>
          <w:szCs w:val="30"/>
        </w:rPr>
      </w:pPr>
      <w:r>
        <w:rPr>
          <w:rFonts w:hint="eastAsia" w:ascii="宋体" w:hAnsi="宋体"/>
          <w:sz w:val="30"/>
          <w:szCs w:val="30"/>
        </w:rPr>
        <w:t>不可抗力导致的人员伤亡、财产损失、费用增加和（或）工期延误等后果，由合同当事人按以下原则承担：</w:t>
      </w:r>
    </w:p>
    <w:p w14:paraId="127640B1">
      <w:pPr>
        <w:ind w:firstLine="600"/>
        <w:rPr>
          <w:rFonts w:ascii="宋体" w:hAnsi="宋体"/>
          <w:sz w:val="30"/>
          <w:szCs w:val="30"/>
        </w:rPr>
      </w:pPr>
      <w:r>
        <w:rPr>
          <w:rFonts w:hint="eastAsia" w:ascii="宋体" w:hAnsi="宋体"/>
          <w:sz w:val="30"/>
          <w:szCs w:val="30"/>
        </w:rPr>
        <w:t>（1） 永久工程，包括已运至施工现场的材料和工程设备的损害，以及因工程损害造成的第三人人员伤亡和财产损失由发包人承担；</w:t>
      </w:r>
    </w:p>
    <w:p w14:paraId="03543E70">
      <w:pPr>
        <w:ind w:firstLine="600"/>
        <w:rPr>
          <w:rFonts w:ascii="宋体" w:hAnsi="宋体"/>
          <w:sz w:val="30"/>
          <w:szCs w:val="30"/>
        </w:rPr>
      </w:pPr>
      <w:r>
        <w:rPr>
          <w:rFonts w:hint="eastAsia" w:ascii="宋体" w:hAnsi="宋体"/>
          <w:sz w:val="30"/>
          <w:szCs w:val="30"/>
        </w:rPr>
        <w:t>（2） 承包人提供的施工设备的损坏由承包人承担；</w:t>
      </w:r>
    </w:p>
    <w:p w14:paraId="7100E1A3">
      <w:pPr>
        <w:ind w:firstLine="600"/>
        <w:rPr>
          <w:rFonts w:ascii="宋体" w:hAnsi="宋体"/>
          <w:sz w:val="30"/>
          <w:szCs w:val="30"/>
        </w:rPr>
      </w:pPr>
      <w:r>
        <w:rPr>
          <w:rFonts w:hint="eastAsia" w:ascii="宋体" w:hAnsi="宋体"/>
          <w:sz w:val="30"/>
          <w:szCs w:val="30"/>
        </w:rPr>
        <w:t>（3） 发包人和承包人各自承担其人员伤亡及其他财产损失；</w:t>
      </w:r>
    </w:p>
    <w:p w14:paraId="78C3967A">
      <w:pPr>
        <w:ind w:firstLine="600"/>
        <w:rPr>
          <w:rFonts w:ascii="宋体" w:hAnsi="宋体"/>
          <w:sz w:val="30"/>
          <w:szCs w:val="30"/>
        </w:rPr>
      </w:pPr>
      <w:r>
        <w:rPr>
          <w:rFonts w:hint="eastAsia" w:ascii="宋体" w:hAnsi="宋体"/>
          <w:sz w:val="30"/>
          <w:szCs w:val="30"/>
        </w:rPr>
        <w:t>（4） 因不可抗力影响承包人履行合同约定的义务，已经引起或将引起工期延误的，应当顺延工期，由此导致承包人停工的费用损失由发包人和承包人合理分担，</w:t>
      </w:r>
      <w:bookmarkStart w:id="670" w:name="_Hlk51507024"/>
      <w:r>
        <w:rPr>
          <w:rFonts w:hint="eastAsia" w:ascii="宋体" w:hAnsi="宋体"/>
          <w:sz w:val="30"/>
          <w:szCs w:val="30"/>
        </w:rPr>
        <w:t>停工期间必须支付的现场必要的工人工资</w:t>
      </w:r>
      <w:bookmarkEnd w:id="670"/>
      <w:r>
        <w:rPr>
          <w:rFonts w:hint="eastAsia" w:ascii="宋体" w:hAnsi="宋体"/>
          <w:sz w:val="30"/>
          <w:szCs w:val="30"/>
        </w:rPr>
        <w:t>由发包人承担；</w:t>
      </w:r>
    </w:p>
    <w:p w14:paraId="6ADB3CFD">
      <w:pPr>
        <w:ind w:firstLine="600"/>
        <w:rPr>
          <w:rFonts w:ascii="宋体" w:hAnsi="宋体"/>
          <w:sz w:val="30"/>
          <w:szCs w:val="30"/>
        </w:rPr>
      </w:pPr>
      <w:r>
        <w:rPr>
          <w:rFonts w:hint="eastAsia" w:ascii="宋体" w:hAnsi="宋体"/>
          <w:sz w:val="30"/>
          <w:szCs w:val="30"/>
        </w:rPr>
        <w:t>（5） 因不可抗力引起或将引起工期延误，发包人指示赶工的，由此增加的赶工费用由发包人承担；</w:t>
      </w:r>
    </w:p>
    <w:p w14:paraId="089724B2">
      <w:pPr>
        <w:ind w:firstLine="600"/>
        <w:rPr>
          <w:rFonts w:ascii="宋体" w:hAnsi="宋体"/>
          <w:sz w:val="30"/>
          <w:szCs w:val="30"/>
        </w:rPr>
      </w:pPr>
      <w:r>
        <w:rPr>
          <w:rFonts w:hint="eastAsia" w:ascii="宋体" w:hAnsi="宋体"/>
          <w:sz w:val="30"/>
          <w:szCs w:val="30"/>
        </w:rPr>
        <w:t>（6） 承包人在停工期间按照工程师或发包人要求照管、清理和修复工程的费用由发包人承担。</w:t>
      </w:r>
    </w:p>
    <w:p w14:paraId="73847C00">
      <w:pPr>
        <w:ind w:firstLine="600"/>
        <w:rPr>
          <w:rFonts w:ascii="宋体" w:hAnsi="宋体"/>
          <w:sz w:val="30"/>
          <w:szCs w:val="30"/>
        </w:rPr>
      </w:pPr>
      <w:r>
        <w:rPr>
          <w:rFonts w:hint="eastAsia" w:ascii="宋体" w:hAnsi="宋体"/>
          <w:sz w:val="30"/>
          <w:szCs w:val="30"/>
        </w:rPr>
        <w:t>不可抗力引起的后果及造成的损失由合同当事人按照法律规定及合同约定各自承担。不可抗力发生前已完成的工程应当按照合同约定进行支付。</w:t>
      </w:r>
    </w:p>
    <w:p w14:paraId="6D7D8E2B">
      <w:pPr>
        <w:pStyle w:val="969"/>
        <w:widowControl/>
        <w:numPr>
          <w:ilvl w:val="0"/>
          <w:numId w:val="0"/>
        </w:numPr>
        <w:rPr>
          <w:rFonts w:ascii="宋体" w:hAnsi="宋体" w:eastAsia="宋体"/>
          <w:b w:val="0"/>
          <w:sz w:val="30"/>
          <w:szCs w:val="30"/>
        </w:rPr>
      </w:pPr>
      <w:bookmarkStart w:id="671" w:name="_Toc54862312"/>
      <w:r>
        <w:rPr>
          <w:rFonts w:hint="eastAsia" w:ascii="宋体" w:hAnsi="宋体" w:eastAsia="宋体"/>
          <w:b w:val="0"/>
          <w:sz w:val="30"/>
          <w:szCs w:val="30"/>
        </w:rPr>
        <w:t>1</w:t>
      </w:r>
      <w:r>
        <w:rPr>
          <w:rFonts w:ascii="宋体" w:hAnsi="宋体" w:eastAsia="宋体"/>
          <w:b w:val="0"/>
          <w:sz w:val="30"/>
          <w:szCs w:val="30"/>
        </w:rPr>
        <w:t xml:space="preserve">7.5 </w:t>
      </w:r>
      <w:r>
        <w:rPr>
          <w:rFonts w:hint="eastAsia" w:ascii="宋体" w:hAnsi="宋体" w:eastAsia="宋体"/>
          <w:b w:val="0"/>
          <w:sz w:val="30"/>
          <w:szCs w:val="30"/>
        </w:rPr>
        <w:t>不可抗力影响分包人</w:t>
      </w:r>
      <w:bookmarkEnd w:id="671"/>
      <w:r>
        <w:rPr>
          <w:rFonts w:hint="eastAsia" w:ascii="宋体" w:hAnsi="宋体" w:eastAsia="宋体"/>
          <w:b w:val="0"/>
          <w:sz w:val="30"/>
          <w:szCs w:val="30"/>
        </w:rPr>
        <w:t xml:space="preserve"> </w:t>
      </w:r>
    </w:p>
    <w:p w14:paraId="13C0678D">
      <w:pPr>
        <w:ind w:firstLine="600"/>
        <w:rPr>
          <w:rFonts w:ascii="宋体" w:hAnsi="宋体"/>
          <w:sz w:val="30"/>
          <w:szCs w:val="30"/>
        </w:rPr>
      </w:pPr>
      <w:r>
        <w:rPr>
          <w:rFonts w:hint="eastAsia" w:ascii="宋体" w:hAnsi="宋体"/>
          <w:sz w:val="30"/>
          <w:szCs w:val="30"/>
        </w:rPr>
        <w:t>分包人根据分包合同的约定，有权获得更多或者更广的不可抗力而免除某些义务时，承包人不得以分包合同中不可抗力约定向发包人抗辩免除其义务。</w:t>
      </w:r>
    </w:p>
    <w:p w14:paraId="199FBD78">
      <w:pPr>
        <w:pStyle w:val="969"/>
        <w:widowControl/>
        <w:numPr>
          <w:ilvl w:val="0"/>
          <w:numId w:val="0"/>
        </w:numPr>
        <w:rPr>
          <w:rFonts w:ascii="宋体" w:hAnsi="宋体" w:eastAsia="宋体"/>
          <w:b w:val="0"/>
          <w:sz w:val="30"/>
          <w:szCs w:val="30"/>
        </w:rPr>
      </w:pPr>
      <w:bookmarkStart w:id="672" w:name="_Ref531958181"/>
      <w:bookmarkStart w:id="673" w:name="_Ref531958184"/>
      <w:bookmarkStart w:id="674" w:name="_Ref3840892"/>
      <w:bookmarkStart w:id="675" w:name="_Toc54862313"/>
      <w:bookmarkStart w:id="676" w:name="_Ref4538024"/>
      <w:r>
        <w:rPr>
          <w:rFonts w:hint="eastAsia" w:ascii="宋体" w:hAnsi="宋体" w:eastAsia="宋体"/>
          <w:b w:val="0"/>
          <w:sz w:val="30"/>
          <w:szCs w:val="30"/>
        </w:rPr>
        <w:t>1</w:t>
      </w:r>
      <w:r>
        <w:rPr>
          <w:rFonts w:ascii="宋体" w:hAnsi="宋体" w:eastAsia="宋体"/>
          <w:b w:val="0"/>
          <w:sz w:val="30"/>
          <w:szCs w:val="30"/>
        </w:rPr>
        <w:t xml:space="preserve">7.6 </w:t>
      </w:r>
      <w:r>
        <w:rPr>
          <w:rFonts w:hint="eastAsia" w:ascii="宋体" w:hAnsi="宋体" w:eastAsia="宋体"/>
          <w:b w:val="0"/>
          <w:sz w:val="30"/>
          <w:szCs w:val="30"/>
        </w:rPr>
        <w:t>因不可抗力解除</w:t>
      </w:r>
      <w:bookmarkEnd w:id="672"/>
      <w:bookmarkEnd w:id="673"/>
      <w:r>
        <w:rPr>
          <w:rFonts w:hint="eastAsia" w:ascii="宋体" w:hAnsi="宋体" w:eastAsia="宋体"/>
          <w:b w:val="0"/>
          <w:sz w:val="30"/>
          <w:szCs w:val="30"/>
        </w:rPr>
        <w:t>合同</w:t>
      </w:r>
      <w:bookmarkEnd w:id="674"/>
      <w:bookmarkEnd w:id="675"/>
      <w:bookmarkEnd w:id="676"/>
      <w:r>
        <w:rPr>
          <w:rFonts w:hint="eastAsia" w:ascii="宋体" w:hAnsi="宋体" w:eastAsia="宋体"/>
          <w:b w:val="0"/>
          <w:sz w:val="30"/>
          <w:szCs w:val="30"/>
        </w:rPr>
        <w:t xml:space="preserve"> </w:t>
      </w:r>
    </w:p>
    <w:p w14:paraId="0254339C">
      <w:pPr>
        <w:ind w:firstLine="600"/>
        <w:rPr>
          <w:rFonts w:ascii="宋体" w:hAnsi="宋体"/>
          <w:sz w:val="30"/>
          <w:szCs w:val="30"/>
        </w:rPr>
      </w:pPr>
      <w:r>
        <w:rPr>
          <w:rFonts w:hint="eastAsia" w:ascii="宋体" w:hAnsi="宋体"/>
          <w:sz w:val="30"/>
          <w:szCs w:val="30"/>
        </w:rPr>
        <w:t>因单次不可抗力导致合同无法履行连续超过84天或累计超过140天的，发包人和承包人均有权解除合同。合同解除后，承包人应按照第</w:t>
      </w:r>
      <w:r>
        <w:rPr>
          <w:rFonts w:ascii="宋体" w:hAnsi="宋体"/>
          <w:sz w:val="30"/>
          <w:szCs w:val="30"/>
        </w:rPr>
        <w:t>10.5</w:t>
      </w:r>
      <w:r>
        <w:rPr>
          <w:rFonts w:hint="eastAsia" w:ascii="宋体" w:hAnsi="宋体"/>
          <w:sz w:val="30"/>
          <w:szCs w:val="30"/>
        </w:rPr>
        <w:t>款[竣工退场]的规定进行。由双方当事人按照第</w:t>
      </w:r>
      <w:r>
        <w:rPr>
          <w:rFonts w:ascii="宋体" w:hAnsi="宋体"/>
          <w:sz w:val="30"/>
          <w:szCs w:val="30"/>
        </w:rPr>
        <w:t>3.6</w:t>
      </w:r>
      <w:r>
        <w:rPr>
          <w:rFonts w:hint="eastAsia" w:ascii="宋体" w:hAnsi="宋体"/>
          <w:sz w:val="30"/>
          <w:szCs w:val="30"/>
        </w:rPr>
        <w:t>款[商定或确定]商定或确定发包人应支付的款项，该款项包括：</w:t>
      </w:r>
    </w:p>
    <w:p w14:paraId="5B7F8BF4">
      <w:pPr>
        <w:ind w:firstLine="600"/>
        <w:rPr>
          <w:rFonts w:ascii="宋体" w:hAnsi="宋体"/>
          <w:sz w:val="30"/>
          <w:szCs w:val="30"/>
        </w:rPr>
      </w:pPr>
      <w:r>
        <w:rPr>
          <w:rFonts w:hint="eastAsia" w:ascii="宋体" w:hAnsi="宋体"/>
          <w:sz w:val="30"/>
          <w:szCs w:val="30"/>
        </w:rPr>
        <w:t>（1） 合同解除前承包人已完成工作的价款；</w:t>
      </w:r>
    </w:p>
    <w:p w14:paraId="0794142F">
      <w:pPr>
        <w:ind w:firstLine="600"/>
        <w:rPr>
          <w:rFonts w:ascii="宋体" w:hAnsi="宋体"/>
          <w:sz w:val="30"/>
          <w:szCs w:val="30"/>
        </w:rPr>
      </w:pPr>
      <w:r>
        <w:rPr>
          <w:rFonts w:hint="eastAsia" w:ascii="宋体" w:hAnsi="宋体"/>
          <w:sz w:val="30"/>
          <w:szCs w:val="30"/>
        </w:rPr>
        <w:t>（2） 承包人为工程订购的并已交付给承包人，或承包人有责任接受交付的材料、工程设备和其他物品的价款；当发包人支付上述费用后，此项材料、工程设备与其他物品应成为发包人的财产，承包人应将其交由发包人处理；</w:t>
      </w:r>
    </w:p>
    <w:p w14:paraId="2076E68A">
      <w:pPr>
        <w:ind w:firstLine="600"/>
        <w:rPr>
          <w:rFonts w:ascii="宋体" w:hAnsi="宋体"/>
          <w:sz w:val="30"/>
          <w:szCs w:val="30"/>
        </w:rPr>
      </w:pPr>
      <w:r>
        <w:rPr>
          <w:rFonts w:hint="eastAsia" w:ascii="宋体" w:hAnsi="宋体"/>
          <w:sz w:val="30"/>
          <w:szCs w:val="30"/>
        </w:rPr>
        <w:t>（3） 发包人指示承包人退货或解除订货合同而产生的费用，或因不能退货或解除合同而产生的损失；</w:t>
      </w:r>
    </w:p>
    <w:p w14:paraId="43907DEA">
      <w:pPr>
        <w:ind w:firstLine="600"/>
        <w:rPr>
          <w:rFonts w:ascii="宋体" w:hAnsi="宋体"/>
          <w:sz w:val="30"/>
          <w:szCs w:val="30"/>
        </w:rPr>
      </w:pPr>
      <w:r>
        <w:rPr>
          <w:rFonts w:hint="eastAsia" w:ascii="宋体" w:hAnsi="宋体"/>
          <w:sz w:val="30"/>
          <w:szCs w:val="30"/>
        </w:rPr>
        <w:t>（4） 承包人撤离施工现场以及遣散承包人人员的费用；</w:t>
      </w:r>
    </w:p>
    <w:p w14:paraId="6FF9F6FE">
      <w:pPr>
        <w:ind w:firstLine="600"/>
        <w:rPr>
          <w:rFonts w:ascii="宋体" w:hAnsi="宋体"/>
          <w:sz w:val="30"/>
          <w:szCs w:val="30"/>
        </w:rPr>
      </w:pPr>
      <w:r>
        <w:rPr>
          <w:rFonts w:hint="eastAsia" w:ascii="宋体" w:hAnsi="宋体"/>
          <w:sz w:val="30"/>
          <w:szCs w:val="30"/>
        </w:rPr>
        <w:t>（5） 按照合同约定在合同解除前应支付给承包人的其他款项；</w:t>
      </w:r>
    </w:p>
    <w:p w14:paraId="0DD367B2">
      <w:pPr>
        <w:ind w:firstLine="600"/>
        <w:rPr>
          <w:rFonts w:ascii="宋体" w:hAnsi="宋体"/>
          <w:sz w:val="30"/>
          <w:szCs w:val="30"/>
        </w:rPr>
      </w:pPr>
      <w:r>
        <w:rPr>
          <w:rFonts w:hint="eastAsia" w:ascii="宋体" w:hAnsi="宋体"/>
          <w:sz w:val="30"/>
          <w:szCs w:val="30"/>
        </w:rPr>
        <w:t>（6） 扣减承包人按照合同约定应向发包人支付的款项；</w:t>
      </w:r>
    </w:p>
    <w:p w14:paraId="7A11C2E7">
      <w:pPr>
        <w:ind w:firstLine="600"/>
        <w:rPr>
          <w:rFonts w:ascii="宋体" w:hAnsi="宋体"/>
          <w:sz w:val="30"/>
          <w:szCs w:val="30"/>
        </w:rPr>
      </w:pPr>
      <w:r>
        <w:rPr>
          <w:rFonts w:hint="eastAsia" w:ascii="宋体" w:hAnsi="宋体"/>
          <w:sz w:val="30"/>
          <w:szCs w:val="30"/>
        </w:rPr>
        <w:t>（7） 双方商定或确定的其他款项。</w:t>
      </w:r>
    </w:p>
    <w:p w14:paraId="4C371AD7">
      <w:pPr>
        <w:ind w:firstLine="600"/>
        <w:rPr>
          <w:rFonts w:ascii="宋体" w:hAnsi="宋体"/>
          <w:sz w:val="30"/>
          <w:szCs w:val="30"/>
        </w:rPr>
      </w:pPr>
      <w:r>
        <w:rPr>
          <w:rFonts w:hint="eastAsia" w:ascii="宋体" w:hAnsi="宋体"/>
          <w:sz w:val="30"/>
          <w:szCs w:val="30"/>
        </w:rPr>
        <w:t>除专用合同条件另有约定外，合同解除后，发包人应当在商定或确定上述款项后28天内完成上述款项的支付。</w:t>
      </w:r>
    </w:p>
    <w:p w14:paraId="7A6F2F49">
      <w:pPr>
        <w:pStyle w:val="991"/>
        <w:numPr>
          <w:ilvl w:val="0"/>
          <w:numId w:val="0"/>
        </w:numPr>
        <w:wordWrap/>
        <w:topLinePunct w:val="0"/>
        <w:rPr>
          <w:rFonts w:ascii="宋体" w:hAnsi="宋体" w:eastAsia="宋体"/>
          <w:b w:val="0"/>
          <w:kern w:val="2"/>
          <w:sz w:val="30"/>
          <w:szCs w:val="30"/>
        </w:rPr>
      </w:pPr>
      <w:bookmarkStart w:id="677" w:name="_Toc54862314"/>
      <w:bookmarkStart w:id="678" w:name="_Ref11848274"/>
      <w:bookmarkStart w:id="679" w:name="_Ref11848264"/>
      <w:r>
        <w:rPr>
          <w:rFonts w:hint="eastAsia" w:ascii="宋体" w:hAnsi="宋体" w:eastAsia="宋体"/>
          <w:b w:val="0"/>
          <w:kern w:val="2"/>
          <w:sz w:val="30"/>
          <w:szCs w:val="30"/>
        </w:rPr>
        <w:t>第1</w:t>
      </w:r>
      <w:r>
        <w:rPr>
          <w:rFonts w:ascii="宋体" w:hAnsi="宋体" w:eastAsia="宋体"/>
          <w:b w:val="0"/>
          <w:kern w:val="2"/>
          <w:sz w:val="30"/>
          <w:szCs w:val="30"/>
        </w:rPr>
        <w:t>8</w:t>
      </w:r>
      <w:r>
        <w:rPr>
          <w:rFonts w:hint="eastAsia" w:ascii="宋体" w:hAnsi="宋体" w:eastAsia="宋体"/>
          <w:b w:val="0"/>
          <w:kern w:val="2"/>
          <w:sz w:val="30"/>
          <w:szCs w:val="30"/>
        </w:rPr>
        <w:t>条 保险</w:t>
      </w:r>
      <w:bookmarkEnd w:id="660"/>
      <w:bookmarkEnd w:id="677"/>
      <w:bookmarkEnd w:id="678"/>
      <w:bookmarkEnd w:id="679"/>
      <w:r>
        <w:rPr>
          <w:rFonts w:hint="eastAsia" w:ascii="宋体" w:hAnsi="宋体" w:eastAsia="宋体"/>
          <w:b w:val="0"/>
          <w:kern w:val="2"/>
          <w:sz w:val="30"/>
          <w:szCs w:val="30"/>
        </w:rPr>
        <w:t xml:space="preserve"> </w:t>
      </w:r>
    </w:p>
    <w:p w14:paraId="2E71EDA0">
      <w:pPr>
        <w:pStyle w:val="969"/>
        <w:widowControl/>
        <w:numPr>
          <w:ilvl w:val="0"/>
          <w:numId w:val="0"/>
        </w:numPr>
        <w:rPr>
          <w:rFonts w:ascii="宋体" w:hAnsi="宋体" w:eastAsia="宋体"/>
          <w:b w:val="0"/>
          <w:sz w:val="30"/>
          <w:szCs w:val="30"/>
        </w:rPr>
      </w:pPr>
      <w:bookmarkStart w:id="680" w:name="_Ref3840730"/>
      <w:bookmarkStart w:id="681" w:name="_Toc54862315"/>
      <w:bookmarkStart w:id="682" w:name="_Ref3840734"/>
      <w:bookmarkStart w:id="683" w:name="_Ref531957914"/>
      <w:bookmarkStart w:id="684" w:name="_Ref531957911"/>
      <w:bookmarkStart w:id="685" w:name="_Toc351203616"/>
      <w:r>
        <w:rPr>
          <w:rFonts w:hint="eastAsia" w:ascii="宋体" w:hAnsi="宋体" w:eastAsia="宋体"/>
          <w:b w:val="0"/>
          <w:sz w:val="30"/>
          <w:szCs w:val="30"/>
        </w:rPr>
        <w:t>1</w:t>
      </w:r>
      <w:r>
        <w:rPr>
          <w:rFonts w:ascii="宋体" w:hAnsi="宋体" w:eastAsia="宋体"/>
          <w:b w:val="0"/>
          <w:sz w:val="30"/>
          <w:szCs w:val="30"/>
        </w:rPr>
        <w:t xml:space="preserve">8.1 </w:t>
      </w:r>
      <w:r>
        <w:rPr>
          <w:rFonts w:hint="eastAsia" w:ascii="宋体" w:hAnsi="宋体" w:eastAsia="宋体"/>
          <w:b w:val="0"/>
          <w:sz w:val="30"/>
          <w:szCs w:val="30"/>
        </w:rPr>
        <w:t>设计和工程保险</w:t>
      </w:r>
      <w:bookmarkEnd w:id="680"/>
      <w:bookmarkEnd w:id="681"/>
      <w:bookmarkEnd w:id="682"/>
    </w:p>
    <w:bookmarkEnd w:id="683"/>
    <w:bookmarkEnd w:id="684"/>
    <w:p w14:paraId="15A0C191">
      <w:pPr>
        <w:pStyle w:val="994"/>
        <w:numPr>
          <w:ilvl w:val="0"/>
          <w:numId w:val="0"/>
        </w:numPr>
        <w:rPr>
          <w:sz w:val="30"/>
          <w:szCs w:val="30"/>
        </w:rPr>
      </w:pPr>
      <w:r>
        <w:rPr>
          <w:rFonts w:hint="eastAsia"/>
          <w:sz w:val="30"/>
          <w:szCs w:val="30"/>
        </w:rPr>
        <w:t>1</w:t>
      </w:r>
      <w:r>
        <w:rPr>
          <w:sz w:val="30"/>
          <w:szCs w:val="30"/>
        </w:rPr>
        <w:t xml:space="preserve">8.1.1 </w:t>
      </w:r>
      <w:r>
        <w:rPr>
          <w:rFonts w:hint="eastAsia"/>
          <w:sz w:val="30"/>
          <w:szCs w:val="30"/>
        </w:rPr>
        <w:t>双方应按照专用合同条件的约定向双方同意的保险人投保建设工程设计责任险、建筑安装工程一切险等保险。具体的投保险种、保险范围、保险金额、保险费率、保险期限等有关内容应当在专用合同条件中明确约定。</w:t>
      </w:r>
    </w:p>
    <w:p w14:paraId="3E220AF8">
      <w:pPr>
        <w:pStyle w:val="994"/>
        <w:numPr>
          <w:ilvl w:val="0"/>
          <w:numId w:val="0"/>
        </w:numPr>
        <w:rPr>
          <w:sz w:val="30"/>
          <w:szCs w:val="30"/>
        </w:rPr>
      </w:pPr>
      <w:r>
        <w:rPr>
          <w:rFonts w:hint="eastAsia"/>
          <w:sz w:val="30"/>
          <w:szCs w:val="30"/>
        </w:rPr>
        <w:t>1</w:t>
      </w:r>
      <w:r>
        <w:rPr>
          <w:sz w:val="30"/>
          <w:szCs w:val="30"/>
        </w:rPr>
        <w:t xml:space="preserve">8.1.2 </w:t>
      </w:r>
      <w:r>
        <w:rPr>
          <w:rFonts w:hint="eastAsia"/>
          <w:sz w:val="30"/>
          <w:szCs w:val="30"/>
        </w:rPr>
        <w:t>双方应按照专用合同条件的约定投保第三者责任险，并在缺陷责任期终止证书颁发前维持其持续有效。第三者责任险最低投保额应在专用合同条件内约定。</w:t>
      </w:r>
    </w:p>
    <w:p w14:paraId="2D5F1CEC">
      <w:pPr>
        <w:pStyle w:val="969"/>
        <w:widowControl/>
        <w:numPr>
          <w:ilvl w:val="0"/>
          <w:numId w:val="0"/>
        </w:numPr>
        <w:rPr>
          <w:rFonts w:ascii="宋体" w:hAnsi="宋体" w:eastAsia="宋体"/>
          <w:b w:val="0"/>
          <w:sz w:val="30"/>
          <w:szCs w:val="30"/>
        </w:rPr>
      </w:pPr>
      <w:bookmarkStart w:id="686" w:name="_Toc54862316"/>
      <w:bookmarkStart w:id="687" w:name="_Ref3840683"/>
      <w:r>
        <w:rPr>
          <w:rFonts w:hint="eastAsia" w:ascii="宋体" w:hAnsi="宋体" w:eastAsia="宋体"/>
          <w:b w:val="0"/>
          <w:sz w:val="30"/>
          <w:szCs w:val="30"/>
        </w:rPr>
        <w:t>1</w:t>
      </w:r>
      <w:r>
        <w:rPr>
          <w:rFonts w:ascii="宋体" w:hAnsi="宋体" w:eastAsia="宋体"/>
          <w:b w:val="0"/>
          <w:sz w:val="30"/>
          <w:szCs w:val="30"/>
        </w:rPr>
        <w:t xml:space="preserve">8.2 </w:t>
      </w:r>
      <w:r>
        <w:rPr>
          <w:rFonts w:hint="eastAsia" w:ascii="宋体" w:hAnsi="宋体" w:eastAsia="宋体"/>
          <w:b w:val="0"/>
          <w:sz w:val="30"/>
          <w:szCs w:val="30"/>
        </w:rPr>
        <w:t>工伤和意外伤害保险</w:t>
      </w:r>
      <w:bookmarkEnd w:id="686"/>
      <w:bookmarkEnd w:id="687"/>
    </w:p>
    <w:p w14:paraId="674664F6">
      <w:pPr>
        <w:pStyle w:val="994"/>
        <w:numPr>
          <w:ilvl w:val="0"/>
          <w:numId w:val="0"/>
        </w:numPr>
        <w:rPr>
          <w:sz w:val="30"/>
          <w:szCs w:val="30"/>
        </w:rPr>
      </w:pPr>
      <w:r>
        <w:rPr>
          <w:rFonts w:hint="eastAsia"/>
          <w:sz w:val="30"/>
          <w:szCs w:val="30"/>
        </w:rPr>
        <w:t>1</w:t>
      </w:r>
      <w:r>
        <w:rPr>
          <w:sz w:val="30"/>
          <w:szCs w:val="30"/>
        </w:rPr>
        <w:t xml:space="preserve">8.2.1 </w:t>
      </w:r>
      <w:r>
        <w:rPr>
          <w:rFonts w:hint="eastAsia"/>
          <w:sz w:val="30"/>
          <w:szCs w:val="30"/>
        </w:rPr>
        <w:t>发包人应依照法律规定为其在施工现场的雇用人员办理工伤保险，缴纳工伤保险费；并要求工程师及由发包人为履行合同聘请的第三方在施工现场的雇用人员依法办理工伤保险。</w:t>
      </w:r>
    </w:p>
    <w:p w14:paraId="29E624E0">
      <w:pPr>
        <w:pStyle w:val="994"/>
        <w:numPr>
          <w:ilvl w:val="0"/>
          <w:numId w:val="0"/>
        </w:numPr>
        <w:rPr>
          <w:sz w:val="30"/>
          <w:szCs w:val="30"/>
        </w:rPr>
      </w:pPr>
      <w:r>
        <w:rPr>
          <w:rFonts w:hint="eastAsia"/>
          <w:sz w:val="30"/>
          <w:szCs w:val="30"/>
        </w:rPr>
        <w:t>1</w:t>
      </w:r>
      <w:r>
        <w:rPr>
          <w:sz w:val="30"/>
          <w:szCs w:val="30"/>
        </w:rPr>
        <w:t xml:space="preserve">8.2.2 </w:t>
      </w:r>
      <w:r>
        <w:rPr>
          <w:rFonts w:hint="eastAsia"/>
          <w:sz w:val="30"/>
          <w:szCs w:val="30"/>
        </w:rPr>
        <w:t>承包人应依照法律规定为其履行合同雇用的全部人员办理工伤保险，缴纳工伤保险费，并要求分包人及由承包人为履行合同聘请的第三方雇用的全部人员依法办理工伤保险。</w:t>
      </w:r>
    </w:p>
    <w:p w14:paraId="260CA62C">
      <w:pPr>
        <w:pStyle w:val="994"/>
        <w:numPr>
          <w:ilvl w:val="0"/>
          <w:numId w:val="0"/>
        </w:numPr>
        <w:rPr>
          <w:sz w:val="30"/>
          <w:szCs w:val="30"/>
        </w:rPr>
      </w:pPr>
      <w:r>
        <w:rPr>
          <w:rFonts w:hint="eastAsia"/>
          <w:sz w:val="30"/>
          <w:szCs w:val="30"/>
        </w:rPr>
        <w:t>1</w:t>
      </w:r>
      <w:r>
        <w:rPr>
          <w:sz w:val="30"/>
          <w:szCs w:val="30"/>
        </w:rPr>
        <w:t xml:space="preserve">8.2.3 </w:t>
      </w:r>
      <w:r>
        <w:rPr>
          <w:rFonts w:hint="eastAsia"/>
          <w:sz w:val="30"/>
          <w:szCs w:val="30"/>
        </w:rPr>
        <w:t>发包人和承包人可以为其施工现场的全部人员办理意外伤害保险并支付保险费，包括其员工及为履行合同聘请的第三方的人员，具体事项由合同当事人在专用合同条件约定。</w:t>
      </w:r>
    </w:p>
    <w:p w14:paraId="5CA2047F">
      <w:pPr>
        <w:pStyle w:val="969"/>
        <w:widowControl/>
        <w:numPr>
          <w:ilvl w:val="0"/>
          <w:numId w:val="0"/>
        </w:numPr>
        <w:rPr>
          <w:rFonts w:ascii="宋体" w:hAnsi="宋体" w:eastAsia="宋体"/>
          <w:b w:val="0"/>
          <w:sz w:val="30"/>
          <w:szCs w:val="30"/>
        </w:rPr>
      </w:pPr>
      <w:bookmarkStart w:id="688" w:name="_Toc54862317"/>
      <w:bookmarkStart w:id="689" w:name="_Ref3840782"/>
      <w:r>
        <w:rPr>
          <w:rFonts w:hint="eastAsia" w:ascii="宋体" w:hAnsi="宋体" w:eastAsia="宋体"/>
          <w:b w:val="0"/>
          <w:sz w:val="30"/>
          <w:szCs w:val="30"/>
        </w:rPr>
        <w:t>1</w:t>
      </w:r>
      <w:r>
        <w:rPr>
          <w:rFonts w:ascii="宋体" w:hAnsi="宋体" w:eastAsia="宋体"/>
          <w:b w:val="0"/>
          <w:sz w:val="30"/>
          <w:szCs w:val="30"/>
        </w:rPr>
        <w:t xml:space="preserve">8.3 </w:t>
      </w:r>
      <w:r>
        <w:rPr>
          <w:rFonts w:hint="eastAsia" w:ascii="宋体" w:hAnsi="宋体" w:eastAsia="宋体"/>
          <w:b w:val="0"/>
          <w:sz w:val="30"/>
          <w:szCs w:val="30"/>
        </w:rPr>
        <w:t>货物保险</w:t>
      </w:r>
      <w:bookmarkEnd w:id="688"/>
      <w:bookmarkEnd w:id="689"/>
    </w:p>
    <w:p w14:paraId="305C7A56">
      <w:pPr>
        <w:ind w:firstLine="600"/>
        <w:rPr>
          <w:rFonts w:ascii="宋体" w:hAnsi="宋体"/>
          <w:sz w:val="30"/>
          <w:szCs w:val="30"/>
        </w:rPr>
      </w:pPr>
      <w:r>
        <w:rPr>
          <w:rFonts w:hint="eastAsia" w:ascii="宋体" w:hAnsi="宋体"/>
          <w:sz w:val="30"/>
          <w:szCs w:val="30"/>
        </w:rPr>
        <w:t>承包人应按照专用合同条件的约定为运抵现场的施工设备、材料、工程设备和临时工程等办理财产保险，保险期限自上述货物运抵现场至其不再为工程所需要为止。</w:t>
      </w:r>
    </w:p>
    <w:p w14:paraId="649BA701">
      <w:pPr>
        <w:pStyle w:val="969"/>
        <w:widowControl/>
        <w:numPr>
          <w:ilvl w:val="0"/>
          <w:numId w:val="0"/>
        </w:numPr>
        <w:rPr>
          <w:rFonts w:ascii="宋体" w:hAnsi="宋体" w:eastAsia="宋体"/>
          <w:b w:val="0"/>
          <w:sz w:val="30"/>
          <w:szCs w:val="30"/>
        </w:rPr>
      </w:pPr>
      <w:bookmarkStart w:id="690" w:name="_Ref4692231"/>
      <w:bookmarkStart w:id="691" w:name="_Toc54862318"/>
      <w:bookmarkStart w:id="692" w:name="_Ref4692238"/>
      <w:r>
        <w:rPr>
          <w:rFonts w:hint="eastAsia" w:ascii="宋体" w:hAnsi="宋体" w:eastAsia="宋体"/>
          <w:b w:val="0"/>
          <w:sz w:val="30"/>
          <w:szCs w:val="30"/>
        </w:rPr>
        <w:t>1</w:t>
      </w:r>
      <w:r>
        <w:rPr>
          <w:rFonts w:ascii="宋体" w:hAnsi="宋体" w:eastAsia="宋体"/>
          <w:b w:val="0"/>
          <w:sz w:val="30"/>
          <w:szCs w:val="30"/>
        </w:rPr>
        <w:t xml:space="preserve">8.4 </w:t>
      </w:r>
      <w:r>
        <w:rPr>
          <w:rFonts w:hint="eastAsia" w:ascii="宋体" w:hAnsi="宋体" w:eastAsia="宋体"/>
          <w:b w:val="0"/>
          <w:sz w:val="30"/>
          <w:szCs w:val="30"/>
        </w:rPr>
        <w:t>其他保险</w:t>
      </w:r>
      <w:bookmarkEnd w:id="690"/>
      <w:bookmarkEnd w:id="691"/>
      <w:bookmarkEnd w:id="692"/>
    </w:p>
    <w:p w14:paraId="273B352C">
      <w:pPr>
        <w:ind w:firstLine="600"/>
        <w:rPr>
          <w:rFonts w:ascii="宋体" w:hAnsi="宋体"/>
          <w:sz w:val="30"/>
          <w:szCs w:val="30"/>
        </w:rPr>
      </w:pPr>
      <w:r>
        <w:rPr>
          <w:rFonts w:hint="eastAsia" w:ascii="宋体" w:hAnsi="宋体"/>
          <w:sz w:val="30"/>
          <w:szCs w:val="30"/>
        </w:rPr>
        <w:t>发包人应按照工程总承包模式所适用的法律法规和专用合同条件约定，投保其他保险并保持保险有效，其投保费用发包人自行承担。承包人应按照工程总承包模式所适用法律法规和专用合同条件约定投保相应保险并保持保险有效，其投</w:t>
      </w:r>
      <w:bookmarkEnd w:id="685"/>
      <w:r>
        <w:rPr>
          <w:rFonts w:hint="eastAsia" w:ascii="宋体" w:hAnsi="宋体"/>
          <w:sz w:val="30"/>
          <w:szCs w:val="30"/>
        </w:rPr>
        <w:t>保费用包含在合同价格中，但在合同执行过程中，新颁布适用的法律法规规定由承包人投保的强制保险，应根据本合同</w:t>
      </w:r>
      <w:bookmarkStart w:id="693" w:name="_Toc351203617"/>
      <w:bookmarkStart w:id="694" w:name="_Toc296503126"/>
      <w:bookmarkStart w:id="695" w:name="_Toc337558832"/>
      <w:bookmarkStart w:id="696" w:name="_Toc296346627"/>
      <w:r>
        <w:rPr>
          <w:rFonts w:hint="eastAsia" w:ascii="宋体" w:hAnsi="宋体"/>
          <w:sz w:val="30"/>
          <w:szCs w:val="30"/>
        </w:rPr>
        <w:t>第</w:t>
      </w:r>
      <w:r>
        <w:rPr>
          <w:rFonts w:ascii="宋体" w:hAnsi="宋体"/>
          <w:sz w:val="30"/>
          <w:szCs w:val="30"/>
        </w:rPr>
        <w:t>13条</w:t>
      </w:r>
      <w:r>
        <w:rPr>
          <w:rFonts w:hint="eastAsia" w:ascii="宋体" w:hAnsi="宋体"/>
          <w:sz w:val="30"/>
          <w:szCs w:val="30"/>
        </w:rPr>
        <w:t>[</w:t>
      </w:r>
      <w:r>
        <w:rPr>
          <w:rFonts w:ascii="宋体" w:hAnsi="宋体"/>
          <w:sz w:val="30"/>
          <w:szCs w:val="30"/>
        </w:rPr>
        <w:t>变更与调整</w:t>
      </w:r>
      <w:r>
        <w:rPr>
          <w:rFonts w:hint="eastAsia" w:ascii="宋体" w:hAnsi="宋体"/>
          <w:sz w:val="30"/>
          <w:szCs w:val="30"/>
        </w:rPr>
        <w:t>]的约定增加合同价款。</w:t>
      </w:r>
    </w:p>
    <w:p w14:paraId="597AE397">
      <w:pPr>
        <w:pStyle w:val="969"/>
        <w:widowControl/>
        <w:numPr>
          <w:ilvl w:val="0"/>
          <w:numId w:val="0"/>
        </w:numPr>
        <w:rPr>
          <w:rFonts w:ascii="宋体" w:hAnsi="宋体" w:eastAsia="宋体"/>
          <w:b w:val="0"/>
          <w:sz w:val="30"/>
          <w:szCs w:val="30"/>
        </w:rPr>
      </w:pPr>
      <w:bookmarkStart w:id="697" w:name="_Toc54862319"/>
      <w:bookmarkStart w:id="698" w:name="_Ref3840659"/>
      <w:r>
        <w:rPr>
          <w:rFonts w:hint="eastAsia" w:ascii="宋体" w:hAnsi="宋体" w:eastAsia="宋体"/>
          <w:b w:val="0"/>
          <w:sz w:val="30"/>
          <w:szCs w:val="30"/>
        </w:rPr>
        <w:t>1</w:t>
      </w:r>
      <w:r>
        <w:rPr>
          <w:rFonts w:ascii="宋体" w:hAnsi="宋体" w:eastAsia="宋体"/>
          <w:b w:val="0"/>
          <w:sz w:val="30"/>
          <w:szCs w:val="30"/>
        </w:rPr>
        <w:t xml:space="preserve">8.5 </w:t>
      </w:r>
      <w:r>
        <w:rPr>
          <w:rFonts w:hint="eastAsia" w:ascii="宋体" w:hAnsi="宋体" w:eastAsia="宋体"/>
          <w:b w:val="0"/>
          <w:sz w:val="30"/>
          <w:szCs w:val="30"/>
        </w:rPr>
        <w:t>对各项保险的一般要求</w:t>
      </w:r>
      <w:bookmarkEnd w:id="697"/>
      <w:bookmarkEnd w:id="698"/>
    </w:p>
    <w:p w14:paraId="276FE946">
      <w:pPr>
        <w:pStyle w:val="994"/>
        <w:numPr>
          <w:ilvl w:val="0"/>
          <w:numId w:val="0"/>
        </w:numPr>
        <w:rPr>
          <w:sz w:val="30"/>
          <w:szCs w:val="30"/>
        </w:rPr>
      </w:pPr>
      <w:r>
        <w:rPr>
          <w:rFonts w:hint="eastAsia"/>
          <w:sz w:val="30"/>
          <w:szCs w:val="30"/>
        </w:rPr>
        <w:t>1</w:t>
      </w:r>
      <w:r>
        <w:rPr>
          <w:sz w:val="30"/>
          <w:szCs w:val="30"/>
        </w:rPr>
        <w:t xml:space="preserve">8.5.1 </w:t>
      </w:r>
      <w:r>
        <w:rPr>
          <w:rFonts w:hint="eastAsia"/>
          <w:sz w:val="30"/>
          <w:szCs w:val="30"/>
        </w:rPr>
        <w:t>持续保险</w:t>
      </w:r>
    </w:p>
    <w:p w14:paraId="5C461749">
      <w:pPr>
        <w:ind w:firstLine="600"/>
        <w:rPr>
          <w:rFonts w:ascii="宋体" w:hAnsi="宋体"/>
          <w:sz w:val="30"/>
          <w:szCs w:val="30"/>
        </w:rPr>
      </w:pPr>
      <w:r>
        <w:rPr>
          <w:rFonts w:hint="eastAsia" w:ascii="宋体" w:hAnsi="宋体"/>
          <w:sz w:val="30"/>
          <w:szCs w:val="30"/>
        </w:rPr>
        <w:t>合同当事人应与保险人保持联系，使保险人能够随时了</w:t>
      </w:r>
      <w:bookmarkEnd w:id="693"/>
      <w:r>
        <w:rPr>
          <w:rFonts w:hint="eastAsia" w:ascii="宋体" w:hAnsi="宋体"/>
          <w:sz w:val="30"/>
          <w:szCs w:val="30"/>
        </w:rPr>
        <w:t>解</w:t>
      </w:r>
      <w:bookmarkEnd w:id="694"/>
      <w:bookmarkEnd w:id="695"/>
      <w:bookmarkEnd w:id="696"/>
      <w:r>
        <w:rPr>
          <w:rFonts w:hint="eastAsia" w:ascii="宋体" w:hAnsi="宋体"/>
          <w:sz w:val="30"/>
          <w:szCs w:val="30"/>
        </w:rPr>
        <w:t>工程实施中的变动，并确保按保险合同条款要求持续保险。</w:t>
      </w:r>
    </w:p>
    <w:p w14:paraId="503A6A2F">
      <w:pPr>
        <w:pStyle w:val="994"/>
        <w:numPr>
          <w:ilvl w:val="0"/>
          <w:numId w:val="0"/>
        </w:numPr>
        <w:rPr>
          <w:sz w:val="30"/>
          <w:szCs w:val="30"/>
        </w:rPr>
      </w:pPr>
      <w:bookmarkStart w:id="699" w:name="_Ref4777650"/>
      <w:r>
        <w:rPr>
          <w:rFonts w:hint="eastAsia"/>
          <w:sz w:val="30"/>
          <w:szCs w:val="30"/>
        </w:rPr>
        <w:t>1</w:t>
      </w:r>
      <w:r>
        <w:rPr>
          <w:sz w:val="30"/>
          <w:szCs w:val="30"/>
        </w:rPr>
        <w:t xml:space="preserve">8.5.2 </w:t>
      </w:r>
      <w:r>
        <w:rPr>
          <w:rFonts w:hint="eastAsia"/>
          <w:sz w:val="30"/>
          <w:szCs w:val="30"/>
        </w:rPr>
        <w:t>保险凭证</w:t>
      </w:r>
      <w:bookmarkEnd w:id="699"/>
    </w:p>
    <w:p w14:paraId="528F7847">
      <w:pPr>
        <w:ind w:firstLine="600"/>
        <w:rPr>
          <w:rFonts w:ascii="宋体" w:hAnsi="宋体"/>
          <w:sz w:val="30"/>
          <w:szCs w:val="30"/>
        </w:rPr>
      </w:pPr>
      <w:r>
        <w:rPr>
          <w:rFonts w:hint="eastAsia" w:ascii="宋体" w:hAnsi="宋体"/>
          <w:sz w:val="30"/>
          <w:szCs w:val="30"/>
        </w:rPr>
        <w:t>合同当事人应及时向另一方当事人提交其已投保的各项保险的凭证和保险单复印件，保险单必须与专用合同条件约定的条件保持一致。</w:t>
      </w:r>
    </w:p>
    <w:p w14:paraId="223985B6">
      <w:pPr>
        <w:pStyle w:val="994"/>
        <w:numPr>
          <w:ilvl w:val="0"/>
          <w:numId w:val="0"/>
        </w:numPr>
        <w:rPr>
          <w:sz w:val="30"/>
          <w:szCs w:val="30"/>
        </w:rPr>
      </w:pPr>
      <w:r>
        <w:rPr>
          <w:rFonts w:hint="eastAsia"/>
          <w:sz w:val="30"/>
          <w:szCs w:val="30"/>
        </w:rPr>
        <w:t>1</w:t>
      </w:r>
      <w:r>
        <w:rPr>
          <w:sz w:val="30"/>
          <w:szCs w:val="30"/>
        </w:rPr>
        <w:t xml:space="preserve">8.5.3 </w:t>
      </w:r>
      <w:r>
        <w:rPr>
          <w:rFonts w:hint="eastAsia"/>
          <w:sz w:val="30"/>
          <w:szCs w:val="30"/>
        </w:rPr>
        <w:t>未按约定投保的补救</w:t>
      </w:r>
    </w:p>
    <w:p w14:paraId="1A5D54B9">
      <w:pPr>
        <w:ind w:firstLine="600"/>
        <w:rPr>
          <w:rFonts w:ascii="宋体" w:hAnsi="宋体"/>
          <w:sz w:val="30"/>
          <w:szCs w:val="30"/>
        </w:rPr>
      </w:pPr>
      <w:r>
        <w:rPr>
          <w:rFonts w:hint="eastAsia" w:ascii="宋体" w:hAnsi="宋体"/>
          <w:sz w:val="30"/>
          <w:szCs w:val="30"/>
        </w:rPr>
        <w:t>负有投保义务的一方当事人未按合同约定办理保险，或未能使保险持续有效的，则另一方当事人可代为办理，所需费用由负有投保义务的一方当事人承担。</w:t>
      </w:r>
    </w:p>
    <w:p w14:paraId="58872EA4">
      <w:pPr>
        <w:ind w:firstLine="600"/>
        <w:rPr>
          <w:rFonts w:ascii="宋体" w:hAnsi="宋体"/>
          <w:sz w:val="30"/>
          <w:szCs w:val="30"/>
        </w:rPr>
      </w:pPr>
      <w:r>
        <w:rPr>
          <w:rFonts w:hint="eastAsia" w:ascii="宋体" w:hAnsi="宋体"/>
          <w:sz w:val="30"/>
          <w:szCs w:val="30"/>
        </w:rPr>
        <w:t>负有投保</w:t>
      </w:r>
      <w:bookmarkStart w:id="700" w:name="_Toc351203619"/>
      <w:bookmarkStart w:id="701" w:name="_Toc337558834"/>
      <w:r>
        <w:rPr>
          <w:rFonts w:hint="eastAsia" w:ascii="宋体" w:hAnsi="宋体"/>
          <w:sz w:val="30"/>
          <w:szCs w:val="30"/>
        </w:rPr>
        <w:t>义务的一方当事人未</w:t>
      </w:r>
      <w:bookmarkEnd w:id="700"/>
      <w:r>
        <w:rPr>
          <w:rFonts w:hint="eastAsia" w:ascii="宋体" w:hAnsi="宋体"/>
          <w:sz w:val="30"/>
          <w:szCs w:val="30"/>
        </w:rPr>
        <w:t>按</w:t>
      </w:r>
      <w:bookmarkEnd w:id="701"/>
      <w:r>
        <w:rPr>
          <w:rFonts w:hint="eastAsia" w:ascii="宋体" w:hAnsi="宋体"/>
          <w:sz w:val="30"/>
          <w:szCs w:val="30"/>
        </w:rPr>
        <w:t>合同约定办理某项保险，导致受益人未能得到足额赔偿的，由负有投保义务的一方当事人负责按照原应从该项保险得到的保险金数额进行补足。</w:t>
      </w:r>
    </w:p>
    <w:p w14:paraId="28E3C0C4">
      <w:pPr>
        <w:ind w:firstLine="600"/>
        <w:rPr>
          <w:rFonts w:ascii="宋体" w:hAnsi="宋体"/>
          <w:sz w:val="30"/>
          <w:szCs w:val="30"/>
        </w:rPr>
      </w:pPr>
      <w:bookmarkStart w:id="702" w:name="_Ref4692685"/>
      <w:r>
        <w:rPr>
          <w:rFonts w:hint="eastAsia" w:ascii="宋体" w:hAnsi="宋体"/>
          <w:sz w:val="30"/>
          <w:szCs w:val="30"/>
        </w:rPr>
        <w:t>1</w:t>
      </w:r>
      <w:r>
        <w:rPr>
          <w:rFonts w:ascii="宋体" w:hAnsi="宋体"/>
          <w:sz w:val="30"/>
          <w:szCs w:val="30"/>
        </w:rPr>
        <w:t xml:space="preserve">8.5.4 </w:t>
      </w:r>
      <w:r>
        <w:rPr>
          <w:rFonts w:hint="eastAsia" w:ascii="宋体" w:hAnsi="宋体"/>
          <w:sz w:val="30"/>
          <w:szCs w:val="30"/>
        </w:rPr>
        <w:t>通知义务</w:t>
      </w:r>
      <w:bookmarkEnd w:id="702"/>
    </w:p>
    <w:p w14:paraId="114CFDD5">
      <w:pPr>
        <w:ind w:firstLine="600"/>
        <w:rPr>
          <w:rFonts w:ascii="宋体" w:hAnsi="宋体"/>
          <w:sz w:val="30"/>
          <w:szCs w:val="30"/>
        </w:rPr>
      </w:pPr>
      <w:r>
        <w:rPr>
          <w:rFonts w:hint="eastAsia" w:ascii="宋体" w:hAnsi="宋体"/>
          <w:sz w:val="30"/>
          <w:szCs w:val="30"/>
        </w:rPr>
        <w:t>除专用合同条件另有约定外，任何一方当事人变更除工伤保险之外的保险合同时，应事先征得另一方当事人同意，并通知工程师。</w:t>
      </w:r>
    </w:p>
    <w:p w14:paraId="4558C9FF">
      <w:pPr>
        <w:ind w:firstLine="600"/>
        <w:rPr>
          <w:rFonts w:ascii="宋体" w:hAnsi="宋体"/>
          <w:sz w:val="30"/>
          <w:szCs w:val="30"/>
        </w:rPr>
      </w:pPr>
      <w:r>
        <w:rPr>
          <w:rFonts w:hint="eastAsia" w:ascii="宋体" w:hAnsi="宋体"/>
          <w:sz w:val="30"/>
          <w:szCs w:val="30"/>
        </w:rPr>
        <w:t>保险事故发生时，投保人应按照保险合同规定的条件和期限及时向保险人报告。发包人和承包人应当在知道保险事故发生后及时通知对方。</w:t>
      </w:r>
    </w:p>
    <w:p w14:paraId="5A29820F">
      <w:pPr>
        <w:ind w:firstLine="600"/>
        <w:rPr>
          <w:rFonts w:ascii="宋体" w:hAnsi="宋体"/>
          <w:sz w:val="30"/>
          <w:szCs w:val="30"/>
        </w:rPr>
      </w:pPr>
      <w:r>
        <w:rPr>
          <w:rFonts w:hint="eastAsia" w:ascii="宋体" w:hAnsi="宋体"/>
          <w:sz w:val="30"/>
          <w:szCs w:val="30"/>
        </w:rPr>
        <w:t>双方按本条规定投保不减少双方在合同下的其他义务。</w:t>
      </w:r>
    </w:p>
    <w:p w14:paraId="77F300F3">
      <w:pPr>
        <w:ind w:firstLine="600"/>
        <w:rPr>
          <w:rFonts w:ascii="宋体" w:hAnsi="宋体"/>
          <w:sz w:val="30"/>
          <w:szCs w:val="30"/>
        </w:rPr>
      </w:pPr>
      <w:bookmarkStart w:id="703" w:name="_Ref11874997"/>
      <w:bookmarkStart w:id="704" w:name="_Toc54862320"/>
      <w:r>
        <w:rPr>
          <w:rFonts w:hint="eastAsia" w:ascii="宋体" w:hAnsi="宋体"/>
          <w:sz w:val="30"/>
          <w:szCs w:val="30"/>
        </w:rPr>
        <w:t>第1</w:t>
      </w:r>
      <w:r>
        <w:rPr>
          <w:rFonts w:ascii="宋体" w:hAnsi="宋体"/>
          <w:sz w:val="30"/>
          <w:szCs w:val="30"/>
        </w:rPr>
        <w:t>9</w:t>
      </w:r>
      <w:r>
        <w:rPr>
          <w:rFonts w:hint="eastAsia" w:ascii="宋体" w:hAnsi="宋体"/>
          <w:sz w:val="30"/>
          <w:szCs w:val="30"/>
        </w:rPr>
        <w:t>条 索赔</w:t>
      </w:r>
      <w:bookmarkEnd w:id="639"/>
      <w:bookmarkEnd w:id="640"/>
      <w:bookmarkEnd w:id="703"/>
      <w:bookmarkEnd w:id="704"/>
      <w:r>
        <w:rPr>
          <w:rFonts w:hint="eastAsia" w:ascii="宋体" w:hAnsi="宋体"/>
          <w:sz w:val="30"/>
          <w:szCs w:val="30"/>
        </w:rPr>
        <w:t xml:space="preserve"> </w:t>
      </w:r>
    </w:p>
    <w:p w14:paraId="0274E118">
      <w:pPr>
        <w:ind w:firstLine="600"/>
        <w:rPr>
          <w:rFonts w:ascii="宋体" w:hAnsi="宋体"/>
          <w:sz w:val="30"/>
          <w:szCs w:val="30"/>
        </w:rPr>
      </w:pPr>
      <w:bookmarkStart w:id="705" w:name="_Ref4798173"/>
      <w:bookmarkStart w:id="706" w:name="_Ref4798164"/>
      <w:bookmarkStart w:id="707" w:name="_Toc54862321"/>
      <w:r>
        <w:rPr>
          <w:rFonts w:hint="eastAsia" w:ascii="宋体" w:hAnsi="宋体"/>
          <w:sz w:val="30"/>
          <w:szCs w:val="30"/>
        </w:rPr>
        <w:t>1</w:t>
      </w:r>
      <w:r>
        <w:rPr>
          <w:rFonts w:ascii="宋体" w:hAnsi="宋体"/>
          <w:sz w:val="30"/>
          <w:szCs w:val="30"/>
        </w:rPr>
        <w:t xml:space="preserve">9.1 </w:t>
      </w:r>
      <w:r>
        <w:rPr>
          <w:rFonts w:hint="eastAsia" w:ascii="宋体" w:hAnsi="宋体"/>
          <w:sz w:val="30"/>
          <w:szCs w:val="30"/>
        </w:rPr>
        <w:t>索赔</w:t>
      </w:r>
      <w:bookmarkEnd w:id="705"/>
      <w:bookmarkEnd w:id="706"/>
      <w:r>
        <w:rPr>
          <w:rFonts w:hint="eastAsia" w:ascii="宋体" w:hAnsi="宋体"/>
          <w:sz w:val="30"/>
          <w:szCs w:val="30"/>
        </w:rPr>
        <w:t>的提出</w:t>
      </w:r>
      <w:bookmarkEnd w:id="707"/>
    </w:p>
    <w:p w14:paraId="115AE67D">
      <w:pPr>
        <w:ind w:firstLine="600"/>
        <w:rPr>
          <w:rFonts w:ascii="宋体" w:hAnsi="宋体"/>
          <w:sz w:val="30"/>
          <w:szCs w:val="30"/>
        </w:rPr>
      </w:pPr>
      <w:r>
        <w:rPr>
          <w:rFonts w:hint="eastAsia" w:ascii="宋体" w:hAnsi="宋体"/>
          <w:sz w:val="30"/>
          <w:szCs w:val="30"/>
        </w:rPr>
        <w:t>根据合同约定，任意一方认为有权得到追加/减少付款、延长缺陷责任期和（或）延长工期的，应按以下程序向对方提出索赔：</w:t>
      </w:r>
    </w:p>
    <w:p w14:paraId="0E160153">
      <w:pPr>
        <w:ind w:firstLine="600"/>
        <w:rPr>
          <w:rFonts w:ascii="宋体" w:hAnsi="宋体"/>
          <w:sz w:val="30"/>
          <w:szCs w:val="30"/>
        </w:rPr>
      </w:pPr>
      <w:r>
        <w:rPr>
          <w:rFonts w:hint="eastAsia" w:ascii="宋体" w:hAnsi="宋体"/>
          <w:sz w:val="30"/>
          <w:szCs w:val="30"/>
        </w:rPr>
        <w:t>（1） 索赔方应在知道或应当知道索赔事件发生后28天内，向对方递交索赔意向通知书，并说明发生索赔事件的事由；索赔方未在前述28天内发出索赔意向通知书的，丧失要求追加</w:t>
      </w:r>
      <w:r>
        <w:rPr>
          <w:rFonts w:ascii="宋体" w:hAnsi="宋体"/>
          <w:sz w:val="30"/>
          <w:szCs w:val="30"/>
        </w:rPr>
        <w:t>/减少付款、延长缺陷责任期和（或）延长工期</w:t>
      </w:r>
      <w:r>
        <w:rPr>
          <w:rFonts w:hint="eastAsia" w:ascii="宋体" w:hAnsi="宋体"/>
          <w:sz w:val="30"/>
          <w:szCs w:val="30"/>
        </w:rPr>
        <w:t>的权利；</w:t>
      </w:r>
    </w:p>
    <w:p w14:paraId="35FB223B">
      <w:pPr>
        <w:ind w:firstLine="600"/>
        <w:rPr>
          <w:rFonts w:ascii="宋体" w:hAnsi="宋体"/>
          <w:sz w:val="30"/>
          <w:szCs w:val="30"/>
        </w:rPr>
      </w:pPr>
      <w:r>
        <w:rPr>
          <w:rFonts w:hint="eastAsia" w:ascii="宋体" w:hAnsi="宋体"/>
          <w:sz w:val="30"/>
          <w:szCs w:val="30"/>
        </w:rPr>
        <w:t>（2） 索赔方应在发出索赔意向通知书后28天内，向对方正式递交索赔报告；索赔报告应详细说明索赔理由以及要求追加的付款金额、延长缺陷责任期和（或）延长的工期，并附必要的记录和证明材料；</w:t>
      </w:r>
    </w:p>
    <w:p w14:paraId="6E76C11A">
      <w:pPr>
        <w:ind w:firstLine="600"/>
        <w:rPr>
          <w:rFonts w:ascii="宋体" w:hAnsi="宋体"/>
          <w:sz w:val="30"/>
          <w:szCs w:val="30"/>
        </w:rPr>
      </w:pPr>
      <w:r>
        <w:rPr>
          <w:rFonts w:hint="eastAsia" w:ascii="宋体" w:hAnsi="宋体"/>
          <w:sz w:val="30"/>
          <w:szCs w:val="30"/>
        </w:rPr>
        <w:t>（3） 索赔事件具有持续影响的，索赔方应每月递交延续索赔通知，说明持续影响的实际情况和记录，列出累计的追加付款金额、延长缺陷责任期和（或）工期延长天数；</w:t>
      </w:r>
    </w:p>
    <w:p w14:paraId="7957C7F5">
      <w:pPr>
        <w:ind w:firstLine="600"/>
        <w:rPr>
          <w:rFonts w:ascii="宋体" w:hAnsi="宋体"/>
          <w:sz w:val="30"/>
          <w:szCs w:val="30"/>
        </w:rPr>
      </w:pPr>
      <w:bookmarkStart w:id="708" w:name="_Ref4796178"/>
      <w:r>
        <w:rPr>
          <w:rFonts w:hint="eastAsia" w:ascii="宋体" w:hAnsi="宋体"/>
          <w:sz w:val="30"/>
          <w:szCs w:val="30"/>
        </w:rPr>
        <w:t>（4） 在索赔事件影响结束后28天内，索赔方应向对方递交最终索赔报告，说明最终要求索赔的追加付款金额、延长缺陷责任期和（或）延长的工期，并附必要的记录和证明材料。</w:t>
      </w:r>
      <w:bookmarkEnd w:id="708"/>
    </w:p>
    <w:p w14:paraId="04880202">
      <w:pPr>
        <w:ind w:firstLine="600"/>
        <w:rPr>
          <w:rFonts w:ascii="宋体" w:hAnsi="宋体"/>
          <w:sz w:val="30"/>
          <w:szCs w:val="30"/>
        </w:rPr>
      </w:pPr>
      <w:r>
        <w:rPr>
          <w:rFonts w:hint="eastAsia" w:ascii="宋体" w:hAnsi="宋体"/>
          <w:sz w:val="30"/>
          <w:szCs w:val="30"/>
        </w:rPr>
        <w:t>（5） 承包人作为索赔方时，其索赔意向通知书、索赔报告及相关索赔文件应向工程师提出；发包人作为索赔方时，其索赔意向通知书、索赔报告及相关索赔文件可自行向承包人提出或由工程师向承包人提出。</w:t>
      </w:r>
    </w:p>
    <w:p w14:paraId="0EF3C7F4">
      <w:pPr>
        <w:ind w:firstLine="600"/>
        <w:rPr>
          <w:rFonts w:ascii="宋体" w:hAnsi="宋体"/>
          <w:sz w:val="30"/>
          <w:szCs w:val="30"/>
        </w:rPr>
      </w:pPr>
      <w:bookmarkStart w:id="709" w:name="_Toc54862322"/>
      <w:bookmarkStart w:id="710" w:name="_Ref4796254"/>
      <w:bookmarkStart w:id="711" w:name="_Ref4796262"/>
      <w:r>
        <w:rPr>
          <w:rFonts w:hint="eastAsia" w:ascii="宋体" w:hAnsi="宋体"/>
          <w:sz w:val="30"/>
          <w:szCs w:val="30"/>
        </w:rPr>
        <w:t>1</w:t>
      </w:r>
      <w:r>
        <w:rPr>
          <w:rFonts w:ascii="宋体" w:hAnsi="宋体"/>
          <w:sz w:val="30"/>
          <w:szCs w:val="30"/>
        </w:rPr>
        <w:t>9.2 承包人索赔</w:t>
      </w:r>
      <w:r>
        <w:rPr>
          <w:rFonts w:hint="eastAsia" w:ascii="宋体" w:hAnsi="宋体"/>
          <w:sz w:val="30"/>
          <w:szCs w:val="30"/>
        </w:rPr>
        <w:t>的处理程序</w:t>
      </w:r>
      <w:bookmarkEnd w:id="709"/>
      <w:bookmarkEnd w:id="710"/>
      <w:bookmarkEnd w:id="711"/>
    </w:p>
    <w:p w14:paraId="29A9D04A">
      <w:pPr>
        <w:ind w:firstLine="600"/>
        <w:rPr>
          <w:rFonts w:ascii="宋体" w:hAnsi="宋体"/>
          <w:sz w:val="30"/>
          <w:szCs w:val="30"/>
        </w:rPr>
      </w:pPr>
      <w:r>
        <w:rPr>
          <w:rFonts w:hint="eastAsia" w:ascii="宋体" w:hAnsi="宋体"/>
          <w:sz w:val="30"/>
          <w:szCs w:val="30"/>
        </w:rPr>
        <w:t>（1） 工程师收到承包人提交的索赔报告后，应及时审查索赔报告的内容、查验承包人的记录和证明材料，必要时工程师可要求承包人提交全部原始记录副本。</w:t>
      </w:r>
    </w:p>
    <w:p w14:paraId="2465EB4C">
      <w:pPr>
        <w:ind w:firstLine="600"/>
        <w:rPr>
          <w:rFonts w:ascii="宋体" w:hAnsi="宋体"/>
          <w:sz w:val="30"/>
          <w:szCs w:val="30"/>
        </w:rPr>
      </w:pPr>
      <w:r>
        <w:rPr>
          <w:rFonts w:hint="eastAsia" w:ascii="宋体" w:hAnsi="宋体"/>
          <w:sz w:val="30"/>
          <w:szCs w:val="30"/>
        </w:rPr>
        <w:t>（2） 工程师应按第</w:t>
      </w:r>
      <w:r>
        <w:rPr>
          <w:rFonts w:ascii="宋体" w:hAnsi="宋体"/>
          <w:sz w:val="30"/>
          <w:szCs w:val="30"/>
        </w:rPr>
        <w:t>3.6</w:t>
      </w:r>
      <w:r>
        <w:rPr>
          <w:rFonts w:hint="eastAsia" w:ascii="宋体" w:hAnsi="宋体"/>
          <w:sz w:val="30"/>
          <w:szCs w:val="30"/>
        </w:rPr>
        <w:t>款[商定或确定]商定或确定追加的付款和（或）延长的工期，并在收到上述索赔报告或有关索赔的进一步证明材料后及时书面告知发包人，并在42天内，将发包人书面认可的索赔处理结果答复承包人。工程师在收到索赔报告或有关索赔的进一步证明材料后的42天内不予答复的，视为认可索赔。</w:t>
      </w:r>
    </w:p>
    <w:p w14:paraId="610739D3">
      <w:pPr>
        <w:ind w:firstLine="600"/>
        <w:rPr>
          <w:rFonts w:ascii="宋体" w:hAnsi="宋体"/>
          <w:sz w:val="30"/>
          <w:szCs w:val="30"/>
        </w:rPr>
      </w:pPr>
      <w:r>
        <w:rPr>
          <w:rFonts w:hint="eastAsia" w:ascii="宋体" w:hAnsi="宋体"/>
          <w:sz w:val="30"/>
          <w:szCs w:val="30"/>
        </w:rPr>
        <w:t>（3） 承包人接受索赔处理结果的，发包人应在作出索赔处理结果答复后28天内完成支付。承包人不接受索赔处理结果的，按照第</w:t>
      </w:r>
      <w:r>
        <w:rPr>
          <w:rFonts w:ascii="宋体" w:hAnsi="宋体"/>
          <w:sz w:val="30"/>
          <w:szCs w:val="30"/>
        </w:rPr>
        <w:t>20条</w:t>
      </w:r>
      <w:r>
        <w:rPr>
          <w:rFonts w:hint="eastAsia" w:ascii="宋体" w:hAnsi="宋体"/>
          <w:sz w:val="30"/>
          <w:szCs w:val="30"/>
        </w:rPr>
        <w:t>[争议解决]约定处理。</w:t>
      </w:r>
    </w:p>
    <w:p w14:paraId="026A0224">
      <w:pPr>
        <w:ind w:firstLine="600"/>
        <w:rPr>
          <w:rFonts w:ascii="宋体" w:hAnsi="宋体"/>
          <w:sz w:val="30"/>
          <w:szCs w:val="30"/>
        </w:rPr>
      </w:pPr>
      <w:bookmarkStart w:id="712" w:name="_Toc54862323"/>
      <w:r>
        <w:rPr>
          <w:rFonts w:hint="eastAsia" w:ascii="宋体" w:hAnsi="宋体"/>
          <w:sz w:val="30"/>
          <w:szCs w:val="30"/>
        </w:rPr>
        <w:t>1</w:t>
      </w:r>
      <w:r>
        <w:rPr>
          <w:rFonts w:ascii="宋体" w:hAnsi="宋体"/>
          <w:sz w:val="30"/>
          <w:szCs w:val="30"/>
        </w:rPr>
        <w:t xml:space="preserve">9.3 </w:t>
      </w:r>
      <w:r>
        <w:rPr>
          <w:rFonts w:hint="eastAsia" w:ascii="宋体" w:hAnsi="宋体"/>
          <w:sz w:val="30"/>
          <w:szCs w:val="30"/>
        </w:rPr>
        <w:t>发包人索赔的处理程序</w:t>
      </w:r>
      <w:bookmarkEnd w:id="712"/>
    </w:p>
    <w:p w14:paraId="6044E8A1">
      <w:pPr>
        <w:ind w:firstLine="600"/>
        <w:rPr>
          <w:rFonts w:ascii="宋体" w:hAnsi="宋体"/>
          <w:sz w:val="30"/>
          <w:szCs w:val="30"/>
        </w:rPr>
      </w:pPr>
      <w:r>
        <w:rPr>
          <w:rFonts w:hint="eastAsia" w:ascii="宋体" w:hAnsi="宋体"/>
          <w:sz w:val="30"/>
          <w:szCs w:val="30"/>
        </w:rPr>
        <w:t>（1） 承包人收到发包人提交的索赔报告后，应及时审查索赔报告的内容、查验发包人证明材料；</w:t>
      </w:r>
    </w:p>
    <w:p w14:paraId="6930F2A8">
      <w:pPr>
        <w:ind w:firstLine="600"/>
        <w:rPr>
          <w:rFonts w:ascii="宋体" w:hAnsi="宋体"/>
          <w:sz w:val="30"/>
          <w:szCs w:val="30"/>
        </w:rPr>
      </w:pPr>
      <w:r>
        <w:rPr>
          <w:rFonts w:hint="eastAsia" w:ascii="宋体" w:hAnsi="宋体"/>
          <w:sz w:val="30"/>
          <w:szCs w:val="30"/>
        </w:rPr>
        <w:t>（2） 承包人应在收到上述索赔报告或有关索赔的进一步证明材料后42天内，将索赔处理结果答复发包人。承包人在收到索赔通知书或有关索赔的进一步证明材料后的42天内不予答复的，视为认可索赔。</w:t>
      </w:r>
    </w:p>
    <w:p w14:paraId="23913BD2">
      <w:pPr>
        <w:ind w:firstLine="600"/>
        <w:rPr>
          <w:rFonts w:ascii="宋体" w:hAnsi="宋体"/>
          <w:sz w:val="30"/>
          <w:szCs w:val="30"/>
        </w:rPr>
      </w:pPr>
      <w:r>
        <w:rPr>
          <w:rFonts w:hint="eastAsia" w:ascii="宋体" w:hAnsi="宋体"/>
          <w:sz w:val="30"/>
          <w:szCs w:val="30"/>
        </w:rPr>
        <w:t>（3） 发包人接受索赔处理结果的，发包人可从应支付给承包人的合同价款中扣除赔付的金额或延长缺陷责任期；发包人不接受索赔处理结果的，按第</w:t>
      </w:r>
      <w:r>
        <w:rPr>
          <w:rFonts w:ascii="宋体" w:hAnsi="宋体"/>
          <w:sz w:val="30"/>
          <w:szCs w:val="30"/>
        </w:rPr>
        <w:t>20条</w:t>
      </w:r>
      <w:r>
        <w:rPr>
          <w:rFonts w:hint="eastAsia" w:ascii="宋体" w:hAnsi="宋体"/>
          <w:sz w:val="30"/>
          <w:szCs w:val="30"/>
        </w:rPr>
        <w:t>[争议解决]约定处理。</w:t>
      </w:r>
    </w:p>
    <w:p w14:paraId="1B5CB36A">
      <w:pPr>
        <w:ind w:firstLine="600"/>
        <w:rPr>
          <w:rFonts w:ascii="宋体" w:hAnsi="宋体"/>
          <w:sz w:val="30"/>
          <w:szCs w:val="30"/>
        </w:rPr>
      </w:pPr>
      <w:bookmarkStart w:id="713" w:name="_Toc54862324"/>
      <w:r>
        <w:rPr>
          <w:rFonts w:hint="eastAsia" w:ascii="宋体" w:hAnsi="宋体"/>
          <w:sz w:val="30"/>
          <w:szCs w:val="30"/>
        </w:rPr>
        <w:t>1</w:t>
      </w:r>
      <w:r>
        <w:rPr>
          <w:rFonts w:ascii="宋体" w:hAnsi="宋体"/>
          <w:sz w:val="30"/>
          <w:szCs w:val="30"/>
        </w:rPr>
        <w:t xml:space="preserve">9.4 </w:t>
      </w:r>
      <w:r>
        <w:rPr>
          <w:rFonts w:hint="eastAsia" w:ascii="宋体" w:hAnsi="宋体"/>
          <w:sz w:val="30"/>
          <w:szCs w:val="30"/>
        </w:rPr>
        <w:t>提出索赔的期限</w:t>
      </w:r>
      <w:bookmarkEnd w:id="713"/>
    </w:p>
    <w:p w14:paraId="63419028">
      <w:pPr>
        <w:ind w:firstLine="600"/>
        <w:rPr>
          <w:rFonts w:ascii="宋体" w:hAnsi="宋体"/>
          <w:sz w:val="30"/>
          <w:szCs w:val="30"/>
        </w:rPr>
      </w:pPr>
      <w:r>
        <w:rPr>
          <w:rFonts w:hint="eastAsia" w:ascii="宋体" w:hAnsi="宋体"/>
          <w:sz w:val="30"/>
          <w:szCs w:val="30"/>
        </w:rPr>
        <w:t>（1） 承包人按第</w:t>
      </w:r>
      <w:r>
        <w:rPr>
          <w:rFonts w:ascii="宋体" w:hAnsi="宋体"/>
          <w:sz w:val="30"/>
          <w:szCs w:val="30"/>
        </w:rPr>
        <w:t>14.5</w:t>
      </w:r>
      <w:r>
        <w:rPr>
          <w:rFonts w:hint="eastAsia" w:ascii="宋体" w:hAnsi="宋体"/>
          <w:sz w:val="30"/>
          <w:szCs w:val="30"/>
        </w:rPr>
        <w:t>款[竣工结算</w:t>
      </w:r>
      <w:bookmarkStart w:id="714" w:name="_Ref3826629"/>
      <w:bookmarkStart w:id="715" w:name="_Ref3826634"/>
      <w:r>
        <w:rPr>
          <w:rFonts w:hint="eastAsia" w:ascii="宋体" w:hAnsi="宋体"/>
          <w:sz w:val="30"/>
          <w:szCs w:val="30"/>
        </w:rPr>
        <w:t>]约定接收竣工付款证书后，应被认为已无权再提出在合同工程接收证书颁发前所发生的任何索赔。</w:t>
      </w:r>
    </w:p>
    <w:p w14:paraId="59AEED84">
      <w:pPr>
        <w:ind w:firstLine="600"/>
        <w:rPr>
          <w:rFonts w:ascii="宋体" w:hAnsi="宋体"/>
          <w:sz w:val="30"/>
          <w:szCs w:val="30"/>
        </w:rPr>
      </w:pPr>
      <w:r>
        <w:rPr>
          <w:rFonts w:hint="eastAsia" w:ascii="宋体" w:hAnsi="宋体"/>
          <w:sz w:val="30"/>
          <w:szCs w:val="30"/>
        </w:rPr>
        <w:t>（2） 承包人按第</w:t>
      </w:r>
      <w:r>
        <w:rPr>
          <w:rFonts w:ascii="宋体" w:hAnsi="宋体"/>
          <w:sz w:val="30"/>
          <w:szCs w:val="30"/>
        </w:rPr>
        <w:t>14.7</w:t>
      </w:r>
      <w:r>
        <w:rPr>
          <w:rFonts w:hint="eastAsia" w:ascii="宋体" w:hAnsi="宋体"/>
          <w:sz w:val="30"/>
          <w:szCs w:val="30"/>
        </w:rPr>
        <w:t>款[</w:t>
      </w:r>
      <w:r>
        <w:rPr>
          <w:rFonts w:ascii="宋体" w:hAnsi="宋体"/>
          <w:sz w:val="30"/>
          <w:szCs w:val="30"/>
        </w:rPr>
        <w:t>最终结清</w:t>
      </w:r>
      <w:r>
        <w:rPr>
          <w:rFonts w:hint="eastAsia" w:ascii="宋体" w:hAnsi="宋体"/>
          <w:sz w:val="30"/>
          <w:szCs w:val="30"/>
        </w:rPr>
        <w:t>]提交的最终结清申请单中，只限于提出工程接收证书颁发后发生的索赔。提出索赔的期限均自接受最终结清证书时终止。</w:t>
      </w:r>
      <w:bookmarkEnd w:id="714"/>
      <w:bookmarkEnd w:id="715"/>
    </w:p>
    <w:p w14:paraId="102E6E3B">
      <w:pPr>
        <w:ind w:firstLine="600"/>
        <w:rPr>
          <w:rFonts w:ascii="宋体" w:hAnsi="宋体"/>
          <w:sz w:val="30"/>
          <w:szCs w:val="30"/>
        </w:rPr>
      </w:pPr>
      <w:bookmarkStart w:id="716" w:name="_Ref532197861"/>
      <w:bookmarkStart w:id="717" w:name="_Ref532142075"/>
      <w:bookmarkStart w:id="718" w:name="_Toc54862325"/>
      <w:r>
        <w:rPr>
          <w:rFonts w:hint="eastAsia" w:ascii="宋体" w:hAnsi="宋体"/>
          <w:sz w:val="30"/>
          <w:szCs w:val="30"/>
        </w:rPr>
        <w:t>第2</w:t>
      </w:r>
      <w:r>
        <w:rPr>
          <w:rFonts w:ascii="宋体" w:hAnsi="宋体"/>
          <w:sz w:val="30"/>
          <w:szCs w:val="30"/>
        </w:rPr>
        <w:t>0</w:t>
      </w:r>
      <w:r>
        <w:rPr>
          <w:rFonts w:hint="eastAsia" w:ascii="宋体" w:hAnsi="宋体"/>
          <w:sz w:val="30"/>
          <w:szCs w:val="30"/>
        </w:rPr>
        <w:t>条 争议解决</w:t>
      </w:r>
      <w:bookmarkEnd w:id="716"/>
      <w:bookmarkEnd w:id="717"/>
      <w:bookmarkEnd w:id="718"/>
      <w:r>
        <w:rPr>
          <w:rFonts w:hint="eastAsia" w:ascii="宋体" w:hAnsi="宋体"/>
          <w:sz w:val="30"/>
          <w:szCs w:val="30"/>
        </w:rPr>
        <w:t xml:space="preserve"> </w:t>
      </w:r>
    </w:p>
    <w:p w14:paraId="3E09A50F">
      <w:pPr>
        <w:ind w:firstLine="600"/>
        <w:rPr>
          <w:rFonts w:ascii="宋体" w:hAnsi="宋体"/>
          <w:sz w:val="30"/>
          <w:szCs w:val="30"/>
        </w:rPr>
      </w:pPr>
      <w:bookmarkStart w:id="719" w:name="_Ref415507198"/>
      <w:bookmarkStart w:id="720" w:name="_Toc54862326"/>
      <w:r>
        <w:rPr>
          <w:rFonts w:hint="eastAsia" w:ascii="宋体" w:hAnsi="宋体"/>
          <w:sz w:val="30"/>
          <w:szCs w:val="30"/>
        </w:rPr>
        <w:t>2</w:t>
      </w:r>
      <w:r>
        <w:rPr>
          <w:rFonts w:ascii="宋体" w:hAnsi="宋体"/>
          <w:sz w:val="30"/>
          <w:szCs w:val="30"/>
        </w:rPr>
        <w:t xml:space="preserve">0.1 </w:t>
      </w:r>
      <w:r>
        <w:rPr>
          <w:rFonts w:hint="eastAsia" w:ascii="宋体" w:hAnsi="宋体"/>
          <w:sz w:val="30"/>
          <w:szCs w:val="30"/>
        </w:rPr>
        <w:t>和解</w:t>
      </w:r>
      <w:bookmarkEnd w:id="719"/>
      <w:bookmarkEnd w:id="720"/>
    </w:p>
    <w:p w14:paraId="3DC64BCD">
      <w:pPr>
        <w:ind w:firstLine="600"/>
        <w:rPr>
          <w:rFonts w:ascii="宋体" w:hAnsi="宋体"/>
          <w:sz w:val="30"/>
          <w:szCs w:val="30"/>
        </w:rPr>
      </w:pPr>
      <w:r>
        <w:rPr>
          <w:rFonts w:hint="eastAsia" w:ascii="宋体" w:hAnsi="宋体"/>
          <w:sz w:val="30"/>
          <w:szCs w:val="30"/>
        </w:rPr>
        <w:t>合同当事人可以就争议自行和解，自行和解达成协议的经双方签字并盖章后作为合同补充文件，双方均应遵照执行。</w:t>
      </w:r>
    </w:p>
    <w:p w14:paraId="1502E8C9">
      <w:pPr>
        <w:ind w:firstLine="600"/>
        <w:rPr>
          <w:rFonts w:ascii="宋体" w:hAnsi="宋体"/>
          <w:sz w:val="30"/>
          <w:szCs w:val="30"/>
        </w:rPr>
      </w:pPr>
      <w:bookmarkStart w:id="721" w:name="_Toc54862327"/>
      <w:r>
        <w:rPr>
          <w:rFonts w:hint="eastAsia" w:ascii="宋体" w:hAnsi="宋体"/>
          <w:sz w:val="30"/>
          <w:szCs w:val="30"/>
        </w:rPr>
        <w:t>2</w:t>
      </w:r>
      <w:r>
        <w:rPr>
          <w:rFonts w:ascii="宋体" w:hAnsi="宋体"/>
          <w:sz w:val="30"/>
          <w:szCs w:val="30"/>
        </w:rPr>
        <w:t xml:space="preserve">0.2 </w:t>
      </w:r>
      <w:r>
        <w:rPr>
          <w:rFonts w:hint="eastAsia" w:ascii="宋体" w:hAnsi="宋体"/>
          <w:sz w:val="30"/>
          <w:szCs w:val="30"/>
        </w:rPr>
        <w:t>调解</w:t>
      </w:r>
      <w:bookmarkEnd w:id="721"/>
      <w:r>
        <w:rPr>
          <w:rFonts w:hint="eastAsia" w:ascii="宋体" w:hAnsi="宋体"/>
          <w:sz w:val="30"/>
          <w:szCs w:val="30"/>
        </w:rPr>
        <w:t xml:space="preserve"> </w:t>
      </w:r>
    </w:p>
    <w:p w14:paraId="70F1F3D4">
      <w:pPr>
        <w:ind w:firstLine="600"/>
        <w:rPr>
          <w:rFonts w:ascii="宋体" w:hAnsi="宋体"/>
          <w:sz w:val="30"/>
          <w:szCs w:val="30"/>
        </w:rPr>
      </w:pPr>
      <w:r>
        <w:rPr>
          <w:rFonts w:hint="eastAsia" w:ascii="宋体" w:hAnsi="宋体"/>
          <w:sz w:val="30"/>
          <w:szCs w:val="30"/>
        </w:rPr>
        <w:t>合同当事人可以就争议请求建设行政主管部门、行业协会或其他第三方进行调解，调解达成协议的，经双方签字盖章后作为合同补充文件，双方均应遵照执行。</w:t>
      </w:r>
    </w:p>
    <w:p w14:paraId="22FBF7C3">
      <w:pPr>
        <w:ind w:firstLine="600"/>
        <w:rPr>
          <w:rFonts w:ascii="宋体" w:hAnsi="宋体"/>
          <w:sz w:val="30"/>
          <w:szCs w:val="30"/>
        </w:rPr>
      </w:pPr>
      <w:bookmarkStart w:id="722" w:name="_Ref532221527"/>
      <w:bookmarkStart w:id="723" w:name="_Toc54862328"/>
      <w:bookmarkStart w:id="724" w:name="_Ref532221532"/>
      <w:r>
        <w:rPr>
          <w:rFonts w:hint="eastAsia" w:ascii="宋体" w:hAnsi="宋体"/>
          <w:sz w:val="30"/>
          <w:szCs w:val="30"/>
        </w:rPr>
        <w:t>2</w:t>
      </w:r>
      <w:r>
        <w:rPr>
          <w:rFonts w:ascii="宋体" w:hAnsi="宋体"/>
          <w:sz w:val="30"/>
          <w:szCs w:val="30"/>
        </w:rPr>
        <w:t xml:space="preserve">0.3 </w:t>
      </w:r>
      <w:r>
        <w:rPr>
          <w:rFonts w:hint="eastAsia" w:ascii="宋体" w:hAnsi="宋体"/>
          <w:sz w:val="30"/>
          <w:szCs w:val="30"/>
        </w:rPr>
        <w:t>争议评审</w:t>
      </w:r>
      <w:bookmarkEnd w:id="722"/>
      <w:bookmarkEnd w:id="723"/>
      <w:bookmarkEnd w:id="724"/>
    </w:p>
    <w:p w14:paraId="70FF2E12">
      <w:pPr>
        <w:ind w:firstLine="600"/>
        <w:rPr>
          <w:rFonts w:ascii="宋体" w:hAnsi="宋体"/>
          <w:sz w:val="30"/>
          <w:szCs w:val="30"/>
        </w:rPr>
      </w:pPr>
      <w:r>
        <w:rPr>
          <w:rFonts w:hint="eastAsia" w:ascii="宋体" w:hAnsi="宋体"/>
          <w:sz w:val="30"/>
          <w:szCs w:val="30"/>
        </w:rPr>
        <w:t>合同当事人在专用合同条件中约定采取争议评审方式及评审规则解决争议的，按下列约定执行：</w:t>
      </w:r>
    </w:p>
    <w:p w14:paraId="67F3E71E">
      <w:pPr>
        <w:ind w:firstLine="600"/>
        <w:rPr>
          <w:rFonts w:ascii="宋体" w:hAnsi="宋体"/>
          <w:sz w:val="30"/>
          <w:szCs w:val="30"/>
        </w:rPr>
      </w:pPr>
      <w:r>
        <w:rPr>
          <w:rFonts w:hint="eastAsia" w:ascii="宋体" w:hAnsi="宋体"/>
          <w:sz w:val="30"/>
          <w:szCs w:val="30"/>
        </w:rPr>
        <w:t>2</w:t>
      </w:r>
      <w:r>
        <w:rPr>
          <w:rFonts w:ascii="宋体" w:hAnsi="宋体"/>
          <w:sz w:val="30"/>
          <w:szCs w:val="30"/>
        </w:rPr>
        <w:t xml:space="preserve">0.3.1 </w:t>
      </w:r>
      <w:r>
        <w:rPr>
          <w:rFonts w:hint="eastAsia" w:ascii="宋体" w:hAnsi="宋体"/>
          <w:sz w:val="30"/>
          <w:szCs w:val="30"/>
        </w:rPr>
        <w:t>争议评审小组的确定</w:t>
      </w:r>
    </w:p>
    <w:p w14:paraId="0C2C5195">
      <w:pPr>
        <w:ind w:firstLine="600"/>
        <w:rPr>
          <w:rFonts w:ascii="宋体" w:hAnsi="宋体"/>
          <w:sz w:val="30"/>
          <w:szCs w:val="30"/>
        </w:rPr>
      </w:pPr>
      <w:r>
        <w:rPr>
          <w:rFonts w:hint="eastAsia" w:ascii="宋体" w:hAnsi="宋体"/>
          <w:sz w:val="30"/>
          <w:szCs w:val="30"/>
        </w:rPr>
        <w:t>合同当事人可以共同选择一名或三名争议评审员，组成争议评审小组。如专用合同条件未对成员人数进行约定，则应由三名成员组成。除专用合同条件另有约定外，合同当事人应当自合同订立后28天内，或者争议发生后14天内，选定争议评审员。</w:t>
      </w:r>
    </w:p>
    <w:p w14:paraId="45ECA1B0">
      <w:pPr>
        <w:ind w:firstLine="600"/>
        <w:rPr>
          <w:rFonts w:ascii="宋体" w:hAnsi="宋体"/>
          <w:sz w:val="30"/>
          <w:szCs w:val="30"/>
        </w:rPr>
      </w:pPr>
      <w:r>
        <w:rPr>
          <w:rFonts w:hint="eastAsia" w:ascii="宋体" w:hAnsi="宋体"/>
          <w:sz w:val="30"/>
          <w:szCs w:val="30"/>
        </w:rPr>
        <w:t>选择一名争议评审员的，由合同当事人共同确定；选择三名争议评审员的，各自选定一名，第三名成员由合同当事人共同确定或由合同当事人委托已选定的争议评审员共同确定，为首席争议评审员。争议评审员为一人且合同当事人未能达成一致的，或争议评审员为三人且合同当事人就首席争议评审员未能达成一致的，由专用合同条件约定的评审机构指定。</w:t>
      </w:r>
    </w:p>
    <w:p w14:paraId="0CACC5FD">
      <w:pPr>
        <w:ind w:firstLine="600"/>
        <w:rPr>
          <w:rFonts w:ascii="宋体" w:hAnsi="宋体"/>
          <w:sz w:val="30"/>
          <w:szCs w:val="30"/>
        </w:rPr>
      </w:pPr>
      <w:r>
        <w:rPr>
          <w:rFonts w:hint="eastAsia" w:ascii="宋体" w:hAnsi="宋体"/>
          <w:sz w:val="30"/>
          <w:szCs w:val="30"/>
        </w:rPr>
        <w:t>除专用合同条件另有约定外，争议评审员报酬由发包人和承包人各承担一半。</w:t>
      </w:r>
    </w:p>
    <w:p w14:paraId="0562B793">
      <w:pPr>
        <w:ind w:firstLine="600"/>
        <w:rPr>
          <w:rFonts w:ascii="宋体" w:hAnsi="宋体"/>
          <w:sz w:val="30"/>
          <w:szCs w:val="30"/>
        </w:rPr>
      </w:pPr>
      <w:bookmarkStart w:id="725" w:name="_Ref532287270"/>
      <w:r>
        <w:rPr>
          <w:rFonts w:hint="eastAsia" w:ascii="宋体" w:hAnsi="宋体"/>
          <w:sz w:val="30"/>
          <w:szCs w:val="30"/>
        </w:rPr>
        <w:t>2</w:t>
      </w:r>
      <w:r>
        <w:rPr>
          <w:rFonts w:ascii="宋体" w:hAnsi="宋体"/>
          <w:sz w:val="30"/>
          <w:szCs w:val="30"/>
        </w:rPr>
        <w:t xml:space="preserve">0.3.2 </w:t>
      </w:r>
      <w:r>
        <w:rPr>
          <w:rFonts w:hint="eastAsia" w:ascii="宋体" w:hAnsi="宋体"/>
          <w:sz w:val="30"/>
          <w:szCs w:val="30"/>
        </w:rPr>
        <w:t>争议的避免</w:t>
      </w:r>
      <w:bookmarkEnd w:id="725"/>
    </w:p>
    <w:p w14:paraId="107AC2E1">
      <w:pPr>
        <w:ind w:firstLine="600"/>
        <w:rPr>
          <w:rFonts w:ascii="宋体" w:hAnsi="宋体"/>
          <w:sz w:val="30"/>
          <w:szCs w:val="30"/>
        </w:rPr>
      </w:pPr>
      <w:r>
        <w:rPr>
          <w:rFonts w:hint="eastAsia" w:ascii="宋体" w:hAnsi="宋体"/>
          <w:sz w:val="30"/>
          <w:szCs w:val="30"/>
        </w:rPr>
        <w:t>合同当事人协商一致，可以共同书面请求争议评审小组，就合同履行过程中可能出现争议的情况提供协助或进行非正式讨论，争议评审小组应给出公正的意见或建议。</w:t>
      </w:r>
    </w:p>
    <w:p w14:paraId="4FB2940B">
      <w:pPr>
        <w:ind w:firstLine="600"/>
        <w:rPr>
          <w:rFonts w:ascii="宋体" w:hAnsi="宋体"/>
          <w:sz w:val="30"/>
          <w:szCs w:val="30"/>
        </w:rPr>
      </w:pPr>
      <w:r>
        <w:rPr>
          <w:rFonts w:hint="eastAsia" w:ascii="宋体" w:hAnsi="宋体"/>
          <w:sz w:val="30"/>
          <w:szCs w:val="30"/>
        </w:rPr>
        <w:t>此类协助或非正式讨论可在任何会议、施工现场视察或其他场合进行，并且除专用合同条件另有约定外，发包人和承包人均应出席。</w:t>
      </w:r>
    </w:p>
    <w:p w14:paraId="5A4993A8">
      <w:pPr>
        <w:ind w:firstLine="600"/>
        <w:rPr>
          <w:rFonts w:ascii="宋体" w:hAnsi="宋体"/>
          <w:sz w:val="30"/>
          <w:szCs w:val="30"/>
        </w:rPr>
      </w:pPr>
      <w:r>
        <w:rPr>
          <w:rFonts w:hint="eastAsia" w:ascii="宋体" w:hAnsi="宋体"/>
          <w:sz w:val="30"/>
          <w:szCs w:val="30"/>
        </w:rPr>
        <w:t>争议评审小组在此类非正式讨论上给出的任何意见或建议，无论是口头还是书面的，对发包人和承包人不具有约束力，争议评审小组在之后的争议评审程序或决定中也不受此类意见或建议的约束。</w:t>
      </w:r>
    </w:p>
    <w:p w14:paraId="30AD9EFE">
      <w:pPr>
        <w:ind w:firstLine="600"/>
        <w:rPr>
          <w:rFonts w:ascii="宋体" w:hAnsi="宋体"/>
          <w:sz w:val="30"/>
          <w:szCs w:val="30"/>
        </w:rPr>
      </w:pPr>
      <w:bookmarkStart w:id="726" w:name="_Ref4695594"/>
      <w:r>
        <w:rPr>
          <w:rFonts w:hint="eastAsia" w:ascii="宋体" w:hAnsi="宋体"/>
          <w:sz w:val="30"/>
          <w:szCs w:val="30"/>
        </w:rPr>
        <w:t>2</w:t>
      </w:r>
      <w:r>
        <w:rPr>
          <w:rFonts w:ascii="宋体" w:hAnsi="宋体"/>
          <w:sz w:val="30"/>
          <w:szCs w:val="30"/>
        </w:rPr>
        <w:t xml:space="preserve">0.3.3 </w:t>
      </w:r>
      <w:r>
        <w:rPr>
          <w:rFonts w:hint="eastAsia" w:ascii="宋体" w:hAnsi="宋体"/>
          <w:sz w:val="30"/>
          <w:szCs w:val="30"/>
        </w:rPr>
        <w:t>争议评审小组的决定</w:t>
      </w:r>
      <w:bookmarkEnd w:id="726"/>
    </w:p>
    <w:p w14:paraId="64D26AD6">
      <w:pPr>
        <w:ind w:firstLine="600"/>
        <w:rPr>
          <w:rFonts w:ascii="宋体" w:hAnsi="宋体"/>
          <w:sz w:val="30"/>
          <w:szCs w:val="30"/>
        </w:rPr>
      </w:pPr>
      <w:r>
        <w:rPr>
          <w:rFonts w:hint="eastAsia" w:ascii="宋体" w:hAnsi="宋体"/>
          <w:sz w:val="30"/>
          <w:szCs w:val="30"/>
        </w:rPr>
        <w:t>合同当事人可在任何时间将与合同有关的任何争议共同提请争议评审小组进行评审。争议评审小组应秉持客观、公正原则，充分听取合同当事人的意见，依据相关法律、规范、标准、案例经验及商业惯例等，自收到争议评审申请报告后14天或争议评审小组建议并经双方同意的其他期限内作出书面决定，并说明理由。合同当事人可以在专用合同条件中对本项事项另行约定。</w:t>
      </w:r>
    </w:p>
    <w:p w14:paraId="48A83E30">
      <w:pPr>
        <w:ind w:firstLine="600"/>
        <w:rPr>
          <w:rFonts w:ascii="宋体" w:hAnsi="宋体"/>
          <w:sz w:val="30"/>
          <w:szCs w:val="30"/>
        </w:rPr>
      </w:pPr>
      <w:r>
        <w:rPr>
          <w:rFonts w:hint="eastAsia" w:ascii="宋体" w:hAnsi="宋体"/>
          <w:sz w:val="30"/>
          <w:szCs w:val="30"/>
        </w:rPr>
        <w:t>2</w:t>
      </w:r>
      <w:r>
        <w:rPr>
          <w:rFonts w:ascii="宋体" w:hAnsi="宋体"/>
          <w:sz w:val="30"/>
          <w:szCs w:val="30"/>
        </w:rPr>
        <w:t xml:space="preserve">0.3.4 </w:t>
      </w:r>
      <w:r>
        <w:rPr>
          <w:rFonts w:hint="eastAsia" w:ascii="宋体" w:hAnsi="宋体"/>
          <w:sz w:val="30"/>
          <w:szCs w:val="30"/>
        </w:rPr>
        <w:t>争议评审小组决定的效力</w:t>
      </w:r>
    </w:p>
    <w:p w14:paraId="6B6CB402">
      <w:pPr>
        <w:ind w:firstLine="600"/>
        <w:rPr>
          <w:rFonts w:ascii="宋体" w:hAnsi="宋体"/>
          <w:sz w:val="30"/>
          <w:szCs w:val="30"/>
        </w:rPr>
      </w:pPr>
      <w:r>
        <w:rPr>
          <w:rFonts w:hint="eastAsia" w:ascii="宋体" w:hAnsi="宋体"/>
          <w:sz w:val="30"/>
          <w:szCs w:val="30"/>
        </w:rPr>
        <w:t>争议评审小组作出的书面决定经合同当事人签字确认后，对双方具有约束力，双方应遵照执行。</w:t>
      </w:r>
    </w:p>
    <w:p w14:paraId="31DFFCA0">
      <w:pPr>
        <w:ind w:firstLine="600"/>
        <w:rPr>
          <w:rFonts w:ascii="宋体" w:hAnsi="宋体"/>
          <w:sz w:val="30"/>
          <w:szCs w:val="30"/>
        </w:rPr>
      </w:pPr>
      <w:r>
        <w:rPr>
          <w:rFonts w:hint="eastAsia" w:ascii="宋体" w:hAnsi="宋体"/>
          <w:sz w:val="30"/>
          <w:szCs w:val="30"/>
        </w:rPr>
        <w:t>任何一方当事人不接受争议评审小组决定或不履行争议评审小组决定的，双方可选择采用其他争议解决方式。</w:t>
      </w:r>
    </w:p>
    <w:p w14:paraId="46D30222">
      <w:pPr>
        <w:ind w:firstLine="600"/>
        <w:rPr>
          <w:rFonts w:ascii="宋体" w:hAnsi="宋体"/>
          <w:sz w:val="30"/>
          <w:szCs w:val="30"/>
        </w:rPr>
      </w:pPr>
      <w:r>
        <w:rPr>
          <w:rFonts w:hint="eastAsia" w:ascii="宋体" w:hAnsi="宋体"/>
          <w:sz w:val="30"/>
          <w:szCs w:val="30"/>
        </w:rPr>
        <w:t>任何一方当事人不接受争议评审小组的决定，并不影响暂时执行争议评审小组的决定，直到在后续的采用其他争议解决方式中对争议评审小组的决定进行了改变。</w:t>
      </w:r>
    </w:p>
    <w:p w14:paraId="67230069">
      <w:pPr>
        <w:ind w:firstLine="600"/>
        <w:rPr>
          <w:rFonts w:ascii="宋体" w:hAnsi="宋体"/>
          <w:sz w:val="30"/>
          <w:szCs w:val="30"/>
        </w:rPr>
      </w:pPr>
      <w:bookmarkStart w:id="727" w:name="_Ref532221752"/>
      <w:bookmarkStart w:id="728" w:name="_Toc54862329"/>
      <w:bookmarkStart w:id="729" w:name="_Ref532221748"/>
      <w:r>
        <w:rPr>
          <w:rFonts w:hint="eastAsia" w:ascii="宋体" w:hAnsi="宋体"/>
          <w:sz w:val="30"/>
          <w:szCs w:val="30"/>
        </w:rPr>
        <w:t>2</w:t>
      </w:r>
      <w:r>
        <w:rPr>
          <w:rFonts w:ascii="宋体" w:hAnsi="宋体"/>
          <w:sz w:val="30"/>
          <w:szCs w:val="30"/>
        </w:rPr>
        <w:t xml:space="preserve">0.4 </w:t>
      </w:r>
      <w:r>
        <w:rPr>
          <w:rFonts w:hint="eastAsia" w:ascii="宋体" w:hAnsi="宋体"/>
          <w:sz w:val="30"/>
          <w:szCs w:val="30"/>
        </w:rPr>
        <w:t>仲裁或诉讼</w:t>
      </w:r>
      <w:bookmarkEnd w:id="727"/>
      <w:bookmarkEnd w:id="728"/>
      <w:bookmarkEnd w:id="729"/>
    </w:p>
    <w:p w14:paraId="615BF6C4">
      <w:pPr>
        <w:ind w:firstLine="600"/>
        <w:rPr>
          <w:rFonts w:ascii="宋体" w:hAnsi="宋体"/>
          <w:sz w:val="30"/>
          <w:szCs w:val="30"/>
        </w:rPr>
      </w:pPr>
      <w:r>
        <w:rPr>
          <w:rFonts w:hint="eastAsia" w:ascii="宋体" w:hAnsi="宋体"/>
          <w:sz w:val="30"/>
          <w:szCs w:val="30"/>
        </w:rPr>
        <w:t>因合同及合同有关事项产生的争议，合同当事人可以在专用合同条件中约定以下一种方式解决争议：</w:t>
      </w:r>
    </w:p>
    <w:p w14:paraId="6F198437">
      <w:pPr>
        <w:ind w:firstLine="600"/>
        <w:rPr>
          <w:rFonts w:ascii="宋体" w:hAnsi="宋体"/>
          <w:sz w:val="30"/>
          <w:szCs w:val="30"/>
        </w:rPr>
      </w:pPr>
      <w:r>
        <w:rPr>
          <w:rFonts w:hint="eastAsia" w:ascii="宋体" w:hAnsi="宋体"/>
          <w:sz w:val="30"/>
          <w:szCs w:val="30"/>
        </w:rPr>
        <w:t>（1） 向约定的仲裁委员会申请仲裁；</w:t>
      </w:r>
    </w:p>
    <w:p w14:paraId="495ABA89">
      <w:pPr>
        <w:ind w:firstLine="600"/>
        <w:rPr>
          <w:rFonts w:ascii="宋体" w:hAnsi="宋体"/>
          <w:sz w:val="30"/>
          <w:szCs w:val="30"/>
        </w:rPr>
      </w:pPr>
      <w:r>
        <w:rPr>
          <w:rFonts w:hint="eastAsia" w:ascii="宋体" w:hAnsi="宋体"/>
          <w:sz w:val="30"/>
          <w:szCs w:val="30"/>
        </w:rPr>
        <w:t>（2） 向有管辖权的人民法院起诉。</w:t>
      </w:r>
    </w:p>
    <w:p w14:paraId="490B5C2C">
      <w:pPr>
        <w:ind w:firstLine="600"/>
        <w:rPr>
          <w:rFonts w:ascii="宋体" w:hAnsi="宋体"/>
          <w:sz w:val="30"/>
          <w:szCs w:val="30"/>
        </w:rPr>
      </w:pPr>
      <w:bookmarkStart w:id="730" w:name="_Toc54862330"/>
      <w:r>
        <w:rPr>
          <w:rFonts w:hint="eastAsia" w:ascii="宋体" w:hAnsi="宋体"/>
          <w:sz w:val="30"/>
          <w:szCs w:val="30"/>
        </w:rPr>
        <w:t>2</w:t>
      </w:r>
      <w:r>
        <w:rPr>
          <w:rFonts w:ascii="宋体" w:hAnsi="宋体"/>
          <w:sz w:val="30"/>
          <w:szCs w:val="30"/>
        </w:rPr>
        <w:t xml:space="preserve">0.5 </w:t>
      </w:r>
      <w:r>
        <w:rPr>
          <w:rFonts w:hint="eastAsia" w:ascii="宋体" w:hAnsi="宋体"/>
          <w:sz w:val="30"/>
          <w:szCs w:val="30"/>
        </w:rPr>
        <w:t>争议解决条款效力</w:t>
      </w:r>
      <w:bookmarkEnd w:id="730"/>
    </w:p>
    <w:p w14:paraId="4E707CAA">
      <w:pPr>
        <w:ind w:firstLine="600"/>
        <w:rPr>
          <w:rFonts w:ascii="宋体" w:hAnsi="宋体"/>
          <w:sz w:val="30"/>
          <w:szCs w:val="30"/>
        </w:rPr>
      </w:pPr>
      <w:r>
        <w:rPr>
          <w:rFonts w:hint="eastAsia" w:ascii="宋体" w:hAnsi="宋体"/>
          <w:sz w:val="30"/>
          <w:szCs w:val="30"/>
        </w:rPr>
        <w:t>合同有关争议解决的条款独立存在，合同的不生效、无效、被撤销或者终止的，不影响合同中有关争议解决条款的效力。</w:t>
      </w:r>
    </w:p>
    <w:p w14:paraId="485E2BDD">
      <w:pPr>
        <w:ind w:firstLine="600"/>
        <w:rPr>
          <w:rFonts w:ascii="宋体" w:hAnsi="宋体"/>
          <w:sz w:val="30"/>
          <w:szCs w:val="30"/>
        </w:rPr>
      </w:pPr>
      <w:r>
        <w:rPr>
          <w:rFonts w:ascii="宋体" w:hAnsi="宋体"/>
          <w:sz w:val="30"/>
          <w:szCs w:val="30"/>
        </w:rPr>
        <w:br w:type="page"/>
      </w:r>
    </w:p>
    <w:p w14:paraId="4910E338">
      <w:pPr>
        <w:rPr>
          <w:rFonts w:ascii="宋体" w:hAnsi="宋体"/>
          <w:sz w:val="30"/>
          <w:szCs w:val="30"/>
        </w:rPr>
      </w:pPr>
      <w:bookmarkStart w:id="731" w:name="_Toc54862331"/>
      <w:r>
        <w:rPr>
          <w:rFonts w:hint="eastAsia" w:ascii="宋体" w:hAnsi="宋体"/>
          <w:sz w:val="30"/>
          <w:szCs w:val="30"/>
        </w:rPr>
        <w:t>第三部分</w:t>
      </w:r>
      <w:r>
        <w:rPr>
          <w:rFonts w:ascii="宋体" w:hAnsi="宋体"/>
          <w:sz w:val="30"/>
          <w:szCs w:val="30"/>
        </w:rPr>
        <w:t xml:space="preserve"> </w:t>
      </w:r>
      <w:r>
        <w:rPr>
          <w:rFonts w:hint="eastAsia" w:ascii="宋体" w:hAnsi="宋体"/>
          <w:sz w:val="30"/>
          <w:szCs w:val="30"/>
        </w:rPr>
        <w:t>专用合同条件</w:t>
      </w:r>
      <w:bookmarkEnd w:id="731"/>
    </w:p>
    <w:p w14:paraId="56E2ABE9">
      <w:pPr>
        <w:rPr>
          <w:rFonts w:ascii="宋体" w:hAnsi="宋体"/>
          <w:sz w:val="30"/>
          <w:szCs w:val="30"/>
        </w:rPr>
      </w:pPr>
      <w:bookmarkStart w:id="732" w:name="_Toc54862332"/>
      <w:r>
        <w:rPr>
          <w:rFonts w:hint="eastAsia" w:ascii="宋体" w:hAnsi="宋体"/>
          <w:sz w:val="30"/>
          <w:szCs w:val="30"/>
        </w:rPr>
        <w:t>第</w:t>
      </w:r>
      <w:r>
        <w:rPr>
          <w:rFonts w:ascii="宋体" w:hAnsi="宋体"/>
          <w:sz w:val="30"/>
          <w:szCs w:val="30"/>
        </w:rPr>
        <w:t>1条</w:t>
      </w:r>
      <w:r>
        <w:rPr>
          <w:rFonts w:hint="eastAsia" w:ascii="宋体" w:hAnsi="宋体"/>
          <w:sz w:val="30"/>
          <w:szCs w:val="30"/>
        </w:rPr>
        <w:t xml:space="preserve"> 一般约定</w:t>
      </w:r>
      <w:bookmarkEnd w:id="732"/>
    </w:p>
    <w:p w14:paraId="647B108F">
      <w:pPr>
        <w:rPr>
          <w:rFonts w:ascii="宋体" w:hAnsi="宋体"/>
          <w:sz w:val="30"/>
          <w:szCs w:val="30"/>
        </w:rPr>
      </w:pPr>
      <w:r>
        <w:rPr>
          <w:rFonts w:ascii="宋体" w:hAnsi="宋体"/>
          <w:sz w:val="30"/>
          <w:szCs w:val="30"/>
        </w:rPr>
        <w:t xml:space="preserve">1.1 </w:t>
      </w:r>
      <w:r>
        <w:rPr>
          <w:rFonts w:hint="eastAsia" w:ascii="宋体" w:hAnsi="宋体"/>
          <w:sz w:val="30"/>
          <w:szCs w:val="30"/>
        </w:rPr>
        <w:t>词语定义和解释</w:t>
      </w:r>
    </w:p>
    <w:p w14:paraId="781FEBA8">
      <w:pPr>
        <w:rPr>
          <w:rFonts w:ascii="宋体" w:hAnsi="宋体"/>
          <w:sz w:val="30"/>
          <w:szCs w:val="30"/>
        </w:rPr>
      </w:pPr>
      <w:r>
        <w:rPr>
          <w:rFonts w:ascii="宋体" w:hAnsi="宋体"/>
          <w:sz w:val="30"/>
          <w:szCs w:val="30"/>
        </w:rPr>
        <w:t xml:space="preserve">1.1.1 </w:t>
      </w:r>
      <w:r>
        <w:rPr>
          <w:rFonts w:hint="eastAsia" w:ascii="宋体" w:hAnsi="宋体"/>
          <w:sz w:val="30"/>
          <w:szCs w:val="30"/>
        </w:rPr>
        <w:t>合同</w:t>
      </w:r>
    </w:p>
    <w:p w14:paraId="11EB426B">
      <w:pPr>
        <w:rPr>
          <w:rFonts w:ascii="宋体" w:hAnsi="宋体"/>
          <w:sz w:val="30"/>
          <w:szCs w:val="30"/>
        </w:rPr>
      </w:pPr>
      <w:r>
        <w:rPr>
          <w:rFonts w:ascii="宋体" w:hAnsi="宋体"/>
          <w:sz w:val="30"/>
          <w:szCs w:val="30"/>
        </w:rPr>
        <w:t xml:space="preserve">1.1.1.10 </w:t>
      </w:r>
      <w:r>
        <w:rPr>
          <w:rFonts w:hint="eastAsia" w:ascii="宋体" w:hAnsi="宋体"/>
          <w:sz w:val="30"/>
          <w:szCs w:val="30"/>
        </w:rPr>
        <w:t>其他合同文件：</w:t>
      </w:r>
      <w:r>
        <w:rPr>
          <w:rFonts w:ascii="宋体" w:hAnsi="宋体"/>
          <w:sz w:val="30"/>
          <w:szCs w:val="30"/>
        </w:rPr>
        <w:t xml:space="preserve">                           </w:t>
      </w:r>
      <w:r>
        <w:rPr>
          <w:rFonts w:hint="eastAsia" w:ascii="宋体" w:hAnsi="宋体"/>
          <w:sz w:val="30"/>
          <w:szCs w:val="30"/>
        </w:rPr>
        <w:t>。</w:t>
      </w:r>
    </w:p>
    <w:p w14:paraId="43BA15C1">
      <w:pPr>
        <w:rPr>
          <w:rFonts w:ascii="宋体" w:hAnsi="宋体"/>
          <w:sz w:val="30"/>
          <w:szCs w:val="30"/>
        </w:rPr>
      </w:pPr>
      <w:r>
        <w:rPr>
          <w:rFonts w:ascii="宋体" w:hAnsi="宋体"/>
          <w:sz w:val="30"/>
          <w:szCs w:val="30"/>
        </w:rPr>
        <w:t xml:space="preserve">1.1.3 </w:t>
      </w:r>
      <w:r>
        <w:rPr>
          <w:rFonts w:hint="eastAsia" w:ascii="宋体" w:hAnsi="宋体"/>
          <w:sz w:val="30"/>
          <w:szCs w:val="30"/>
        </w:rPr>
        <w:t>工程和设备</w:t>
      </w:r>
    </w:p>
    <w:p w14:paraId="0519B668">
      <w:pPr>
        <w:rPr>
          <w:rFonts w:ascii="宋体" w:hAnsi="宋体"/>
          <w:sz w:val="30"/>
          <w:szCs w:val="30"/>
        </w:rPr>
      </w:pPr>
      <w:r>
        <w:rPr>
          <w:rFonts w:ascii="宋体" w:hAnsi="宋体"/>
          <w:sz w:val="30"/>
          <w:szCs w:val="30"/>
        </w:rPr>
        <w:t xml:space="preserve">1.1.3.5 </w:t>
      </w:r>
      <w:r>
        <w:rPr>
          <w:rFonts w:hint="eastAsia" w:ascii="宋体" w:hAnsi="宋体"/>
          <w:sz w:val="30"/>
          <w:szCs w:val="30"/>
        </w:rPr>
        <w:t>单位/区段工程的范围：</w:t>
      </w:r>
      <w:r>
        <w:rPr>
          <w:rFonts w:ascii="宋体" w:hAnsi="宋体"/>
          <w:sz w:val="30"/>
          <w:szCs w:val="30"/>
        </w:rPr>
        <w:t xml:space="preserve">                     </w:t>
      </w:r>
      <w:r>
        <w:rPr>
          <w:rFonts w:hint="eastAsia" w:ascii="宋体" w:hAnsi="宋体"/>
          <w:sz w:val="30"/>
          <w:szCs w:val="30"/>
        </w:rPr>
        <w:t>。</w:t>
      </w:r>
    </w:p>
    <w:p w14:paraId="485213F0">
      <w:pPr>
        <w:rPr>
          <w:rFonts w:ascii="宋体" w:hAnsi="宋体"/>
          <w:sz w:val="30"/>
          <w:szCs w:val="30"/>
        </w:rPr>
      </w:pPr>
      <w:r>
        <w:rPr>
          <w:rFonts w:ascii="宋体" w:hAnsi="宋体"/>
          <w:sz w:val="30"/>
          <w:szCs w:val="30"/>
        </w:rPr>
        <w:t xml:space="preserve">1.1.3.9 </w:t>
      </w:r>
      <w:r>
        <w:rPr>
          <w:rFonts w:hint="eastAsia" w:ascii="宋体" w:hAnsi="宋体"/>
          <w:sz w:val="30"/>
          <w:szCs w:val="30"/>
        </w:rPr>
        <w:t>作为施工场所组成部分的其他场所包括：</w:t>
      </w:r>
      <w:r>
        <w:rPr>
          <w:rFonts w:ascii="宋体" w:hAnsi="宋体"/>
          <w:sz w:val="30"/>
          <w:szCs w:val="30"/>
        </w:rPr>
        <w:t xml:space="preserve">       </w:t>
      </w:r>
      <w:r>
        <w:rPr>
          <w:rFonts w:hint="eastAsia" w:ascii="宋体" w:hAnsi="宋体"/>
          <w:sz w:val="30"/>
          <w:szCs w:val="30"/>
        </w:rPr>
        <w:t>。</w:t>
      </w:r>
    </w:p>
    <w:p w14:paraId="3032E4E7">
      <w:pPr>
        <w:rPr>
          <w:rFonts w:ascii="宋体" w:hAnsi="宋体"/>
          <w:sz w:val="30"/>
          <w:szCs w:val="30"/>
        </w:rPr>
      </w:pPr>
      <w:r>
        <w:rPr>
          <w:rFonts w:ascii="宋体" w:hAnsi="宋体"/>
          <w:sz w:val="30"/>
          <w:szCs w:val="30"/>
        </w:rPr>
        <w:t xml:space="preserve">1.1.3.10 </w:t>
      </w:r>
      <w:r>
        <w:rPr>
          <w:rFonts w:hint="eastAsia" w:ascii="宋体" w:hAnsi="宋体"/>
          <w:sz w:val="30"/>
          <w:szCs w:val="30"/>
        </w:rPr>
        <w:t>永久占地包括：</w:t>
      </w:r>
      <w:r>
        <w:rPr>
          <w:rFonts w:ascii="宋体" w:hAnsi="宋体"/>
          <w:sz w:val="30"/>
          <w:szCs w:val="30"/>
        </w:rPr>
        <w:t xml:space="preserve">                           </w:t>
      </w:r>
      <w:r>
        <w:rPr>
          <w:rFonts w:hint="eastAsia" w:ascii="宋体" w:hAnsi="宋体"/>
          <w:sz w:val="30"/>
          <w:szCs w:val="30"/>
        </w:rPr>
        <w:t>。</w:t>
      </w:r>
    </w:p>
    <w:p w14:paraId="35627E87">
      <w:pPr>
        <w:rPr>
          <w:rFonts w:ascii="宋体" w:hAnsi="宋体"/>
          <w:sz w:val="30"/>
          <w:szCs w:val="30"/>
        </w:rPr>
      </w:pPr>
      <w:r>
        <w:rPr>
          <w:rFonts w:ascii="宋体" w:hAnsi="宋体"/>
          <w:sz w:val="30"/>
          <w:szCs w:val="30"/>
        </w:rPr>
        <w:t xml:space="preserve">1.1.3.11 </w:t>
      </w:r>
      <w:r>
        <w:rPr>
          <w:rFonts w:hint="eastAsia" w:ascii="宋体" w:hAnsi="宋体"/>
          <w:sz w:val="30"/>
          <w:szCs w:val="30"/>
        </w:rPr>
        <w:t>临时占地包括：</w:t>
      </w:r>
      <w:r>
        <w:rPr>
          <w:rFonts w:ascii="宋体" w:hAnsi="宋体"/>
          <w:sz w:val="30"/>
          <w:szCs w:val="30"/>
        </w:rPr>
        <w:t xml:space="preserve">                           </w:t>
      </w:r>
      <w:r>
        <w:rPr>
          <w:rFonts w:hint="eastAsia" w:ascii="宋体" w:hAnsi="宋体"/>
          <w:sz w:val="30"/>
          <w:szCs w:val="30"/>
        </w:rPr>
        <w:t>。</w:t>
      </w:r>
    </w:p>
    <w:p w14:paraId="31E5A5BC">
      <w:pPr>
        <w:rPr>
          <w:rFonts w:ascii="宋体" w:hAnsi="宋体"/>
          <w:sz w:val="30"/>
          <w:szCs w:val="30"/>
        </w:rPr>
      </w:pPr>
      <w:r>
        <w:rPr>
          <w:rFonts w:ascii="宋体" w:hAnsi="宋体"/>
          <w:sz w:val="30"/>
          <w:szCs w:val="30"/>
        </w:rPr>
        <w:t xml:space="preserve">1.2 </w:t>
      </w:r>
      <w:r>
        <w:rPr>
          <w:rFonts w:hint="eastAsia" w:ascii="宋体" w:hAnsi="宋体"/>
          <w:sz w:val="30"/>
          <w:szCs w:val="30"/>
        </w:rPr>
        <w:t>语言文字</w:t>
      </w:r>
    </w:p>
    <w:p w14:paraId="37377924">
      <w:pPr>
        <w:rPr>
          <w:rFonts w:ascii="宋体" w:hAnsi="宋体"/>
          <w:sz w:val="30"/>
          <w:szCs w:val="30"/>
        </w:rPr>
      </w:pPr>
      <w:r>
        <w:rPr>
          <w:rFonts w:hint="eastAsia" w:ascii="宋体" w:hAnsi="宋体"/>
          <w:sz w:val="30"/>
          <w:szCs w:val="30"/>
        </w:rPr>
        <w:t>本合同除使用汉语外，还使用</w:t>
      </w:r>
      <w:r>
        <w:rPr>
          <w:rFonts w:ascii="宋体" w:hAnsi="宋体"/>
          <w:sz w:val="30"/>
          <w:szCs w:val="30"/>
        </w:rPr>
        <w:t xml:space="preserve">                    </w:t>
      </w:r>
      <w:r>
        <w:rPr>
          <w:rFonts w:hint="eastAsia" w:ascii="宋体" w:hAnsi="宋体"/>
          <w:sz w:val="30"/>
          <w:szCs w:val="30"/>
        </w:rPr>
        <w:t>语言。</w:t>
      </w:r>
    </w:p>
    <w:p w14:paraId="3AC7E758">
      <w:pPr>
        <w:rPr>
          <w:rFonts w:ascii="宋体" w:hAnsi="宋体"/>
          <w:sz w:val="30"/>
          <w:szCs w:val="30"/>
        </w:rPr>
      </w:pPr>
      <w:r>
        <w:rPr>
          <w:rFonts w:ascii="宋体" w:hAnsi="宋体"/>
          <w:sz w:val="30"/>
          <w:szCs w:val="30"/>
        </w:rPr>
        <w:t xml:space="preserve">1.3 </w:t>
      </w:r>
      <w:r>
        <w:rPr>
          <w:rFonts w:hint="eastAsia" w:ascii="宋体" w:hAnsi="宋体"/>
          <w:sz w:val="30"/>
          <w:szCs w:val="30"/>
        </w:rPr>
        <w:t>法律</w:t>
      </w:r>
    </w:p>
    <w:p w14:paraId="334C67FC">
      <w:pPr>
        <w:rPr>
          <w:rFonts w:ascii="宋体" w:hAnsi="宋体"/>
          <w:sz w:val="30"/>
          <w:szCs w:val="30"/>
        </w:rPr>
      </w:pPr>
      <w:r>
        <w:rPr>
          <w:rFonts w:hint="eastAsia" w:ascii="宋体" w:hAnsi="宋体"/>
          <w:sz w:val="30"/>
          <w:szCs w:val="30"/>
        </w:rPr>
        <w:t>适用于合同的其他规范性文件：</w:t>
      </w:r>
      <w:r>
        <w:rPr>
          <w:rFonts w:ascii="宋体" w:hAnsi="宋体"/>
          <w:sz w:val="30"/>
          <w:szCs w:val="30"/>
        </w:rPr>
        <w:t xml:space="preserve">                      </w:t>
      </w:r>
      <w:r>
        <w:rPr>
          <w:rFonts w:hint="eastAsia" w:ascii="宋体" w:hAnsi="宋体"/>
          <w:sz w:val="30"/>
          <w:szCs w:val="30"/>
        </w:rPr>
        <w:t>。</w:t>
      </w:r>
    </w:p>
    <w:p w14:paraId="67B3356A">
      <w:pPr>
        <w:rPr>
          <w:rFonts w:ascii="宋体" w:hAnsi="宋体"/>
          <w:sz w:val="30"/>
          <w:szCs w:val="30"/>
        </w:rPr>
      </w:pPr>
      <w:r>
        <w:rPr>
          <w:rFonts w:ascii="宋体" w:hAnsi="宋体"/>
          <w:sz w:val="30"/>
          <w:szCs w:val="30"/>
        </w:rPr>
        <w:t xml:space="preserve">1.4 </w:t>
      </w:r>
      <w:r>
        <w:rPr>
          <w:rFonts w:hint="eastAsia" w:ascii="宋体" w:hAnsi="宋体"/>
          <w:sz w:val="30"/>
          <w:szCs w:val="30"/>
        </w:rPr>
        <w:t>标准和规范</w:t>
      </w:r>
    </w:p>
    <w:p w14:paraId="29060C54">
      <w:pPr>
        <w:rPr>
          <w:rFonts w:ascii="宋体" w:hAnsi="宋体"/>
          <w:sz w:val="30"/>
          <w:szCs w:val="30"/>
        </w:rPr>
      </w:pPr>
      <w:r>
        <w:rPr>
          <w:rFonts w:ascii="宋体" w:hAnsi="宋体"/>
          <w:sz w:val="30"/>
          <w:szCs w:val="30"/>
        </w:rPr>
        <w:t xml:space="preserve">1.4.1 </w:t>
      </w:r>
      <w:r>
        <w:rPr>
          <w:rFonts w:hint="eastAsia" w:ascii="宋体" w:hAnsi="宋体"/>
          <w:sz w:val="30"/>
          <w:szCs w:val="30"/>
        </w:rPr>
        <w:t>适用于本合同的标准、规范（名称）包括：</w:t>
      </w:r>
      <w:r>
        <w:rPr>
          <w:rFonts w:ascii="宋体" w:hAnsi="宋体"/>
          <w:sz w:val="30"/>
          <w:szCs w:val="30"/>
        </w:rPr>
        <w:t xml:space="preserve">          </w:t>
      </w:r>
      <w:r>
        <w:rPr>
          <w:rFonts w:hint="eastAsia" w:ascii="宋体" w:hAnsi="宋体"/>
          <w:sz w:val="30"/>
          <w:szCs w:val="30"/>
        </w:rPr>
        <w:t>。</w:t>
      </w:r>
    </w:p>
    <w:p w14:paraId="4210F071">
      <w:pPr>
        <w:rPr>
          <w:rFonts w:ascii="宋体" w:hAnsi="宋体"/>
          <w:sz w:val="30"/>
          <w:szCs w:val="30"/>
        </w:rPr>
      </w:pPr>
      <w:r>
        <w:rPr>
          <w:rFonts w:ascii="宋体" w:hAnsi="宋体"/>
          <w:sz w:val="30"/>
          <w:szCs w:val="30"/>
        </w:rPr>
        <w:t xml:space="preserve">1.4.2 </w:t>
      </w:r>
      <w:r>
        <w:rPr>
          <w:rFonts w:hint="eastAsia" w:ascii="宋体" w:hAnsi="宋体"/>
          <w:sz w:val="30"/>
          <w:szCs w:val="30"/>
        </w:rPr>
        <w:t>发包人提供的国外标准、规范的名称：</w:t>
      </w:r>
      <w:r>
        <w:rPr>
          <w:rFonts w:ascii="宋体" w:hAnsi="宋体"/>
          <w:sz w:val="30"/>
          <w:szCs w:val="30"/>
        </w:rPr>
        <w:t xml:space="preserve">          </w:t>
      </w:r>
      <w:r>
        <w:rPr>
          <w:rFonts w:hint="eastAsia" w:ascii="宋体" w:hAnsi="宋体"/>
          <w:sz w:val="30"/>
          <w:szCs w:val="30"/>
        </w:rPr>
        <w:t>；发包人提供的国外标准、规范的份数：</w:t>
      </w:r>
      <w:r>
        <w:rPr>
          <w:rFonts w:ascii="宋体" w:hAnsi="宋体"/>
          <w:sz w:val="30"/>
          <w:szCs w:val="30"/>
        </w:rPr>
        <w:t xml:space="preserve">           </w:t>
      </w:r>
      <w:r>
        <w:rPr>
          <w:rFonts w:hint="eastAsia" w:ascii="宋体" w:hAnsi="宋体"/>
          <w:sz w:val="30"/>
          <w:szCs w:val="30"/>
        </w:rPr>
        <w:t>；发包人提供的国外标准、规范的时间：</w:t>
      </w:r>
      <w:r>
        <w:rPr>
          <w:rFonts w:ascii="宋体" w:hAnsi="宋体"/>
          <w:sz w:val="30"/>
          <w:szCs w:val="30"/>
        </w:rPr>
        <w:t xml:space="preserve">             </w:t>
      </w:r>
      <w:r>
        <w:rPr>
          <w:rFonts w:hint="eastAsia" w:ascii="宋体" w:hAnsi="宋体"/>
          <w:sz w:val="30"/>
          <w:szCs w:val="30"/>
        </w:rPr>
        <w:t>。</w:t>
      </w:r>
    </w:p>
    <w:p w14:paraId="3D09A4E9">
      <w:pPr>
        <w:rPr>
          <w:rFonts w:ascii="宋体" w:hAnsi="宋体"/>
          <w:sz w:val="30"/>
          <w:szCs w:val="30"/>
        </w:rPr>
      </w:pPr>
      <w:r>
        <w:rPr>
          <w:rFonts w:ascii="宋体" w:hAnsi="宋体"/>
          <w:sz w:val="30"/>
          <w:szCs w:val="30"/>
        </w:rPr>
        <w:t xml:space="preserve">1.4.3 </w:t>
      </w:r>
      <w:r>
        <w:rPr>
          <w:rFonts w:hint="eastAsia" w:ascii="宋体" w:hAnsi="宋体"/>
          <w:sz w:val="30"/>
          <w:szCs w:val="30"/>
        </w:rPr>
        <w:t>没有成文规范、标准规定的约定：</w:t>
      </w:r>
      <w:r>
        <w:rPr>
          <w:rFonts w:ascii="宋体" w:hAnsi="宋体"/>
          <w:sz w:val="30"/>
          <w:szCs w:val="30"/>
        </w:rPr>
        <w:t xml:space="preserve">              </w:t>
      </w:r>
      <w:r>
        <w:rPr>
          <w:rFonts w:hint="eastAsia" w:ascii="宋体" w:hAnsi="宋体"/>
          <w:sz w:val="30"/>
          <w:szCs w:val="30"/>
        </w:rPr>
        <w:t>。</w:t>
      </w:r>
    </w:p>
    <w:p w14:paraId="555C91A0">
      <w:pPr>
        <w:rPr>
          <w:rFonts w:ascii="宋体" w:hAnsi="宋体"/>
          <w:sz w:val="30"/>
          <w:szCs w:val="30"/>
        </w:rPr>
      </w:pPr>
      <w:r>
        <w:rPr>
          <w:rFonts w:ascii="宋体" w:hAnsi="宋体"/>
          <w:sz w:val="30"/>
          <w:szCs w:val="30"/>
        </w:rPr>
        <w:t xml:space="preserve">1.4.4 </w:t>
      </w:r>
      <w:r>
        <w:rPr>
          <w:rFonts w:hint="eastAsia" w:ascii="宋体" w:hAnsi="宋体"/>
          <w:sz w:val="30"/>
          <w:szCs w:val="30"/>
        </w:rPr>
        <w:t>发包人对于工程的技术标准、功能要求：</w:t>
      </w:r>
      <w:r>
        <w:rPr>
          <w:rFonts w:ascii="宋体" w:hAnsi="宋体"/>
          <w:sz w:val="30"/>
          <w:szCs w:val="30"/>
        </w:rPr>
        <w:t xml:space="preserve">        </w:t>
      </w:r>
      <w:r>
        <w:rPr>
          <w:rFonts w:hint="eastAsia" w:ascii="宋体" w:hAnsi="宋体"/>
          <w:sz w:val="30"/>
          <w:szCs w:val="30"/>
        </w:rPr>
        <w:t>。</w:t>
      </w:r>
    </w:p>
    <w:p w14:paraId="42056CB9">
      <w:pPr>
        <w:rPr>
          <w:rFonts w:ascii="宋体" w:hAnsi="宋体"/>
          <w:sz w:val="30"/>
          <w:szCs w:val="30"/>
        </w:rPr>
      </w:pPr>
      <w:r>
        <w:rPr>
          <w:rFonts w:ascii="宋体" w:hAnsi="宋体"/>
          <w:sz w:val="30"/>
          <w:szCs w:val="30"/>
        </w:rPr>
        <w:t xml:space="preserve">1.5 </w:t>
      </w:r>
      <w:r>
        <w:rPr>
          <w:rFonts w:hint="eastAsia" w:ascii="宋体" w:hAnsi="宋体"/>
          <w:sz w:val="30"/>
          <w:szCs w:val="30"/>
        </w:rPr>
        <w:t>合同文件的优先顺序</w:t>
      </w:r>
    </w:p>
    <w:p w14:paraId="6DEF8C4A">
      <w:pPr>
        <w:rPr>
          <w:rFonts w:ascii="宋体" w:hAnsi="宋体"/>
          <w:sz w:val="30"/>
          <w:szCs w:val="30"/>
        </w:rPr>
      </w:pPr>
      <w:r>
        <w:rPr>
          <w:rFonts w:hint="eastAsia" w:ascii="宋体" w:hAnsi="宋体"/>
          <w:sz w:val="30"/>
          <w:szCs w:val="30"/>
        </w:rPr>
        <w:t>合同文件组成及优先顺序为：</w:t>
      </w:r>
      <w:r>
        <w:rPr>
          <w:rFonts w:ascii="宋体" w:hAnsi="宋体"/>
          <w:sz w:val="30"/>
          <w:szCs w:val="30"/>
        </w:rPr>
        <w:t xml:space="preserve">                         </w:t>
      </w:r>
      <w:r>
        <w:rPr>
          <w:rFonts w:hint="eastAsia" w:ascii="宋体" w:hAnsi="宋体"/>
          <w:sz w:val="30"/>
          <w:szCs w:val="30"/>
        </w:rPr>
        <w:t>。</w:t>
      </w:r>
    </w:p>
    <w:p w14:paraId="2978E179">
      <w:pPr>
        <w:rPr>
          <w:rFonts w:ascii="宋体" w:hAnsi="宋体"/>
          <w:sz w:val="30"/>
          <w:szCs w:val="30"/>
        </w:rPr>
      </w:pPr>
      <w:r>
        <w:rPr>
          <w:rFonts w:ascii="宋体" w:hAnsi="宋体"/>
          <w:sz w:val="30"/>
          <w:szCs w:val="30"/>
        </w:rPr>
        <w:t xml:space="preserve">1.6 </w:t>
      </w:r>
      <w:r>
        <w:rPr>
          <w:rFonts w:hint="eastAsia" w:ascii="宋体" w:hAnsi="宋体"/>
          <w:sz w:val="30"/>
          <w:szCs w:val="30"/>
        </w:rPr>
        <w:t>文件的提供和照管</w:t>
      </w:r>
    </w:p>
    <w:p w14:paraId="181BF6D2">
      <w:pPr>
        <w:rPr>
          <w:rFonts w:ascii="宋体" w:hAnsi="宋体"/>
          <w:sz w:val="30"/>
          <w:szCs w:val="30"/>
        </w:rPr>
      </w:pPr>
      <w:r>
        <w:rPr>
          <w:rFonts w:ascii="宋体" w:hAnsi="宋体"/>
          <w:sz w:val="30"/>
          <w:szCs w:val="30"/>
        </w:rPr>
        <w:t xml:space="preserve">1.6.1 </w:t>
      </w:r>
      <w:r>
        <w:rPr>
          <w:rFonts w:hint="eastAsia" w:ascii="宋体" w:hAnsi="宋体"/>
          <w:sz w:val="30"/>
          <w:szCs w:val="30"/>
        </w:rPr>
        <w:t>发包人文件的提供</w:t>
      </w:r>
    </w:p>
    <w:p w14:paraId="54B902D9">
      <w:pPr>
        <w:rPr>
          <w:rFonts w:ascii="宋体" w:hAnsi="宋体"/>
          <w:sz w:val="30"/>
          <w:szCs w:val="30"/>
        </w:rPr>
      </w:pPr>
      <w:r>
        <w:rPr>
          <w:rFonts w:hint="eastAsia" w:ascii="宋体" w:hAnsi="宋体"/>
          <w:sz w:val="30"/>
          <w:szCs w:val="30"/>
        </w:rPr>
        <w:t>发包人文件的提供期限、名称、数量和形式：</w:t>
      </w:r>
      <w:r>
        <w:rPr>
          <w:rFonts w:ascii="宋体" w:hAnsi="宋体"/>
          <w:sz w:val="30"/>
          <w:szCs w:val="30"/>
        </w:rPr>
        <w:t xml:space="preserve">             </w:t>
      </w:r>
      <w:r>
        <w:rPr>
          <w:rFonts w:hint="eastAsia" w:ascii="宋体" w:hAnsi="宋体"/>
          <w:sz w:val="30"/>
          <w:szCs w:val="30"/>
        </w:rPr>
        <w:t>。</w:t>
      </w:r>
    </w:p>
    <w:p w14:paraId="78A1847E">
      <w:pPr>
        <w:rPr>
          <w:rFonts w:ascii="宋体" w:hAnsi="宋体"/>
          <w:sz w:val="30"/>
          <w:szCs w:val="30"/>
        </w:rPr>
      </w:pPr>
      <w:r>
        <w:rPr>
          <w:rFonts w:ascii="宋体" w:hAnsi="宋体"/>
          <w:sz w:val="30"/>
          <w:szCs w:val="30"/>
        </w:rPr>
        <w:t xml:space="preserve">1.6.2 </w:t>
      </w:r>
      <w:r>
        <w:rPr>
          <w:rFonts w:hint="eastAsia" w:ascii="宋体" w:hAnsi="宋体"/>
          <w:sz w:val="30"/>
          <w:szCs w:val="30"/>
        </w:rPr>
        <w:t>承包人文件的提供</w:t>
      </w:r>
    </w:p>
    <w:p w14:paraId="5CA8231C">
      <w:pPr>
        <w:rPr>
          <w:rFonts w:ascii="宋体" w:hAnsi="宋体"/>
          <w:sz w:val="30"/>
          <w:szCs w:val="30"/>
        </w:rPr>
      </w:pPr>
      <w:r>
        <w:rPr>
          <w:rFonts w:hint="eastAsia" w:ascii="宋体" w:hAnsi="宋体"/>
          <w:sz w:val="30"/>
          <w:szCs w:val="30"/>
        </w:rPr>
        <w:t>承包人文件的内容、提供期限、名称、数量和形式：</w:t>
      </w:r>
      <w:r>
        <w:rPr>
          <w:rFonts w:ascii="宋体" w:hAnsi="宋体"/>
          <w:sz w:val="30"/>
          <w:szCs w:val="30"/>
        </w:rPr>
        <w:t xml:space="preserve">                                                  </w:t>
      </w:r>
      <w:r>
        <w:rPr>
          <w:rFonts w:hint="eastAsia" w:ascii="宋体" w:hAnsi="宋体"/>
          <w:sz w:val="30"/>
          <w:szCs w:val="30"/>
        </w:rPr>
        <w:t>。</w:t>
      </w:r>
    </w:p>
    <w:p w14:paraId="4FA87FEB">
      <w:pPr>
        <w:rPr>
          <w:rFonts w:ascii="宋体" w:hAnsi="宋体"/>
          <w:sz w:val="30"/>
          <w:szCs w:val="30"/>
        </w:rPr>
      </w:pPr>
      <w:r>
        <w:rPr>
          <w:rFonts w:ascii="宋体" w:hAnsi="宋体"/>
          <w:sz w:val="30"/>
          <w:szCs w:val="30"/>
        </w:rPr>
        <w:t xml:space="preserve">1.6.4 </w:t>
      </w:r>
      <w:r>
        <w:rPr>
          <w:rFonts w:hint="eastAsia" w:ascii="宋体" w:hAnsi="宋体"/>
          <w:sz w:val="30"/>
          <w:szCs w:val="30"/>
        </w:rPr>
        <w:t>文件的照管</w:t>
      </w:r>
    </w:p>
    <w:p w14:paraId="59574611">
      <w:pPr>
        <w:rPr>
          <w:rFonts w:ascii="宋体" w:hAnsi="宋体"/>
          <w:sz w:val="30"/>
          <w:szCs w:val="30"/>
        </w:rPr>
      </w:pPr>
      <w:r>
        <w:rPr>
          <w:rFonts w:hint="eastAsia" w:ascii="宋体" w:hAnsi="宋体"/>
          <w:sz w:val="30"/>
          <w:szCs w:val="30"/>
        </w:rPr>
        <w:t>关于现场文件准备的约定：</w:t>
      </w:r>
      <w:r>
        <w:rPr>
          <w:rFonts w:ascii="宋体" w:hAnsi="宋体"/>
          <w:sz w:val="30"/>
          <w:szCs w:val="30"/>
        </w:rPr>
        <w:t xml:space="preserve">                          </w:t>
      </w:r>
      <w:r>
        <w:rPr>
          <w:rFonts w:hint="eastAsia" w:ascii="宋体" w:hAnsi="宋体"/>
          <w:sz w:val="30"/>
          <w:szCs w:val="30"/>
        </w:rPr>
        <w:t>。</w:t>
      </w:r>
    </w:p>
    <w:p w14:paraId="35FB62B4">
      <w:pPr>
        <w:rPr>
          <w:rFonts w:ascii="宋体" w:hAnsi="宋体"/>
          <w:sz w:val="30"/>
          <w:szCs w:val="30"/>
        </w:rPr>
      </w:pPr>
      <w:r>
        <w:rPr>
          <w:rFonts w:ascii="宋体" w:hAnsi="宋体"/>
          <w:sz w:val="30"/>
          <w:szCs w:val="30"/>
        </w:rPr>
        <w:t xml:space="preserve">1.7 </w:t>
      </w:r>
      <w:r>
        <w:rPr>
          <w:rFonts w:hint="eastAsia" w:ascii="宋体" w:hAnsi="宋体"/>
          <w:sz w:val="30"/>
          <w:szCs w:val="30"/>
        </w:rPr>
        <w:t>联络</w:t>
      </w:r>
    </w:p>
    <w:p w14:paraId="00AAEEE7">
      <w:pPr>
        <w:rPr>
          <w:rFonts w:ascii="宋体" w:hAnsi="宋体"/>
          <w:sz w:val="30"/>
          <w:szCs w:val="30"/>
        </w:rPr>
      </w:pPr>
      <w:r>
        <w:rPr>
          <w:rFonts w:ascii="宋体" w:hAnsi="宋体"/>
          <w:sz w:val="30"/>
          <w:szCs w:val="30"/>
        </w:rPr>
        <w:t xml:space="preserve">1.7.2 </w:t>
      </w:r>
      <w:r>
        <w:rPr>
          <w:rFonts w:hint="eastAsia" w:ascii="宋体" w:hAnsi="宋体"/>
          <w:sz w:val="30"/>
          <w:szCs w:val="30"/>
        </w:rPr>
        <w:t>发包人指定的送达方式（包括电子传输方式）：</w:t>
      </w:r>
      <w:r>
        <w:rPr>
          <w:rFonts w:ascii="宋体" w:hAnsi="宋体"/>
          <w:sz w:val="30"/>
          <w:szCs w:val="30"/>
        </w:rPr>
        <w:t xml:space="preserve">                                                </w:t>
      </w:r>
      <w:r>
        <w:rPr>
          <w:rFonts w:hint="eastAsia" w:ascii="宋体" w:hAnsi="宋体"/>
          <w:sz w:val="30"/>
          <w:szCs w:val="30"/>
        </w:rPr>
        <w:t>。</w:t>
      </w:r>
    </w:p>
    <w:p w14:paraId="2C3CB98D">
      <w:pPr>
        <w:rPr>
          <w:rFonts w:ascii="宋体" w:hAnsi="宋体"/>
          <w:sz w:val="30"/>
          <w:szCs w:val="30"/>
        </w:rPr>
      </w:pPr>
      <w:r>
        <w:rPr>
          <w:rFonts w:hint="eastAsia" w:ascii="宋体" w:hAnsi="宋体"/>
          <w:sz w:val="30"/>
          <w:szCs w:val="30"/>
        </w:rPr>
        <w:t>发包人的送达地址：</w:t>
      </w:r>
      <w:r>
        <w:rPr>
          <w:rFonts w:ascii="宋体" w:hAnsi="宋体"/>
          <w:sz w:val="30"/>
          <w:szCs w:val="30"/>
        </w:rPr>
        <w:t xml:space="preserve">                                </w:t>
      </w:r>
      <w:r>
        <w:rPr>
          <w:rFonts w:hint="eastAsia" w:ascii="宋体" w:hAnsi="宋体"/>
          <w:sz w:val="30"/>
          <w:szCs w:val="30"/>
        </w:rPr>
        <w:t>。</w:t>
      </w:r>
    </w:p>
    <w:p w14:paraId="5A5F87D4">
      <w:pPr>
        <w:rPr>
          <w:rFonts w:ascii="宋体" w:hAnsi="宋体"/>
          <w:sz w:val="30"/>
          <w:szCs w:val="30"/>
        </w:rPr>
      </w:pPr>
      <w:r>
        <w:rPr>
          <w:rFonts w:hint="eastAsia" w:ascii="宋体" w:hAnsi="宋体"/>
          <w:sz w:val="30"/>
          <w:szCs w:val="30"/>
        </w:rPr>
        <w:t xml:space="preserve">承包人指定的送达方式（包括电子传输方式）： </w:t>
      </w:r>
      <w:r>
        <w:rPr>
          <w:rFonts w:ascii="宋体" w:hAnsi="宋体"/>
          <w:sz w:val="30"/>
          <w:szCs w:val="30"/>
        </w:rPr>
        <w:t xml:space="preserve">                                               </w:t>
      </w:r>
      <w:r>
        <w:rPr>
          <w:rFonts w:hint="eastAsia" w:ascii="宋体" w:hAnsi="宋体"/>
          <w:sz w:val="30"/>
          <w:szCs w:val="30"/>
        </w:rPr>
        <w:t>。</w:t>
      </w:r>
    </w:p>
    <w:p w14:paraId="085C27C4">
      <w:pPr>
        <w:rPr>
          <w:rFonts w:ascii="宋体" w:hAnsi="宋体"/>
          <w:sz w:val="30"/>
          <w:szCs w:val="30"/>
        </w:rPr>
      </w:pPr>
      <w:r>
        <w:rPr>
          <w:rFonts w:hint="eastAsia" w:ascii="宋体" w:hAnsi="宋体"/>
          <w:sz w:val="30"/>
          <w:szCs w:val="30"/>
        </w:rPr>
        <w:t>承包人的送达地址：</w:t>
      </w:r>
      <w:r>
        <w:rPr>
          <w:rFonts w:ascii="宋体" w:hAnsi="宋体"/>
          <w:sz w:val="30"/>
          <w:szCs w:val="30"/>
        </w:rPr>
        <w:t xml:space="preserve">                                </w:t>
      </w:r>
      <w:r>
        <w:rPr>
          <w:rFonts w:hint="eastAsia" w:ascii="宋体" w:hAnsi="宋体"/>
          <w:sz w:val="30"/>
          <w:szCs w:val="30"/>
        </w:rPr>
        <w:t>。</w:t>
      </w:r>
    </w:p>
    <w:p w14:paraId="08295FE2">
      <w:pPr>
        <w:rPr>
          <w:rFonts w:ascii="宋体" w:hAnsi="宋体"/>
          <w:sz w:val="30"/>
          <w:szCs w:val="30"/>
        </w:rPr>
      </w:pPr>
      <w:r>
        <w:rPr>
          <w:rFonts w:ascii="宋体" w:hAnsi="宋体"/>
          <w:sz w:val="30"/>
          <w:szCs w:val="30"/>
        </w:rPr>
        <w:t xml:space="preserve">1.10 </w:t>
      </w:r>
      <w:r>
        <w:rPr>
          <w:rFonts w:hint="eastAsia" w:ascii="宋体" w:hAnsi="宋体"/>
          <w:sz w:val="30"/>
          <w:szCs w:val="30"/>
        </w:rPr>
        <w:t>知识产权</w:t>
      </w:r>
    </w:p>
    <w:p w14:paraId="26E69FCA">
      <w:pPr>
        <w:rPr>
          <w:rFonts w:ascii="宋体" w:hAnsi="宋体"/>
          <w:sz w:val="30"/>
          <w:szCs w:val="30"/>
        </w:rPr>
      </w:pPr>
      <w:r>
        <w:rPr>
          <w:rFonts w:ascii="宋体" w:hAnsi="宋体"/>
          <w:sz w:val="30"/>
          <w:szCs w:val="30"/>
        </w:rPr>
        <w:t xml:space="preserve">1.10.1 </w:t>
      </w:r>
      <w:r>
        <w:rPr>
          <w:rFonts w:hint="eastAsia" w:ascii="宋体" w:hAnsi="宋体"/>
          <w:sz w:val="30"/>
          <w:szCs w:val="30"/>
        </w:rPr>
        <w:t>由发包人（或以发包人名义）编制的《发包人要求》和其他文件的著作权归属：</w:t>
      </w:r>
      <w:r>
        <w:rPr>
          <w:rFonts w:ascii="宋体" w:hAnsi="宋体"/>
          <w:sz w:val="30"/>
          <w:szCs w:val="30"/>
        </w:rPr>
        <w:t xml:space="preserve">                              </w:t>
      </w:r>
      <w:r>
        <w:rPr>
          <w:rFonts w:hint="eastAsia" w:ascii="宋体" w:hAnsi="宋体"/>
          <w:sz w:val="30"/>
          <w:szCs w:val="30"/>
        </w:rPr>
        <w:t>。</w:t>
      </w:r>
    </w:p>
    <w:p w14:paraId="471A285F">
      <w:pPr>
        <w:rPr>
          <w:rFonts w:ascii="宋体" w:hAnsi="宋体"/>
          <w:sz w:val="30"/>
          <w:szCs w:val="30"/>
        </w:rPr>
      </w:pPr>
      <w:r>
        <w:rPr>
          <w:rFonts w:ascii="宋体" w:hAnsi="宋体"/>
          <w:sz w:val="30"/>
          <w:szCs w:val="30"/>
        </w:rPr>
        <w:t xml:space="preserve">1.10.2 </w:t>
      </w:r>
      <w:r>
        <w:rPr>
          <w:rFonts w:hint="eastAsia" w:ascii="宋体" w:hAnsi="宋体"/>
          <w:sz w:val="30"/>
          <w:szCs w:val="30"/>
        </w:rPr>
        <w:t>由承包人（或以承包人名义）为实施工程所编制的文件、承包人完成的设计工作成果和建造完成的建筑物的知识产权归属：</w:t>
      </w:r>
      <w:r>
        <w:rPr>
          <w:rFonts w:ascii="宋体" w:hAnsi="宋体"/>
          <w:sz w:val="30"/>
          <w:szCs w:val="30"/>
        </w:rPr>
        <w:t xml:space="preserve">                                              </w:t>
      </w:r>
      <w:r>
        <w:rPr>
          <w:rFonts w:hint="eastAsia" w:ascii="宋体" w:hAnsi="宋体"/>
          <w:sz w:val="30"/>
          <w:szCs w:val="30"/>
        </w:rPr>
        <w:t>。</w:t>
      </w:r>
    </w:p>
    <w:p w14:paraId="082F6066">
      <w:pPr>
        <w:rPr>
          <w:rFonts w:ascii="宋体" w:hAnsi="宋体"/>
          <w:sz w:val="30"/>
          <w:szCs w:val="30"/>
        </w:rPr>
      </w:pPr>
      <w:r>
        <w:rPr>
          <w:rFonts w:ascii="宋体" w:hAnsi="宋体"/>
          <w:sz w:val="30"/>
          <w:szCs w:val="30"/>
        </w:rPr>
        <w:t xml:space="preserve">1.10.4 </w:t>
      </w:r>
      <w:r>
        <w:rPr>
          <w:rFonts w:hint="eastAsia" w:ascii="宋体" w:hAnsi="宋体"/>
          <w:sz w:val="30"/>
          <w:szCs w:val="30"/>
        </w:rPr>
        <w:t>承包人在投标文件中采用的专利、专有技术、技术秘密的使用费的承担方式</w:t>
      </w:r>
      <w:r>
        <w:rPr>
          <w:rFonts w:ascii="宋体" w:hAnsi="宋体"/>
          <w:sz w:val="30"/>
          <w:szCs w:val="30"/>
        </w:rPr>
        <w:t xml:space="preserve">                                </w:t>
      </w:r>
      <w:r>
        <w:rPr>
          <w:rFonts w:hint="eastAsia" w:ascii="宋体" w:hAnsi="宋体"/>
          <w:sz w:val="30"/>
          <w:szCs w:val="30"/>
        </w:rPr>
        <w:t>。</w:t>
      </w:r>
    </w:p>
    <w:p w14:paraId="7EA2FEE0">
      <w:pPr>
        <w:rPr>
          <w:rFonts w:ascii="宋体" w:hAnsi="宋体"/>
          <w:sz w:val="30"/>
          <w:szCs w:val="30"/>
        </w:rPr>
      </w:pPr>
      <w:r>
        <w:rPr>
          <w:rFonts w:ascii="宋体" w:hAnsi="宋体"/>
          <w:sz w:val="30"/>
          <w:szCs w:val="30"/>
        </w:rPr>
        <w:t xml:space="preserve">1.11 </w:t>
      </w:r>
      <w:r>
        <w:rPr>
          <w:rFonts w:hint="eastAsia" w:ascii="宋体" w:hAnsi="宋体"/>
          <w:sz w:val="30"/>
          <w:szCs w:val="30"/>
        </w:rPr>
        <w:t>保密</w:t>
      </w:r>
    </w:p>
    <w:p w14:paraId="7D762247">
      <w:pPr>
        <w:rPr>
          <w:rFonts w:ascii="宋体" w:hAnsi="宋体"/>
          <w:sz w:val="30"/>
          <w:szCs w:val="30"/>
        </w:rPr>
      </w:pPr>
      <w:r>
        <w:rPr>
          <w:rFonts w:hint="eastAsia" w:ascii="宋体" w:hAnsi="宋体"/>
          <w:sz w:val="30"/>
          <w:szCs w:val="30"/>
        </w:rPr>
        <w:t>双方订立的商业保密协议（名称）：</w:t>
      </w:r>
      <w:r>
        <w:rPr>
          <w:rFonts w:ascii="宋体" w:hAnsi="宋体"/>
          <w:sz w:val="30"/>
          <w:szCs w:val="30"/>
        </w:rPr>
        <w:t xml:space="preserve">              </w:t>
      </w:r>
      <w:r>
        <w:rPr>
          <w:rFonts w:hint="eastAsia" w:ascii="宋体" w:hAnsi="宋体"/>
          <w:sz w:val="30"/>
          <w:szCs w:val="30"/>
        </w:rPr>
        <w:t>，作为本合同附件。</w:t>
      </w:r>
    </w:p>
    <w:p w14:paraId="6C57D167">
      <w:pPr>
        <w:rPr>
          <w:rFonts w:ascii="宋体" w:hAnsi="宋体"/>
          <w:sz w:val="30"/>
          <w:szCs w:val="30"/>
        </w:rPr>
      </w:pPr>
      <w:r>
        <w:rPr>
          <w:rFonts w:hint="eastAsia" w:ascii="宋体" w:hAnsi="宋体"/>
          <w:sz w:val="30"/>
          <w:szCs w:val="30"/>
        </w:rPr>
        <w:t>双方订立的技术保密协议（名称）：</w:t>
      </w:r>
      <w:r>
        <w:rPr>
          <w:rFonts w:ascii="宋体" w:hAnsi="宋体"/>
          <w:sz w:val="30"/>
          <w:szCs w:val="30"/>
        </w:rPr>
        <w:t xml:space="preserve">             </w:t>
      </w:r>
      <w:r>
        <w:rPr>
          <w:rFonts w:hint="eastAsia" w:ascii="宋体" w:hAnsi="宋体"/>
          <w:sz w:val="30"/>
          <w:szCs w:val="30"/>
        </w:rPr>
        <w:t>，作为本合同附件。</w:t>
      </w:r>
    </w:p>
    <w:p w14:paraId="38913CB3">
      <w:pPr>
        <w:rPr>
          <w:rFonts w:ascii="宋体" w:hAnsi="宋体"/>
          <w:sz w:val="30"/>
          <w:szCs w:val="30"/>
        </w:rPr>
      </w:pPr>
      <w:r>
        <w:rPr>
          <w:rFonts w:ascii="宋体" w:hAnsi="宋体"/>
          <w:sz w:val="30"/>
          <w:szCs w:val="30"/>
        </w:rPr>
        <w:t xml:space="preserve">1.13 </w:t>
      </w:r>
      <w:r>
        <w:rPr>
          <w:rFonts w:hint="eastAsia" w:ascii="宋体" w:hAnsi="宋体"/>
          <w:sz w:val="30"/>
          <w:szCs w:val="30"/>
        </w:rPr>
        <w:t>责任限制</w:t>
      </w:r>
    </w:p>
    <w:p w14:paraId="1BAFE6AC">
      <w:pPr>
        <w:rPr>
          <w:rFonts w:ascii="宋体" w:hAnsi="宋体"/>
          <w:sz w:val="30"/>
          <w:szCs w:val="30"/>
        </w:rPr>
      </w:pPr>
      <w:r>
        <w:rPr>
          <w:rFonts w:hint="eastAsia" w:ascii="宋体" w:hAnsi="宋体"/>
          <w:sz w:val="30"/>
          <w:szCs w:val="30"/>
        </w:rPr>
        <w:t>承包人对发包人赔偿责任的最高限额为</w:t>
      </w:r>
      <w:r>
        <w:rPr>
          <w:rFonts w:ascii="宋体" w:hAnsi="宋体"/>
          <w:sz w:val="30"/>
          <w:szCs w:val="30"/>
        </w:rPr>
        <w:t xml:space="preserve">                </w:t>
      </w:r>
      <w:r>
        <w:rPr>
          <w:rFonts w:hint="eastAsia" w:ascii="宋体" w:hAnsi="宋体"/>
          <w:sz w:val="30"/>
          <w:szCs w:val="30"/>
        </w:rPr>
        <w:t>。</w:t>
      </w:r>
    </w:p>
    <w:p w14:paraId="52D1952F">
      <w:pPr>
        <w:rPr>
          <w:rFonts w:ascii="宋体" w:hAnsi="宋体"/>
          <w:sz w:val="30"/>
          <w:szCs w:val="30"/>
        </w:rPr>
      </w:pPr>
      <w:r>
        <w:rPr>
          <w:rFonts w:ascii="宋体" w:hAnsi="宋体"/>
          <w:sz w:val="30"/>
          <w:szCs w:val="30"/>
        </w:rPr>
        <w:t xml:space="preserve">1.14 </w:t>
      </w:r>
      <w:r>
        <w:rPr>
          <w:rFonts w:hint="eastAsia" w:ascii="宋体" w:hAnsi="宋体"/>
          <w:sz w:val="30"/>
          <w:szCs w:val="30"/>
        </w:rPr>
        <w:t>建筑信息模型技术的应用</w:t>
      </w:r>
    </w:p>
    <w:p w14:paraId="6D755D8E">
      <w:pPr>
        <w:rPr>
          <w:rFonts w:ascii="宋体" w:hAnsi="宋体"/>
          <w:sz w:val="30"/>
          <w:szCs w:val="30"/>
        </w:rPr>
      </w:pPr>
      <w:r>
        <w:rPr>
          <w:rFonts w:hint="eastAsia" w:ascii="宋体" w:hAnsi="宋体"/>
          <w:sz w:val="30"/>
          <w:szCs w:val="30"/>
        </w:rPr>
        <w:t>关于建筑信息模型技术的开发、使用、存储、传输、交付及费用约定如下：</w:t>
      </w:r>
      <w:r>
        <w:rPr>
          <w:rFonts w:ascii="宋体" w:hAnsi="宋体"/>
          <w:sz w:val="30"/>
          <w:szCs w:val="30"/>
        </w:rPr>
        <w:t xml:space="preserve">                                        </w:t>
      </w:r>
      <w:r>
        <w:rPr>
          <w:rFonts w:hint="eastAsia" w:ascii="宋体" w:hAnsi="宋体"/>
          <w:sz w:val="30"/>
          <w:szCs w:val="30"/>
        </w:rPr>
        <w:t>。</w:t>
      </w:r>
    </w:p>
    <w:p w14:paraId="36486B40">
      <w:pPr>
        <w:rPr>
          <w:rFonts w:ascii="宋体" w:hAnsi="宋体"/>
          <w:sz w:val="30"/>
          <w:szCs w:val="30"/>
        </w:rPr>
      </w:pPr>
      <w:bookmarkStart w:id="733" w:name="_Toc54862333"/>
      <w:r>
        <w:rPr>
          <w:rFonts w:hint="eastAsia" w:ascii="宋体" w:hAnsi="宋体"/>
          <w:sz w:val="30"/>
          <w:szCs w:val="30"/>
        </w:rPr>
        <w:t>第</w:t>
      </w:r>
      <w:r>
        <w:rPr>
          <w:rFonts w:ascii="宋体" w:hAnsi="宋体"/>
          <w:sz w:val="30"/>
          <w:szCs w:val="30"/>
        </w:rPr>
        <w:t>2条</w:t>
      </w:r>
      <w:r>
        <w:rPr>
          <w:rFonts w:hint="eastAsia" w:ascii="宋体" w:hAnsi="宋体"/>
          <w:sz w:val="30"/>
          <w:szCs w:val="30"/>
        </w:rPr>
        <w:t xml:space="preserve"> 发包人</w:t>
      </w:r>
      <w:bookmarkEnd w:id="733"/>
    </w:p>
    <w:p w14:paraId="2AF81C80">
      <w:pPr>
        <w:rPr>
          <w:rFonts w:ascii="宋体" w:hAnsi="宋体"/>
          <w:sz w:val="30"/>
          <w:szCs w:val="30"/>
        </w:rPr>
      </w:pPr>
      <w:r>
        <w:rPr>
          <w:rFonts w:ascii="宋体" w:hAnsi="宋体"/>
          <w:sz w:val="30"/>
          <w:szCs w:val="30"/>
        </w:rPr>
        <w:t xml:space="preserve">2.2 </w:t>
      </w:r>
      <w:r>
        <w:rPr>
          <w:rFonts w:hint="eastAsia" w:ascii="宋体" w:hAnsi="宋体"/>
          <w:sz w:val="30"/>
          <w:szCs w:val="30"/>
        </w:rPr>
        <w:t>提供施工现场和工作条件</w:t>
      </w:r>
    </w:p>
    <w:p w14:paraId="4056CF1A">
      <w:pPr>
        <w:rPr>
          <w:rFonts w:ascii="宋体" w:hAnsi="宋体"/>
          <w:sz w:val="30"/>
          <w:szCs w:val="30"/>
        </w:rPr>
      </w:pPr>
      <w:r>
        <w:rPr>
          <w:rFonts w:ascii="宋体" w:hAnsi="宋体"/>
          <w:sz w:val="30"/>
          <w:szCs w:val="30"/>
        </w:rPr>
        <w:t xml:space="preserve">2.2.1 </w:t>
      </w:r>
      <w:r>
        <w:rPr>
          <w:rFonts w:hint="eastAsia" w:ascii="宋体" w:hAnsi="宋体"/>
          <w:sz w:val="30"/>
          <w:szCs w:val="30"/>
        </w:rPr>
        <w:t>提供施工现场</w:t>
      </w:r>
    </w:p>
    <w:p w14:paraId="6D44A28D">
      <w:pPr>
        <w:rPr>
          <w:rFonts w:ascii="宋体" w:hAnsi="宋体"/>
          <w:sz w:val="30"/>
          <w:szCs w:val="30"/>
        </w:rPr>
      </w:pPr>
      <w:r>
        <w:rPr>
          <w:rFonts w:hint="eastAsia" w:ascii="宋体" w:hAnsi="宋体"/>
          <w:sz w:val="30"/>
          <w:szCs w:val="30"/>
        </w:rPr>
        <w:t>关于发包人提供施工现场的范围和期限：</w:t>
      </w:r>
      <w:r>
        <w:rPr>
          <w:rFonts w:ascii="宋体" w:hAnsi="宋体"/>
          <w:sz w:val="30"/>
          <w:szCs w:val="30"/>
        </w:rPr>
        <w:t xml:space="preserve">              </w:t>
      </w:r>
      <w:r>
        <w:rPr>
          <w:rFonts w:hint="eastAsia" w:ascii="宋体" w:hAnsi="宋体"/>
          <w:sz w:val="30"/>
          <w:szCs w:val="30"/>
        </w:rPr>
        <w:t>。</w:t>
      </w:r>
    </w:p>
    <w:p w14:paraId="780212BE">
      <w:pPr>
        <w:rPr>
          <w:rFonts w:ascii="宋体" w:hAnsi="宋体"/>
          <w:sz w:val="30"/>
          <w:szCs w:val="30"/>
        </w:rPr>
      </w:pPr>
      <w:r>
        <w:rPr>
          <w:rFonts w:ascii="宋体" w:hAnsi="宋体"/>
          <w:sz w:val="30"/>
          <w:szCs w:val="30"/>
        </w:rPr>
        <w:t xml:space="preserve">2.2.2 </w:t>
      </w:r>
      <w:r>
        <w:rPr>
          <w:rFonts w:hint="eastAsia" w:ascii="宋体" w:hAnsi="宋体"/>
          <w:sz w:val="30"/>
          <w:szCs w:val="30"/>
        </w:rPr>
        <w:t>提供工作条件</w:t>
      </w:r>
    </w:p>
    <w:p w14:paraId="76C9BCF4">
      <w:pPr>
        <w:rPr>
          <w:rFonts w:ascii="宋体" w:hAnsi="宋体"/>
          <w:sz w:val="30"/>
          <w:szCs w:val="30"/>
        </w:rPr>
      </w:pPr>
      <w:r>
        <w:rPr>
          <w:rFonts w:hint="eastAsia" w:ascii="宋体" w:hAnsi="宋体"/>
          <w:sz w:val="30"/>
          <w:szCs w:val="30"/>
        </w:rPr>
        <w:t>关于发包人应负责提供的工作条件包括：</w:t>
      </w:r>
      <w:r>
        <w:rPr>
          <w:rFonts w:ascii="宋体" w:hAnsi="宋体"/>
          <w:sz w:val="30"/>
          <w:szCs w:val="30"/>
        </w:rPr>
        <w:t xml:space="preserve">              </w:t>
      </w:r>
      <w:r>
        <w:rPr>
          <w:rFonts w:hint="eastAsia" w:ascii="宋体" w:hAnsi="宋体"/>
          <w:sz w:val="30"/>
          <w:szCs w:val="30"/>
        </w:rPr>
        <w:t>。</w:t>
      </w:r>
    </w:p>
    <w:p w14:paraId="7953E575">
      <w:pPr>
        <w:rPr>
          <w:rFonts w:ascii="宋体" w:hAnsi="宋体"/>
          <w:sz w:val="30"/>
          <w:szCs w:val="30"/>
        </w:rPr>
      </w:pPr>
      <w:r>
        <w:rPr>
          <w:rFonts w:ascii="宋体" w:hAnsi="宋体"/>
          <w:sz w:val="30"/>
          <w:szCs w:val="30"/>
        </w:rPr>
        <w:t xml:space="preserve">2.3 </w:t>
      </w:r>
      <w:r>
        <w:rPr>
          <w:rFonts w:hint="eastAsia" w:ascii="宋体" w:hAnsi="宋体"/>
          <w:sz w:val="30"/>
          <w:szCs w:val="30"/>
        </w:rPr>
        <w:t>提供基础资料</w:t>
      </w:r>
    </w:p>
    <w:p w14:paraId="132DEF79">
      <w:pPr>
        <w:rPr>
          <w:rFonts w:ascii="宋体" w:hAnsi="宋体"/>
          <w:sz w:val="30"/>
          <w:szCs w:val="30"/>
        </w:rPr>
      </w:pPr>
      <w:r>
        <w:rPr>
          <w:rFonts w:hint="eastAsia" w:ascii="宋体" w:hAnsi="宋体"/>
          <w:sz w:val="30"/>
          <w:szCs w:val="30"/>
        </w:rPr>
        <w:t>关于发包人应提供的基础资料的范围和期限：</w:t>
      </w:r>
      <w:r>
        <w:rPr>
          <w:rFonts w:ascii="宋体" w:hAnsi="宋体"/>
          <w:sz w:val="30"/>
          <w:szCs w:val="30"/>
        </w:rPr>
        <w:t xml:space="preserve">          </w:t>
      </w:r>
      <w:r>
        <w:rPr>
          <w:rFonts w:hint="eastAsia" w:ascii="宋体" w:hAnsi="宋体"/>
          <w:sz w:val="30"/>
          <w:szCs w:val="30"/>
        </w:rPr>
        <w:t>。</w:t>
      </w:r>
    </w:p>
    <w:p w14:paraId="77586A9D">
      <w:pPr>
        <w:rPr>
          <w:rFonts w:ascii="宋体" w:hAnsi="宋体"/>
          <w:sz w:val="30"/>
          <w:szCs w:val="30"/>
        </w:rPr>
      </w:pPr>
      <w:r>
        <w:rPr>
          <w:rFonts w:ascii="宋体" w:hAnsi="宋体"/>
          <w:sz w:val="30"/>
          <w:szCs w:val="30"/>
        </w:rPr>
        <w:t xml:space="preserve">2.5 </w:t>
      </w:r>
      <w:r>
        <w:rPr>
          <w:rFonts w:hint="eastAsia" w:ascii="宋体" w:hAnsi="宋体"/>
          <w:sz w:val="30"/>
          <w:szCs w:val="30"/>
        </w:rPr>
        <w:t>支付合同价款</w:t>
      </w:r>
    </w:p>
    <w:p w14:paraId="065BE045">
      <w:pPr>
        <w:rPr>
          <w:rFonts w:ascii="宋体" w:hAnsi="宋体"/>
          <w:sz w:val="30"/>
          <w:szCs w:val="30"/>
        </w:rPr>
      </w:pPr>
      <w:r>
        <w:rPr>
          <w:rFonts w:ascii="宋体" w:hAnsi="宋体"/>
          <w:sz w:val="30"/>
          <w:szCs w:val="30"/>
        </w:rPr>
        <w:t xml:space="preserve">2.5.2 </w:t>
      </w:r>
      <w:r>
        <w:rPr>
          <w:rFonts w:hint="eastAsia" w:ascii="宋体" w:hAnsi="宋体"/>
          <w:sz w:val="30"/>
          <w:szCs w:val="30"/>
        </w:rPr>
        <w:t>发包人提供资金来源证明及资金安排的期限要求：</w:t>
      </w:r>
      <w:r>
        <w:rPr>
          <w:rFonts w:ascii="宋体" w:hAnsi="宋体"/>
          <w:sz w:val="30"/>
          <w:szCs w:val="30"/>
        </w:rPr>
        <w:t xml:space="preserve">                                                  </w:t>
      </w:r>
      <w:r>
        <w:rPr>
          <w:rFonts w:hint="eastAsia" w:ascii="宋体" w:hAnsi="宋体"/>
          <w:sz w:val="30"/>
          <w:szCs w:val="30"/>
        </w:rPr>
        <w:t>。</w:t>
      </w:r>
    </w:p>
    <w:p w14:paraId="36B3B7E7">
      <w:pPr>
        <w:rPr>
          <w:rFonts w:ascii="宋体" w:hAnsi="宋体"/>
          <w:sz w:val="30"/>
          <w:szCs w:val="30"/>
        </w:rPr>
      </w:pPr>
      <w:r>
        <w:rPr>
          <w:rFonts w:ascii="宋体" w:hAnsi="宋体"/>
          <w:sz w:val="30"/>
          <w:szCs w:val="30"/>
        </w:rPr>
        <w:t xml:space="preserve">2.5.3 </w:t>
      </w:r>
      <w:r>
        <w:rPr>
          <w:rFonts w:hint="eastAsia" w:ascii="宋体" w:hAnsi="宋体"/>
          <w:sz w:val="30"/>
          <w:szCs w:val="30"/>
        </w:rPr>
        <w:t>发包人提供支付担保的形式、期限、金额（或比例）：</w:t>
      </w:r>
      <w:r>
        <w:rPr>
          <w:rFonts w:ascii="宋体" w:hAnsi="宋体"/>
          <w:sz w:val="30"/>
          <w:szCs w:val="30"/>
        </w:rPr>
        <w:t xml:space="preserve">                                                </w:t>
      </w:r>
      <w:r>
        <w:rPr>
          <w:rFonts w:hint="eastAsia" w:ascii="宋体" w:hAnsi="宋体"/>
          <w:sz w:val="30"/>
          <w:szCs w:val="30"/>
        </w:rPr>
        <w:t>。</w:t>
      </w:r>
    </w:p>
    <w:p w14:paraId="7ECC99A6">
      <w:pPr>
        <w:rPr>
          <w:rFonts w:ascii="宋体" w:hAnsi="宋体"/>
          <w:sz w:val="30"/>
          <w:szCs w:val="30"/>
        </w:rPr>
      </w:pPr>
      <w:r>
        <w:rPr>
          <w:rFonts w:ascii="宋体" w:hAnsi="宋体"/>
          <w:sz w:val="30"/>
          <w:szCs w:val="30"/>
        </w:rPr>
        <w:t xml:space="preserve">2.7 </w:t>
      </w:r>
      <w:r>
        <w:rPr>
          <w:rFonts w:hint="eastAsia" w:ascii="宋体" w:hAnsi="宋体"/>
          <w:sz w:val="30"/>
          <w:szCs w:val="30"/>
        </w:rPr>
        <w:t>其他义务</w:t>
      </w:r>
    </w:p>
    <w:p w14:paraId="7E7248FF">
      <w:pPr>
        <w:rPr>
          <w:rFonts w:ascii="宋体" w:hAnsi="宋体"/>
          <w:sz w:val="30"/>
          <w:szCs w:val="30"/>
        </w:rPr>
      </w:pPr>
      <w:r>
        <w:rPr>
          <w:rFonts w:hint="eastAsia" w:ascii="宋体" w:hAnsi="宋体"/>
          <w:sz w:val="30"/>
          <w:szCs w:val="30"/>
        </w:rPr>
        <w:t>发包人应履行的其他义务：</w:t>
      </w:r>
      <w:r>
        <w:rPr>
          <w:rFonts w:ascii="宋体" w:hAnsi="宋体"/>
          <w:sz w:val="30"/>
          <w:szCs w:val="30"/>
        </w:rPr>
        <w:t xml:space="preserve">                           </w:t>
      </w:r>
      <w:r>
        <w:rPr>
          <w:rFonts w:hint="eastAsia" w:ascii="宋体" w:hAnsi="宋体"/>
          <w:sz w:val="30"/>
          <w:szCs w:val="30"/>
        </w:rPr>
        <w:t>。</w:t>
      </w:r>
    </w:p>
    <w:p w14:paraId="40036288">
      <w:pPr>
        <w:rPr>
          <w:rFonts w:ascii="宋体" w:hAnsi="宋体"/>
          <w:sz w:val="30"/>
          <w:szCs w:val="30"/>
        </w:rPr>
      </w:pPr>
      <w:bookmarkStart w:id="734" w:name="_Toc54862334"/>
      <w:r>
        <w:rPr>
          <w:rFonts w:hint="eastAsia" w:ascii="宋体" w:hAnsi="宋体"/>
          <w:sz w:val="30"/>
          <w:szCs w:val="30"/>
        </w:rPr>
        <w:t>第</w:t>
      </w:r>
      <w:r>
        <w:rPr>
          <w:rFonts w:ascii="宋体" w:hAnsi="宋体"/>
          <w:sz w:val="30"/>
          <w:szCs w:val="30"/>
        </w:rPr>
        <w:t>3条</w:t>
      </w:r>
      <w:r>
        <w:rPr>
          <w:rFonts w:hint="eastAsia" w:ascii="宋体" w:hAnsi="宋体"/>
          <w:sz w:val="30"/>
          <w:szCs w:val="30"/>
        </w:rPr>
        <w:t xml:space="preserve"> 发包人的管理</w:t>
      </w:r>
      <w:bookmarkEnd w:id="734"/>
    </w:p>
    <w:p w14:paraId="40103169">
      <w:pPr>
        <w:rPr>
          <w:rFonts w:ascii="宋体" w:hAnsi="宋体"/>
          <w:sz w:val="30"/>
          <w:szCs w:val="30"/>
        </w:rPr>
      </w:pPr>
      <w:r>
        <w:rPr>
          <w:rFonts w:ascii="宋体" w:hAnsi="宋体"/>
          <w:sz w:val="30"/>
          <w:szCs w:val="30"/>
        </w:rPr>
        <w:t xml:space="preserve">3.1 </w:t>
      </w:r>
      <w:r>
        <w:rPr>
          <w:rFonts w:hint="eastAsia" w:ascii="宋体" w:hAnsi="宋体"/>
          <w:sz w:val="30"/>
          <w:szCs w:val="30"/>
        </w:rPr>
        <w:t>发包人代表</w:t>
      </w:r>
    </w:p>
    <w:p w14:paraId="79D30F69">
      <w:pPr>
        <w:rPr>
          <w:rFonts w:ascii="宋体" w:hAnsi="宋体"/>
          <w:sz w:val="30"/>
          <w:szCs w:val="30"/>
        </w:rPr>
      </w:pPr>
      <w:r>
        <w:rPr>
          <w:rFonts w:hint="eastAsia" w:ascii="宋体" w:hAnsi="宋体"/>
          <w:sz w:val="30"/>
          <w:szCs w:val="30"/>
        </w:rPr>
        <w:t>发包人代表的姓名：</w:t>
      </w:r>
      <w:r>
        <w:rPr>
          <w:rFonts w:ascii="宋体" w:hAnsi="宋体"/>
          <w:sz w:val="30"/>
          <w:szCs w:val="30"/>
        </w:rPr>
        <w:t xml:space="preserve">                                 </w:t>
      </w:r>
      <w:r>
        <w:rPr>
          <w:rFonts w:hint="eastAsia" w:ascii="宋体" w:hAnsi="宋体"/>
          <w:sz w:val="30"/>
          <w:szCs w:val="30"/>
        </w:rPr>
        <w:t>；</w:t>
      </w:r>
    </w:p>
    <w:p w14:paraId="01BB6210">
      <w:pPr>
        <w:rPr>
          <w:rFonts w:ascii="宋体" w:hAnsi="宋体"/>
          <w:sz w:val="30"/>
          <w:szCs w:val="30"/>
        </w:rPr>
      </w:pPr>
      <w:r>
        <w:rPr>
          <w:rFonts w:hint="eastAsia" w:ascii="宋体" w:hAnsi="宋体"/>
          <w:sz w:val="30"/>
          <w:szCs w:val="30"/>
        </w:rPr>
        <w:t>发包人代表的身份证号：</w:t>
      </w:r>
      <w:r>
        <w:rPr>
          <w:rFonts w:ascii="宋体" w:hAnsi="宋体"/>
          <w:sz w:val="30"/>
          <w:szCs w:val="30"/>
        </w:rPr>
        <w:t xml:space="preserve">                             </w:t>
      </w:r>
      <w:r>
        <w:rPr>
          <w:rFonts w:hint="eastAsia" w:ascii="宋体" w:hAnsi="宋体"/>
          <w:sz w:val="30"/>
          <w:szCs w:val="30"/>
        </w:rPr>
        <w:t>；</w:t>
      </w:r>
    </w:p>
    <w:p w14:paraId="34509321">
      <w:pPr>
        <w:rPr>
          <w:rFonts w:ascii="宋体" w:hAnsi="宋体"/>
          <w:sz w:val="30"/>
          <w:szCs w:val="30"/>
        </w:rPr>
      </w:pPr>
      <w:r>
        <w:rPr>
          <w:rFonts w:hint="eastAsia" w:ascii="宋体" w:hAnsi="宋体"/>
          <w:sz w:val="30"/>
          <w:szCs w:val="30"/>
        </w:rPr>
        <w:t>发包人代表的职务：</w:t>
      </w:r>
      <w:r>
        <w:rPr>
          <w:rFonts w:ascii="宋体" w:hAnsi="宋体"/>
          <w:sz w:val="30"/>
          <w:szCs w:val="30"/>
        </w:rPr>
        <w:t xml:space="preserve">                                 </w:t>
      </w:r>
      <w:r>
        <w:rPr>
          <w:rFonts w:hint="eastAsia" w:ascii="宋体" w:hAnsi="宋体"/>
          <w:sz w:val="30"/>
          <w:szCs w:val="30"/>
        </w:rPr>
        <w:t>；</w:t>
      </w:r>
    </w:p>
    <w:p w14:paraId="0E29C8AA">
      <w:pPr>
        <w:rPr>
          <w:rFonts w:ascii="宋体" w:hAnsi="宋体"/>
          <w:sz w:val="30"/>
          <w:szCs w:val="30"/>
        </w:rPr>
      </w:pPr>
      <w:r>
        <w:rPr>
          <w:rFonts w:hint="eastAsia" w:ascii="宋体" w:hAnsi="宋体"/>
          <w:sz w:val="30"/>
          <w:szCs w:val="30"/>
        </w:rPr>
        <w:t>发包人代表的联系电话：</w:t>
      </w:r>
      <w:r>
        <w:rPr>
          <w:rFonts w:ascii="宋体" w:hAnsi="宋体"/>
          <w:sz w:val="30"/>
          <w:szCs w:val="30"/>
        </w:rPr>
        <w:t xml:space="preserve">                            </w:t>
      </w:r>
      <w:r>
        <w:rPr>
          <w:rFonts w:hint="eastAsia" w:ascii="宋体" w:hAnsi="宋体"/>
          <w:sz w:val="30"/>
          <w:szCs w:val="30"/>
        </w:rPr>
        <w:t>；</w:t>
      </w:r>
    </w:p>
    <w:p w14:paraId="49D45F6A">
      <w:pPr>
        <w:rPr>
          <w:rFonts w:ascii="宋体" w:hAnsi="宋体"/>
          <w:sz w:val="30"/>
          <w:szCs w:val="30"/>
        </w:rPr>
      </w:pPr>
      <w:r>
        <w:rPr>
          <w:rFonts w:hint="eastAsia" w:ascii="宋体" w:hAnsi="宋体"/>
          <w:sz w:val="30"/>
          <w:szCs w:val="30"/>
        </w:rPr>
        <w:t>发包人代表的电子邮箱：</w:t>
      </w:r>
      <w:r>
        <w:rPr>
          <w:rFonts w:ascii="宋体" w:hAnsi="宋体"/>
          <w:sz w:val="30"/>
          <w:szCs w:val="30"/>
        </w:rPr>
        <w:t xml:space="preserve">                             </w:t>
      </w:r>
      <w:r>
        <w:rPr>
          <w:rFonts w:hint="eastAsia" w:ascii="宋体" w:hAnsi="宋体"/>
          <w:sz w:val="30"/>
          <w:szCs w:val="30"/>
        </w:rPr>
        <w:t>；</w:t>
      </w:r>
    </w:p>
    <w:p w14:paraId="4F79138B">
      <w:pPr>
        <w:rPr>
          <w:rFonts w:ascii="宋体" w:hAnsi="宋体"/>
          <w:sz w:val="30"/>
          <w:szCs w:val="30"/>
        </w:rPr>
      </w:pPr>
      <w:r>
        <w:rPr>
          <w:rFonts w:hint="eastAsia" w:ascii="宋体" w:hAnsi="宋体"/>
          <w:sz w:val="30"/>
          <w:szCs w:val="30"/>
        </w:rPr>
        <w:t>发包人代表的通信地址：</w:t>
      </w:r>
      <w:r>
        <w:rPr>
          <w:rFonts w:ascii="宋体" w:hAnsi="宋体"/>
          <w:sz w:val="30"/>
          <w:szCs w:val="30"/>
        </w:rPr>
        <w:t xml:space="preserve">                             </w:t>
      </w:r>
      <w:r>
        <w:rPr>
          <w:rFonts w:hint="eastAsia" w:ascii="宋体" w:hAnsi="宋体"/>
          <w:sz w:val="30"/>
          <w:szCs w:val="30"/>
        </w:rPr>
        <w:t>；</w:t>
      </w:r>
    </w:p>
    <w:p w14:paraId="0D8808C6">
      <w:pPr>
        <w:rPr>
          <w:rFonts w:ascii="宋体" w:hAnsi="宋体"/>
          <w:sz w:val="30"/>
          <w:szCs w:val="30"/>
        </w:rPr>
      </w:pPr>
      <w:r>
        <w:rPr>
          <w:rFonts w:hint="eastAsia" w:ascii="宋体" w:hAnsi="宋体"/>
          <w:sz w:val="30"/>
          <w:szCs w:val="30"/>
        </w:rPr>
        <w:t>发包人对发包人代表的授权范围如下：</w:t>
      </w:r>
      <w:r>
        <w:rPr>
          <w:rFonts w:ascii="宋体" w:hAnsi="宋体"/>
          <w:sz w:val="30"/>
          <w:szCs w:val="30"/>
        </w:rPr>
        <w:t xml:space="preserve">                </w:t>
      </w:r>
      <w:r>
        <w:rPr>
          <w:rFonts w:hint="eastAsia" w:ascii="宋体" w:hAnsi="宋体"/>
          <w:sz w:val="30"/>
          <w:szCs w:val="30"/>
        </w:rPr>
        <w:t>；</w:t>
      </w:r>
    </w:p>
    <w:p w14:paraId="51E12194">
      <w:pPr>
        <w:rPr>
          <w:rFonts w:ascii="宋体" w:hAnsi="宋体"/>
          <w:sz w:val="30"/>
          <w:szCs w:val="30"/>
        </w:rPr>
      </w:pPr>
      <w:r>
        <w:rPr>
          <w:rFonts w:hint="eastAsia" w:ascii="宋体" w:hAnsi="宋体"/>
          <w:sz w:val="30"/>
          <w:szCs w:val="30"/>
        </w:rPr>
        <w:t>发包人代表的职责：</w:t>
      </w:r>
      <w:r>
        <w:rPr>
          <w:rFonts w:ascii="宋体" w:hAnsi="宋体"/>
          <w:sz w:val="30"/>
          <w:szCs w:val="30"/>
        </w:rPr>
        <w:t xml:space="preserve">                                </w:t>
      </w:r>
      <w:r>
        <w:rPr>
          <w:rFonts w:hint="eastAsia" w:ascii="宋体" w:hAnsi="宋体"/>
          <w:sz w:val="30"/>
          <w:szCs w:val="30"/>
        </w:rPr>
        <w:t>。</w:t>
      </w:r>
    </w:p>
    <w:p w14:paraId="5F3F38AC">
      <w:pPr>
        <w:rPr>
          <w:rFonts w:ascii="宋体" w:hAnsi="宋体"/>
          <w:sz w:val="30"/>
          <w:szCs w:val="30"/>
        </w:rPr>
      </w:pPr>
      <w:r>
        <w:rPr>
          <w:rFonts w:ascii="宋体" w:hAnsi="宋体"/>
          <w:sz w:val="30"/>
          <w:szCs w:val="30"/>
        </w:rPr>
        <w:t xml:space="preserve">3.2 </w:t>
      </w:r>
      <w:r>
        <w:rPr>
          <w:rFonts w:hint="eastAsia" w:ascii="宋体" w:hAnsi="宋体"/>
          <w:sz w:val="30"/>
          <w:szCs w:val="30"/>
        </w:rPr>
        <w:t>发包人人员</w:t>
      </w:r>
    </w:p>
    <w:p w14:paraId="4C431671">
      <w:pPr>
        <w:rPr>
          <w:rFonts w:ascii="宋体" w:hAnsi="宋体"/>
          <w:sz w:val="30"/>
          <w:szCs w:val="30"/>
        </w:rPr>
      </w:pPr>
      <w:r>
        <w:rPr>
          <w:rFonts w:ascii="宋体" w:hAnsi="宋体"/>
          <w:sz w:val="30"/>
          <w:szCs w:val="30"/>
        </w:rPr>
        <w:t>发包人人员姓名：                                   ；</w:t>
      </w:r>
    </w:p>
    <w:p w14:paraId="2CAD2F0B">
      <w:pPr>
        <w:rPr>
          <w:rFonts w:ascii="宋体" w:hAnsi="宋体"/>
          <w:sz w:val="30"/>
          <w:szCs w:val="30"/>
        </w:rPr>
      </w:pPr>
      <w:r>
        <w:rPr>
          <w:rFonts w:ascii="宋体" w:hAnsi="宋体"/>
          <w:sz w:val="30"/>
          <w:szCs w:val="30"/>
        </w:rPr>
        <w:t>发包人人员职务：                                  ；</w:t>
      </w:r>
    </w:p>
    <w:p w14:paraId="5987A784">
      <w:pPr>
        <w:rPr>
          <w:rFonts w:ascii="宋体" w:hAnsi="宋体"/>
          <w:sz w:val="30"/>
          <w:szCs w:val="30"/>
        </w:rPr>
      </w:pPr>
      <w:r>
        <w:rPr>
          <w:rFonts w:ascii="宋体" w:hAnsi="宋体"/>
          <w:sz w:val="30"/>
          <w:szCs w:val="30"/>
        </w:rPr>
        <w:t xml:space="preserve">发包人人员职责：                                  </w:t>
      </w:r>
      <w:r>
        <w:rPr>
          <w:rFonts w:hint="eastAsia" w:ascii="宋体" w:hAnsi="宋体"/>
          <w:sz w:val="30"/>
          <w:szCs w:val="30"/>
        </w:rPr>
        <w:t>。</w:t>
      </w:r>
    </w:p>
    <w:p w14:paraId="5D4A2A3A">
      <w:pPr>
        <w:rPr>
          <w:rFonts w:ascii="宋体" w:hAnsi="宋体"/>
          <w:sz w:val="30"/>
          <w:szCs w:val="30"/>
        </w:rPr>
      </w:pPr>
      <w:r>
        <w:rPr>
          <w:rFonts w:ascii="宋体" w:hAnsi="宋体"/>
          <w:sz w:val="30"/>
          <w:szCs w:val="30"/>
        </w:rPr>
        <w:t xml:space="preserve">3.3 </w:t>
      </w:r>
      <w:r>
        <w:rPr>
          <w:rFonts w:hint="eastAsia" w:ascii="宋体" w:hAnsi="宋体"/>
          <w:sz w:val="30"/>
          <w:szCs w:val="30"/>
        </w:rPr>
        <w:t>工程师</w:t>
      </w:r>
    </w:p>
    <w:p w14:paraId="700FDBE3">
      <w:pPr>
        <w:rPr>
          <w:rFonts w:ascii="宋体" w:hAnsi="宋体"/>
          <w:sz w:val="30"/>
          <w:szCs w:val="30"/>
        </w:rPr>
      </w:pPr>
      <w:r>
        <w:rPr>
          <w:rFonts w:hint="eastAsia" w:ascii="宋体" w:hAnsi="宋体"/>
          <w:sz w:val="30"/>
          <w:szCs w:val="30"/>
        </w:rPr>
        <w:t>3</w:t>
      </w:r>
      <w:r>
        <w:rPr>
          <w:rFonts w:ascii="宋体" w:hAnsi="宋体"/>
          <w:sz w:val="30"/>
          <w:szCs w:val="30"/>
        </w:rPr>
        <w:t xml:space="preserve">.3.1 </w:t>
      </w:r>
      <w:r>
        <w:rPr>
          <w:rFonts w:hint="eastAsia" w:ascii="宋体" w:hAnsi="宋体"/>
          <w:sz w:val="30"/>
          <w:szCs w:val="30"/>
        </w:rPr>
        <w:t>工程师名称</w:t>
      </w:r>
      <w:r>
        <w:rPr>
          <w:rFonts w:ascii="宋体" w:hAnsi="宋体"/>
          <w:sz w:val="30"/>
          <w:szCs w:val="30"/>
        </w:rPr>
        <w:t>：                          ；</w:t>
      </w:r>
      <w:r>
        <w:rPr>
          <w:rFonts w:hint="eastAsia" w:ascii="宋体" w:hAnsi="宋体"/>
          <w:sz w:val="30"/>
          <w:szCs w:val="30"/>
        </w:rPr>
        <w:t>工程师监督管理</w:t>
      </w:r>
      <w:r>
        <w:rPr>
          <w:rFonts w:ascii="宋体" w:hAnsi="宋体"/>
          <w:sz w:val="30"/>
          <w:szCs w:val="30"/>
        </w:rPr>
        <w:t>范围</w:t>
      </w:r>
      <w:r>
        <w:rPr>
          <w:rFonts w:hint="eastAsia" w:ascii="宋体" w:hAnsi="宋体"/>
          <w:sz w:val="30"/>
          <w:szCs w:val="30"/>
        </w:rPr>
        <w:t>、内容</w:t>
      </w:r>
      <w:r>
        <w:rPr>
          <w:rFonts w:ascii="宋体" w:hAnsi="宋体"/>
          <w:sz w:val="30"/>
          <w:szCs w:val="30"/>
        </w:rPr>
        <w:t xml:space="preserve">：                          </w:t>
      </w:r>
      <w:r>
        <w:rPr>
          <w:rFonts w:hint="eastAsia" w:ascii="宋体" w:hAnsi="宋体"/>
          <w:sz w:val="30"/>
          <w:szCs w:val="30"/>
        </w:rPr>
        <w:t>；工程师</w:t>
      </w:r>
      <w:r>
        <w:rPr>
          <w:rFonts w:ascii="宋体" w:hAnsi="宋体"/>
          <w:sz w:val="30"/>
          <w:szCs w:val="30"/>
        </w:rPr>
        <w:t xml:space="preserve">权限：                                </w:t>
      </w:r>
      <w:r>
        <w:rPr>
          <w:rFonts w:hint="eastAsia" w:ascii="宋体" w:hAnsi="宋体"/>
          <w:sz w:val="30"/>
          <w:szCs w:val="30"/>
        </w:rPr>
        <w:t>。</w:t>
      </w:r>
    </w:p>
    <w:p w14:paraId="321AF71E">
      <w:pPr>
        <w:rPr>
          <w:rFonts w:ascii="宋体" w:hAnsi="宋体"/>
          <w:sz w:val="30"/>
          <w:szCs w:val="30"/>
        </w:rPr>
      </w:pPr>
      <w:r>
        <w:rPr>
          <w:rFonts w:ascii="宋体" w:hAnsi="宋体"/>
          <w:sz w:val="30"/>
          <w:szCs w:val="30"/>
        </w:rPr>
        <w:t xml:space="preserve">3.6 </w:t>
      </w:r>
      <w:r>
        <w:rPr>
          <w:rFonts w:hint="eastAsia" w:ascii="宋体" w:hAnsi="宋体"/>
          <w:sz w:val="30"/>
          <w:szCs w:val="30"/>
        </w:rPr>
        <w:t>商定或确定</w:t>
      </w:r>
    </w:p>
    <w:p w14:paraId="6C546F64">
      <w:pPr>
        <w:rPr>
          <w:rFonts w:ascii="宋体" w:hAnsi="宋体"/>
          <w:sz w:val="30"/>
          <w:szCs w:val="30"/>
        </w:rPr>
      </w:pPr>
      <w:r>
        <w:rPr>
          <w:rFonts w:hint="eastAsia" w:ascii="宋体" w:hAnsi="宋体"/>
          <w:sz w:val="30"/>
          <w:szCs w:val="30"/>
        </w:rPr>
        <w:t>3</w:t>
      </w:r>
      <w:r>
        <w:rPr>
          <w:rFonts w:ascii="宋体" w:hAnsi="宋体"/>
          <w:sz w:val="30"/>
          <w:szCs w:val="30"/>
        </w:rPr>
        <w:t>.6.2 关于</w:t>
      </w:r>
      <w:r>
        <w:rPr>
          <w:rFonts w:hint="eastAsia" w:ascii="宋体" w:hAnsi="宋体"/>
          <w:sz w:val="30"/>
          <w:szCs w:val="30"/>
        </w:rPr>
        <w:t>商定</w:t>
      </w:r>
      <w:r>
        <w:rPr>
          <w:rFonts w:ascii="宋体" w:hAnsi="宋体"/>
          <w:sz w:val="30"/>
          <w:szCs w:val="30"/>
        </w:rPr>
        <w:t xml:space="preserve">时间限制的具体约定：                 </w:t>
      </w:r>
      <w:r>
        <w:rPr>
          <w:rFonts w:hint="eastAsia" w:ascii="宋体" w:hAnsi="宋体"/>
          <w:sz w:val="30"/>
          <w:szCs w:val="30"/>
        </w:rPr>
        <w:t>。</w:t>
      </w:r>
    </w:p>
    <w:p w14:paraId="08913F7F">
      <w:pPr>
        <w:rPr>
          <w:rFonts w:ascii="宋体" w:hAnsi="宋体"/>
          <w:sz w:val="30"/>
          <w:szCs w:val="30"/>
        </w:rPr>
      </w:pPr>
      <w:r>
        <w:rPr>
          <w:rFonts w:ascii="宋体" w:hAnsi="宋体"/>
          <w:sz w:val="30"/>
          <w:szCs w:val="30"/>
        </w:rPr>
        <w:t>3.6.3 关于</w:t>
      </w:r>
      <w:r>
        <w:rPr>
          <w:rFonts w:hint="eastAsia" w:ascii="宋体" w:hAnsi="宋体"/>
          <w:sz w:val="30"/>
          <w:szCs w:val="30"/>
        </w:rPr>
        <w:t>商定或确定</w:t>
      </w:r>
      <w:r>
        <w:rPr>
          <w:rFonts w:ascii="宋体" w:hAnsi="宋体"/>
          <w:sz w:val="30"/>
          <w:szCs w:val="30"/>
        </w:rPr>
        <w:t xml:space="preserve">效力的具体约定：               </w:t>
      </w:r>
      <w:r>
        <w:rPr>
          <w:rFonts w:hint="eastAsia" w:ascii="宋体" w:hAnsi="宋体"/>
          <w:sz w:val="30"/>
          <w:szCs w:val="30"/>
        </w:rPr>
        <w:t>；</w:t>
      </w:r>
      <w:r>
        <w:rPr>
          <w:rFonts w:ascii="宋体" w:hAnsi="宋体"/>
          <w:sz w:val="30"/>
          <w:szCs w:val="30"/>
        </w:rPr>
        <w:t>关于对</w:t>
      </w:r>
      <w:r>
        <w:rPr>
          <w:rFonts w:hint="eastAsia" w:ascii="宋体" w:hAnsi="宋体"/>
          <w:sz w:val="30"/>
          <w:szCs w:val="30"/>
        </w:rPr>
        <w:t>工程师的确定提出异议</w:t>
      </w:r>
      <w:r>
        <w:rPr>
          <w:rFonts w:ascii="宋体" w:hAnsi="宋体"/>
          <w:sz w:val="30"/>
          <w:szCs w:val="30"/>
        </w:rPr>
        <w:t xml:space="preserve">的具体约定：                 </w:t>
      </w:r>
      <w:r>
        <w:rPr>
          <w:rFonts w:hint="eastAsia" w:ascii="宋体" w:hAnsi="宋体"/>
          <w:sz w:val="30"/>
          <w:szCs w:val="30"/>
        </w:rPr>
        <w:t>。</w:t>
      </w:r>
    </w:p>
    <w:p w14:paraId="5A4BB5A0">
      <w:pPr>
        <w:rPr>
          <w:rFonts w:ascii="宋体" w:hAnsi="宋体"/>
          <w:sz w:val="30"/>
          <w:szCs w:val="30"/>
        </w:rPr>
      </w:pPr>
      <w:r>
        <w:rPr>
          <w:rFonts w:ascii="宋体" w:hAnsi="宋体"/>
          <w:sz w:val="30"/>
          <w:szCs w:val="30"/>
        </w:rPr>
        <w:t xml:space="preserve">3.7 </w:t>
      </w:r>
      <w:r>
        <w:rPr>
          <w:rFonts w:hint="eastAsia" w:ascii="宋体" w:hAnsi="宋体"/>
          <w:sz w:val="30"/>
          <w:szCs w:val="30"/>
        </w:rPr>
        <w:t>会议</w:t>
      </w:r>
    </w:p>
    <w:p w14:paraId="10A4649B">
      <w:pPr>
        <w:rPr>
          <w:rFonts w:ascii="宋体" w:hAnsi="宋体"/>
          <w:sz w:val="30"/>
          <w:szCs w:val="30"/>
        </w:rPr>
      </w:pPr>
      <w:r>
        <w:rPr>
          <w:rFonts w:hint="eastAsia" w:ascii="宋体" w:hAnsi="宋体"/>
          <w:sz w:val="30"/>
          <w:szCs w:val="30"/>
        </w:rPr>
        <w:t>3</w:t>
      </w:r>
      <w:r>
        <w:rPr>
          <w:rFonts w:ascii="宋体" w:hAnsi="宋体"/>
          <w:sz w:val="30"/>
          <w:szCs w:val="30"/>
        </w:rPr>
        <w:t>.7.1 关于召开会议</w:t>
      </w:r>
      <w:r>
        <w:rPr>
          <w:rFonts w:hint="eastAsia" w:ascii="宋体" w:hAnsi="宋体"/>
          <w:sz w:val="30"/>
          <w:szCs w:val="30"/>
        </w:rPr>
        <w:t>的具体约定：</w:t>
      </w:r>
      <w:r>
        <w:rPr>
          <w:rFonts w:ascii="宋体" w:hAnsi="宋体"/>
          <w:sz w:val="30"/>
          <w:szCs w:val="30"/>
        </w:rPr>
        <w:t xml:space="preserve">                     </w:t>
      </w:r>
      <w:r>
        <w:rPr>
          <w:rFonts w:hint="eastAsia" w:ascii="宋体" w:hAnsi="宋体"/>
          <w:sz w:val="30"/>
          <w:szCs w:val="30"/>
        </w:rPr>
        <w:t>。</w:t>
      </w:r>
    </w:p>
    <w:p w14:paraId="3711059C">
      <w:pPr>
        <w:rPr>
          <w:rFonts w:ascii="宋体" w:hAnsi="宋体"/>
          <w:sz w:val="30"/>
          <w:szCs w:val="30"/>
        </w:rPr>
      </w:pPr>
      <w:r>
        <w:rPr>
          <w:rFonts w:hint="eastAsia" w:ascii="宋体" w:hAnsi="宋体"/>
          <w:sz w:val="30"/>
          <w:szCs w:val="30"/>
        </w:rPr>
        <w:t>3</w:t>
      </w:r>
      <w:r>
        <w:rPr>
          <w:rFonts w:ascii="宋体" w:hAnsi="宋体"/>
          <w:sz w:val="30"/>
          <w:szCs w:val="30"/>
        </w:rPr>
        <w:t xml:space="preserve">.7.2 </w:t>
      </w:r>
      <w:r>
        <w:rPr>
          <w:rFonts w:hint="eastAsia" w:ascii="宋体" w:hAnsi="宋体"/>
          <w:sz w:val="30"/>
          <w:szCs w:val="30"/>
        </w:rPr>
        <w:t>关于保存和提供会议纪要</w:t>
      </w:r>
      <w:r>
        <w:rPr>
          <w:rFonts w:ascii="宋体" w:hAnsi="宋体"/>
          <w:sz w:val="30"/>
          <w:szCs w:val="30"/>
        </w:rPr>
        <w:t xml:space="preserve">的具体约定：          </w:t>
      </w:r>
      <w:r>
        <w:rPr>
          <w:rFonts w:hint="eastAsia" w:ascii="宋体" w:hAnsi="宋体"/>
          <w:sz w:val="30"/>
          <w:szCs w:val="30"/>
        </w:rPr>
        <w:t>。</w:t>
      </w:r>
    </w:p>
    <w:p w14:paraId="3D01FE87">
      <w:pPr>
        <w:rPr>
          <w:rFonts w:ascii="宋体" w:hAnsi="宋体"/>
          <w:sz w:val="30"/>
          <w:szCs w:val="30"/>
        </w:rPr>
      </w:pPr>
      <w:bookmarkStart w:id="735" w:name="_Toc54862335"/>
      <w:r>
        <w:rPr>
          <w:rFonts w:hint="eastAsia" w:ascii="宋体" w:hAnsi="宋体"/>
          <w:sz w:val="30"/>
          <w:szCs w:val="30"/>
        </w:rPr>
        <w:t>第</w:t>
      </w:r>
      <w:r>
        <w:rPr>
          <w:rFonts w:ascii="宋体" w:hAnsi="宋体"/>
          <w:sz w:val="30"/>
          <w:szCs w:val="30"/>
        </w:rPr>
        <w:t>4条</w:t>
      </w:r>
      <w:r>
        <w:rPr>
          <w:rFonts w:hint="eastAsia" w:ascii="宋体" w:hAnsi="宋体"/>
          <w:sz w:val="30"/>
          <w:szCs w:val="30"/>
        </w:rPr>
        <w:t xml:space="preserve"> 承包人</w:t>
      </w:r>
      <w:bookmarkEnd w:id="735"/>
    </w:p>
    <w:p w14:paraId="0AE56535">
      <w:pPr>
        <w:rPr>
          <w:rFonts w:ascii="宋体" w:hAnsi="宋体"/>
          <w:sz w:val="30"/>
          <w:szCs w:val="30"/>
        </w:rPr>
      </w:pPr>
      <w:r>
        <w:rPr>
          <w:rFonts w:ascii="宋体" w:hAnsi="宋体"/>
          <w:sz w:val="30"/>
          <w:szCs w:val="30"/>
        </w:rPr>
        <w:t xml:space="preserve">4.1 </w:t>
      </w:r>
      <w:r>
        <w:rPr>
          <w:rFonts w:hint="eastAsia" w:ascii="宋体" w:hAnsi="宋体"/>
          <w:sz w:val="30"/>
          <w:szCs w:val="30"/>
        </w:rPr>
        <w:t>承包人的一般义务</w:t>
      </w:r>
    </w:p>
    <w:p w14:paraId="0A0EA8CD">
      <w:pPr>
        <w:rPr>
          <w:rFonts w:ascii="宋体" w:hAnsi="宋体"/>
          <w:sz w:val="30"/>
          <w:szCs w:val="30"/>
        </w:rPr>
      </w:pPr>
      <w:r>
        <w:rPr>
          <w:rFonts w:hint="eastAsia" w:ascii="宋体" w:hAnsi="宋体"/>
          <w:sz w:val="30"/>
          <w:szCs w:val="30"/>
        </w:rPr>
        <w:t>承包人应履行的其他义务：</w:t>
      </w:r>
      <w:r>
        <w:rPr>
          <w:rFonts w:ascii="宋体" w:hAnsi="宋体"/>
          <w:sz w:val="30"/>
          <w:szCs w:val="30"/>
        </w:rPr>
        <w:t xml:space="preserve">                           </w:t>
      </w:r>
      <w:r>
        <w:rPr>
          <w:rFonts w:hint="eastAsia" w:ascii="宋体" w:hAnsi="宋体"/>
          <w:sz w:val="30"/>
          <w:szCs w:val="30"/>
        </w:rPr>
        <w:t>。</w:t>
      </w:r>
    </w:p>
    <w:p w14:paraId="75105836">
      <w:pPr>
        <w:rPr>
          <w:rFonts w:ascii="宋体" w:hAnsi="宋体"/>
          <w:sz w:val="30"/>
          <w:szCs w:val="30"/>
        </w:rPr>
      </w:pPr>
      <w:r>
        <w:rPr>
          <w:rFonts w:ascii="宋体" w:hAnsi="宋体"/>
          <w:sz w:val="30"/>
          <w:szCs w:val="30"/>
        </w:rPr>
        <w:t xml:space="preserve">4.2 </w:t>
      </w:r>
      <w:r>
        <w:rPr>
          <w:rFonts w:hint="eastAsia" w:ascii="宋体" w:hAnsi="宋体"/>
          <w:sz w:val="30"/>
          <w:szCs w:val="30"/>
        </w:rPr>
        <w:t>履约担保</w:t>
      </w:r>
    </w:p>
    <w:p w14:paraId="3E64094C">
      <w:pPr>
        <w:rPr>
          <w:rFonts w:ascii="宋体" w:hAnsi="宋体"/>
          <w:sz w:val="30"/>
          <w:szCs w:val="30"/>
        </w:rPr>
      </w:pPr>
      <w:r>
        <w:rPr>
          <w:rFonts w:hint="eastAsia" w:ascii="宋体" w:hAnsi="宋体"/>
          <w:sz w:val="30"/>
          <w:szCs w:val="30"/>
        </w:rPr>
        <w:t>承包人是否提供履约担保：</w:t>
      </w:r>
      <w:r>
        <w:rPr>
          <w:rFonts w:ascii="宋体" w:hAnsi="宋体"/>
          <w:sz w:val="30"/>
          <w:szCs w:val="30"/>
        </w:rPr>
        <w:t xml:space="preserve">                          </w:t>
      </w:r>
      <w:r>
        <w:rPr>
          <w:rFonts w:hint="eastAsia" w:ascii="宋体" w:hAnsi="宋体"/>
          <w:sz w:val="30"/>
          <w:szCs w:val="30"/>
        </w:rPr>
        <w:t>。</w:t>
      </w:r>
    </w:p>
    <w:p w14:paraId="1A518BA0">
      <w:pPr>
        <w:rPr>
          <w:rFonts w:ascii="宋体" w:hAnsi="宋体"/>
          <w:sz w:val="30"/>
          <w:szCs w:val="30"/>
        </w:rPr>
      </w:pPr>
      <w:r>
        <w:rPr>
          <w:rFonts w:hint="eastAsia" w:ascii="宋体" w:hAnsi="宋体"/>
          <w:sz w:val="30"/>
          <w:szCs w:val="30"/>
        </w:rPr>
        <w:t>履约担保的方式、金额及期限:</w:t>
      </w:r>
      <w:r>
        <w:rPr>
          <w:rFonts w:ascii="宋体" w:hAnsi="宋体"/>
          <w:sz w:val="30"/>
          <w:szCs w:val="30"/>
        </w:rPr>
        <w:t xml:space="preserve">                        </w:t>
      </w:r>
      <w:r>
        <w:rPr>
          <w:rFonts w:hint="eastAsia" w:ascii="宋体" w:hAnsi="宋体"/>
          <w:sz w:val="30"/>
          <w:szCs w:val="30"/>
        </w:rPr>
        <w:t>。</w:t>
      </w:r>
    </w:p>
    <w:p w14:paraId="79B5F74C">
      <w:pPr>
        <w:rPr>
          <w:rFonts w:ascii="宋体" w:hAnsi="宋体"/>
          <w:sz w:val="30"/>
          <w:szCs w:val="30"/>
        </w:rPr>
      </w:pPr>
      <w:r>
        <w:rPr>
          <w:rFonts w:ascii="宋体" w:hAnsi="宋体"/>
          <w:sz w:val="30"/>
          <w:szCs w:val="30"/>
        </w:rPr>
        <w:t xml:space="preserve">4.3 </w:t>
      </w:r>
      <w:r>
        <w:rPr>
          <w:rFonts w:hint="eastAsia" w:ascii="宋体" w:hAnsi="宋体"/>
          <w:sz w:val="30"/>
          <w:szCs w:val="30"/>
        </w:rPr>
        <w:t>工程总承包项目经理</w:t>
      </w:r>
    </w:p>
    <w:p w14:paraId="3C0FD2A3">
      <w:pPr>
        <w:rPr>
          <w:rFonts w:ascii="宋体" w:hAnsi="宋体"/>
          <w:sz w:val="30"/>
          <w:szCs w:val="30"/>
        </w:rPr>
      </w:pPr>
      <w:r>
        <w:rPr>
          <w:rFonts w:ascii="宋体" w:hAnsi="宋体"/>
          <w:sz w:val="30"/>
          <w:szCs w:val="30"/>
        </w:rPr>
        <w:t xml:space="preserve">4.3.1 </w:t>
      </w:r>
      <w:r>
        <w:rPr>
          <w:rFonts w:hint="eastAsia" w:ascii="宋体" w:hAnsi="宋体"/>
          <w:sz w:val="30"/>
          <w:szCs w:val="30"/>
        </w:rPr>
        <w:t>工程总承包项目经理姓名：</w:t>
      </w:r>
      <w:r>
        <w:rPr>
          <w:rFonts w:ascii="宋体" w:hAnsi="宋体"/>
          <w:sz w:val="30"/>
          <w:szCs w:val="30"/>
        </w:rPr>
        <w:t xml:space="preserve">                     </w:t>
      </w:r>
      <w:r>
        <w:rPr>
          <w:rFonts w:hint="eastAsia" w:ascii="宋体" w:hAnsi="宋体"/>
          <w:sz w:val="30"/>
          <w:szCs w:val="30"/>
        </w:rPr>
        <w:t>；</w:t>
      </w:r>
    </w:p>
    <w:p w14:paraId="7D61CF2C">
      <w:pPr>
        <w:rPr>
          <w:rFonts w:ascii="宋体" w:hAnsi="宋体"/>
          <w:sz w:val="30"/>
          <w:szCs w:val="30"/>
        </w:rPr>
      </w:pPr>
      <w:r>
        <w:rPr>
          <w:rFonts w:hint="eastAsia" w:ascii="宋体" w:hAnsi="宋体"/>
          <w:sz w:val="30"/>
          <w:szCs w:val="30"/>
        </w:rPr>
        <w:t>执业资格或职称类型：</w:t>
      </w:r>
      <w:r>
        <w:rPr>
          <w:rFonts w:ascii="宋体" w:hAnsi="宋体"/>
          <w:sz w:val="30"/>
          <w:szCs w:val="30"/>
        </w:rPr>
        <w:t xml:space="preserve">         </w:t>
      </w:r>
      <w:r>
        <w:rPr>
          <w:rFonts w:hint="eastAsia" w:ascii="宋体" w:hAnsi="宋体"/>
          <w:sz w:val="30"/>
          <w:szCs w:val="30"/>
        </w:rPr>
        <w:t xml:space="preserve">   </w:t>
      </w:r>
      <w:r>
        <w:rPr>
          <w:rFonts w:ascii="宋体" w:hAnsi="宋体"/>
          <w:sz w:val="30"/>
          <w:szCs w:val="30"/>
        </w:rPr>
        <w:t xml:space="preserve">                  </w:t>
      </w:r>
      <w:r>
        <w:rPr>
          <w:rFonts w:hint="eastAsia" w:ascii="宋体" w:hAnsi="宋体"/>
          <w:sz w:val="30"/>
          <w:szCs w:val="30"/>
        </w:rPr>
        <w:t>；</w:t>
      </w:r>
    </w:p>
    <w:p w14:paraId="6D695F0A">
      <w:pPr>
        <w:rPr>
          <w:rFonts w:ascii="宋体" w:hAnsi="宋体"/>
          <w:sz w:val="30"/>
          <w:szCs w:val="30"/>
        </w:rPr>
      </w:pPr>
      <w:r>
        <w:rPr>
          <w:rFonts w:hint="eastAsia" w:ascii="宋体" w:hAnsi="宋体"/>
          <w:sz w:val="30"/>
          <w:szCs w:val="30"/>
        </w:rPr>
        <w:t>执业资格证或职称证号码：</w:t>
      </w:r>
      <w:r>
        <w:rPr>
          <w:rFonts w:ascii="宋体" w:hAnsi="宋体"/>
          <w:sz w:val="30"/>
          <w:szCs w:val="30"/>
        </w:rPr>
        <w:t xml:space="preserve">                          </w:t>
      </w:r>
      <w:r>
        <w:rPr>
          <w:rFonts w:hint="eastAsia" w:ascii="宋体" w:hAnsi="宋体"/>
          <w:sz w:val="30"/>
          <w:szCs w:val="30"/>
        </w:rPr>
        <w:t>；</w:t>
      </w:r>
    </w:p>
    <w:p w14:paraId="6C0064D7">
      <w:pPr>
        <w:rPr>
          <w:rFonts w:ascii="宋体" w:hAnsi="宋体"/>
          <w:sz w:val="30"/>
          <w:szCs w:val="30"/>
        </w:rPr>
      </w:pPr>
      <w:r>
        <w:rPr>
          <w:rFonts w:hint="eastAsia" w:ascii="宋体" w:hAnsi="宋体"/>
          <w:sz w:val="30"/>
          <w:szCs w:val="30"/>
        </w:rPr>
        <w:t>联系电话：</w:t>
      </w:r>
      <w:r>
        <w:rPr>
          <w:rFonts w:ascii="宋体" w:hAnsi="宋体"/>
          <w:sz w:val="30"/>
          <w:szCs w:val="30"/>
        </w:rPr>
        <w:t xml:space="preserve">                                        </w:t>
      </w:r>
      <w:r>
        <w:rPr>
          <w:rFonts w:hint="eastAsia" w:ascii="宋体" w:hAnsi="宋体"/>
          <w:sz w:val="30"/>
          <w:szCs w:val="30"/>
        </w:rPr>
        <w:t>；</w:t>
      </w:r>
    </w:p>
    <w:p w14:paraId="2896F180">
      <w:pPr>
        <w:rPr>
          <w:rFonts w:ascii="宋体" w:hAnsi="宋体"/>
          <w:sz w:val="30"/>
          <w:szCs w:val="30"/>
        </w:rPr>
      </w:pPr>
      <w:r>
        <w:rPr>
          <w:rFonts w:hint="eastAsia" w:ascii="宋体" w:hAnsi="宋体"/>
          <w:sz w:val="30"/>
          <w:szCs w:val="30"/>
        </w:rPr>
        <w:t>电子邮箱：</w:t>
      </w:r>
      <w:r>
        <w:rPr>
          <w:rFonts w:ascii="宋体" w:hAnsi="宋体"/>
          <w:sz w:val="30"/>
          <w:szCs w:val="30"/>
        </w:rPr>
        <w:t xml:space="preserve">                                         </w:t>
      </w:r>
      <w:r>
        <w:rPr>
          <w:rFonts w:hint="eastAsia" w:ascii="宋体" w:hAnsi="宋体"/>
          <w:sz w:val="30"/>
          <w:szCs w:val="30"/>
        </w:rPr>
        <w:t>；</w:t>
      </w:r>
    </w:p>
    <w:p w14:paraId="56353AF1">
      <w:pPr>
        <w:rPr>
          <w:rFonts w:ascii="宋体" w:hAnsi="宋体"/>
          <w:sz w:val="30"/>
          <w:szCs w:val="30"/>
        </w:rPr>
      </w:pPr>
      <w:r>
        <w:rPr>
          <w:rFonts w:hint="eastAsia" w:ascii="宋体" w:hAnsi="宋体"/>
          <w:sz w:val="30"/>
          <w:szCs w:val="30"/>
        </w:rPr>
        <w:t>通信地址：</w:t>
      </w:r>
      <w:r>
        <w:rPr>
          <w:rFonts w:ascii="宋体" w:hAnsi="宋体"/>
          <w:sz w:val="30"/>
          <w:szCs w:val="30"/>
        </w:rPr>
        <w:t xml:space="preserve">                                        </w:t>
      </w:r>
      <w:r>
        <w:rPr>
          <w:rFonts w:hint="eastAsia" w:ascii="宋体" w:hAnsi="宋体"/>
          <w:sz w:val="30"/>
          <w:szCs w:val="30"/>
        </w:rPr>
        <w:t>。</w:t>
      </w:r>
    </w:p>
    <w:p w14:paraId="57640900">
      <w:pPr>
        <w:rPr>
          <w:rFonts w:ascii="宋体" w:hAnsi="宋体"/>
          <w:sz w:val="30"/>
          <w:szCs w:val="30"/>
        </w:rPr>
      </w:pPr>
      <w:r>
        <w:rPr>
          <w:rFonts w:ascii="宋体" w:hAnsi="宋体"/>
          <w:sz w:val="30"/>
          <w:szCs w:val="30"/>
        </w:rPr>
        <w:t xml:space="preserve">承包人未提交劳动合同，以及没有为工程总承包项目经理缴纳社会保险证明的违约责任：                            </w:t>
      </w:r>
      <w:r>
        <w:rPr>
          <w:rFonts w:hint="eastAsia" w:ascii="宋体" w:hAnsi="宋体"/>
          <w:sz w:val="30"/>
          <w:szCs w:val="30"/>
        </w:rPr>
        <w:t>。</w:t>
      </w:r>
    </w:p>
    <w:p w14:paraId="55A2A72A">
      <w:pPr>
        <w:rPr>
          <w:rFonts w:ascii="宋体" w:hAnsi="宋体"/>
          <w:sz w:val="30"/>
          <w:szCs w:val="30"/>
        </w:rPr>
      </w:pPr>
      <w:r>
        <w:rPr>
          <w:rFonts w:ascii="宋体" w:hAnsi="宋体"/>
          <w:sz w:val="30"/>
          <w:szCs w:val="30"/>
        </w:rPr>
        <w:t xml:space="preserve">4.3.2 </w:t>
      </w:r>
      <w:r>
        <w:rPr>
          <w:rFonts w:hint="eastAsia" w:ascii="宋体" w:hAnsi="宋体"/>
          <w:sz w:val="30"/>
          <w:szCs w:val="30"/>
        </w:rPr>
        <w:t>工程总承包项目经理每月在现场的时间要求：</w:t>
      </w:r>
      <w:r>
        <w:rPr>
          <w:rFonts w:ascii="宋体" w:hAnsi="宋体"/>
          <w:sz w:val="30"/>
          <w:szCs w:val="30"/>
        </w:rPr>
        <w:t xml:space="preserve">                                                  </w:t>
      </w:r>
      <w:r>
        <w:rPr>
          <w:rFonts w:hint="eastAsia" w:ascii="宋体" w:hAnsi="宋体"/>
          <w:sz w:val="30"/>
          <w:szCs w:val="30"/>
        </w:rPr>
        <w:t>。</w:t>
      </w:r>
    </w:p>
    <w:p w14:paraId="33DA3CD4">
      <w:pPr>
        <w:rPr>
          <w:rFonts w:ascii="宋体" w:hAnsi="宋体"/>
          <w:sz w:val="30"/>
          <w:szCs w:val="30"/>
        </w:rPr>
      </w:pPr>
      <w:r>
        <w:rPr>
          <w:rFonts w:hint="eastAsia" w:ascii="宋体" w:hAnsi="宋体"/>
          <w:sz w:val="30"/>
          <w:szCs w:val="30"/>
        </w:rPr>
        <w:t>工程总承包项目经理未经批准擅自离开施工现场的违约责任：</w:t>
      </w:r>
      <w:r>
        <w:rPr>
          <w:rFonts w:ascii="宋体" w:hAnsi="宋体"/>
          <w:sz w:val="30"/>
          <w:szCs w:val="30"/>
        </w:rPr>
        <w:t xml:space="preserve">                                                  </w:t>
      </w:r>
      <w:r>
        <w:rPr>
          <w:rFonts w:hint="eastAsia" w:ascii="宋体" w:hAnsi="宋体"/>
          <w:sz w:val="30"/>
          <w:szCs w:val="30"/>
        </w:rPr>
        <w:t>。</w:t>
      </w:r>
    </w:p>
    <w:p w14:paraId="374F8A5F">
      <w:pPr>
        <w:rPr>
          <w:rFonts w:ascii="宋体" w:hAnsi="宋体"/>
          <w:sz w:val="30"/>
          <w:szCs w:val="30"/>
        </w:rPr>
      </w:pPr>
      <w:r>
        <w:rPr>
          <w:rFonts w:ascii="宋体" w:hAnsi="宋体"/>
          <w:sz w:val="30"/>
          <w:szCs w:val="30"/>
        </w:rPr>
        <w:t xml:space="preserve">4.3.3 </w:t>
      </w:r>
      <w:r>
        <w:rPr>
          <w:rFonts w:hint="eastAsia" w:ascii="宋体" w:hAnsi="宋体"/>
          <w:sz w:val="30"/>
          <w:szCs w:val="30"/>
        </w:rPr>
        <w:t>承包人对工程总承包项目经理的授权范围:</w:t>
      </w:r>
      <w:r>
        <w:rPr>
          <w:rFonts w:ascii="宋体" w:hAnsi="宋体"/>
          <w:sz w:val="30"/>
          <w:szCs w:val="30"/>
        </w:rPr>
        <w:t xml:space="preserve">                                                   </w:t>
      </w:r>
      <w:r>
        <w:rPr>
          <w:rFonts w:hint="eastAsia" w:ascii="宋体" w:hAnsi="宋体"/>
          <w:sz w:val="30"/>
          <w:szCs w:val="30"/>
        </w:rPr>
        <w:t>。</w:t>
      </w:r>
    </w:p>
    <w:p w14:paraId="33D2C8B3">
      <w:pPr>
        <w:rPr>
          <w:rFonts w:ascii="宋体" w:hAnsi="宋体"/>
          <w:sz w:val="30"/>
          <w:szCs w:val="30"/>
        </w:rPr>
      </w:pPr>
      <w:r>
        <w:rPr>
          <w:rFonts w:ascii="宋体" w:hAnsi="宋体"/>
          <w:sz w:val="30"/>
          <w:szCs w:val="30"/>
        </w:rPr>
        <w:t xml:space="preserve">4.3.4 </w:t>
      </w:r>
      <w:r>
        <w:rPr>
          <w:rFonts w:hint="eastAsia" w:ascii="宋体" w:hAnsi="宋体"/>
          <w:sz w:val="30"/>
          <w:szCs w:val="30"/>
        </w:rPr>
        <w:t>承包人</w:t>
      </w:r>
      <w:r>
        <w:rPr>
          <w:rFonts w:ascii="宋体" w:hAnsi="宋体"/>
          <w:sz w:val="30"/>
          <w:szCs w:val="30"/>
        </w:rPr>
        <w:t>擅自更换工程总承包项目经理的违约</w:t>
      </w:r>
      <w:r>
        <w:rPr>
          <w:rFonts w:hint="eastAsia" w:ascii="宋体" w:hAnsi="宋体"/>
          <w:sz w:val="30"/>
          <w:szCs w:val="30"/>
        </w:rPr>
        <w:t>责任：</w:t>
      </w:r>
      <w:r>
        <w:rPr>
          <w:rFonts w:ascii="宋体" w:hAnsi="宋体"/>
          <w:sz w:val="30"/>
          <w:szCs w:val="30"/>
        </w:rPr>
        <w:t xml:space="preserve">                                                  </w:t>
      </w:r>
      <w:r>
        <w:rPr>
          <w:rFonts w:hint="eastAsia" w:ascii="宋体" w:hAnsi="宋体"/>
          <w:sz w:val="30"/>
          <w:szCs w:val="30"/>
        </w:rPr>
        <w:t>。</w:t>
      </w:r>
    </w:p>
    <w:p w14:paraId="3B3F0852">
      <w:pPr>
        <w:rPr>
          <w:rFonts w:ascii="宋体" w:hAnsi="宋体"/>
          <w:sz w:val="30"/>
          <w:szCs w:val="30"/>
        </w:rPr>
      </w:pPr>
      <w:r>
        <w:rPr>
          <w:rFonts w:ascii="宋体" w:hAnsi="宋体"/>
          <w:sz w:val="30"/>
          <w:szCs w:val="30"/>
        </w:rPr>
        <w:t>4.3.5 承包人无正当理由拒绝更换工程总承包项目经理的违约责任</w:t>
      </w:r>
      <w:r>
        <w:rPr>
          <w:rFonts w:hint="eastAsia" w:ascii="宋体" w:hAnsi="宋体"/>
          <w:sz w:val="30"/>
          <w:szCs w:val="30"/>
        </w:rPr>
        <w:t>:</w:t>
      </w:r>
      <w:r>
        <w:rPr>
          <w:rFonts w:ascii="宋体" w:hAnsi="宋体"/>
          <w:sz w:val="30"/>
          <w:szCs w:val="30"/>
        </w:rPr>
        <w:t xml:space="preserve">                                             。</w:t>
      </w:r>
    </w:p>
    <w:p w14:paraId="617D5FB0">
      <w:pPr>
        <w:rPr>
          <w:rFonts w:ascii="宋体" w:hAnsi="宋体"/>
          <w:sz w:val="30"/>
          <w:szCs w:val="30"/>
        </w:rPr>
      </w:pPr>
      <w:r>
        <w:rPr>
          <w:rFonts w:ascii="宋体" w:hAnsi="宋体"/>
          <w:sz w:val="30"/>
          <w:szCs w:val="30"/>
        </w:rPr>
        <w:t xml:space="preserve">4.4 </w:t>
      </w:r>
      <w:r>
        <w:rPr>
          <w:rFonts w:hint="eastAsia" w:ascii="宋体" w:hAnsi="宋体"/>
          <w:sz w:val="30"/>
          <w:szCs w:val="30"/>
        </w:rPr>
        <w:t>承包人人员</w:t>
      </w:r>
    </w:p>
    <w:p w14:paraId="631C56D1">
      <w:pPr>
        <w:rPr>
          <w:rFonts w:ascii="宋体" w:hAnsi="宋体"/>
          <w:sz w:val="30"/>
          <w:szCs w:val="30"/>
        </w:rPr>
      </w:pPr>
      <w:r>
        <w:rPr>
          <w:rFonts w:ascii="宋体" w:hAnsi="宋体"/>
          <w:sz w:val="30"/>
          <w:szCs w:val="30"/>
        </w:rPr>
        <w:t xml:space="preserve">4.4.1 </w:t>
      </w:r>
      <w:r>
        <w:rPr>
          <w:rFonts w:hint="eastAsia" w:ascii="宋体" w:hAnsi="宋体"/>
          <w:sz w:val="30"/>
          <w:szCs w:val="30"/>
        </w:rPr>
        <w:t>人员安排</w:t>
      </w:r>
    </w:p>
    <w:p w14:paraId="515DB76B">
      <w:pPr>
        <w:rPr>
          <w:rFonts w:ascii="宋体" w:hAnsi="宋体"/>
          <w:sz w:val="30"/>
          <w:szCs w:val="30"/>
        </w:rPr>
      </w:pPr>
      <w:r>
        <w:rPr>
          <w:rFonts w:ascii="宋体" w:hAnsi="宋体"/>
          <w:sz w:val="30"/>
          <w:szCs w:val="30"/>
        </w:rPr>
        <w:t>承包人</w:t>
      </w:r>
      <w:r>
        <w:rPr>
          <w:rFonts w:hint="eastAsia" w:ascii="宋体" w:hAnsi="宋体"/>
          <w:sz w:val="30"/>
          <w:szCs w:val="30"/>
        </w:rPr>
        <w:t>提交</w:t>
      </w:r>
      <w:r>
        <w:rPr>
          <w:rFonts w:ascii="宋体" w:hAnsi="宋体"/>
          <w:sz w:val="30"/>
          <w:szCs w:val="30"/>
        </w:rPr>
        <w:t>项目管理机构及施工现场人员安排的报告</w:t>
      </w:r>
      <w:r>
        <w:rPr>
          <w:rFonts w:hint="eastAsia" w:ascii="宋体" w:hAnsi="宋体"/>
          <w:sz w:val="30"/>
          <w:szCs w:val="30"/>
        </w:rPr>
        <w:t>的期限：</w:t>
      </w:r>
      <w:r>
        <w:rPr>
          <w:rFonts w:ascii="宋体" w:hAnsi="宋体"/>
          <w:sz w:val="30"/>
          <w:szCs w:val="30"/>
        </w:rPr>
        <w:t xml:space="preserve">                                                  </w:t>
      </w:r>
      <w:r>
        <w:rPr>
          <w:rFonts w:hint="eastAsia" w:ascii="宋体" w:hAnsi="宋体"/>
          <w:sz w:val="30"/>
          <w:szCs w:val="30"/>
        </w:rPr>
        <w:t>。</w:t>
      </w:r>
    </w:p>
    <w:p w14:paraId="6E046617">
      <w:pPr>
        <w:rPr>
          <w:rFonts w:ascii="宋体" w:hAnsi="宋体"/>
          <w:sz w:val="30"/>
          <w:szCs w:val="30"/>
        </w:rPr>
      </w:pPr>
      <w:r>
        <w:rPr>
          <w:rFonts w:hint="eastAsia" w:ascii="宋体" w:hAnsi="宋体"/>
          <w:sz w:val="30"/>
          <w:szCs w:val="30"/>
        </w:rPr>
        <w:t>承包人提交关键人员信息及注册执业资格等证明其具备担任关键人员能力的相关文件的期限：</w:t>
      </w:r>
      <w:r>
        <w:rPr>
          <w:rFonts w:ascii="宋体" w:hAnsi="宋体"/>
          <w:sz w:val="30"/>
          <w:szCs w:val="30"/>
        </w:rPr>
        <w:t xml:space="preserve">                      </w:t>
      </w:r>
      <w:r>
        <w:rPr>
          <w:rFonts w:hint="eastAsia" w:ascii="宋体" w:hAnsi="宋体"/>
          <w:sz w:val="30"/>
          <w:szCs w:val="30"/>
        </w:rPr>
        <w:t>。</w:t>
      </w:r>
    </w:p>
    <w:p w14:paraId="2542522E">
      <w:pPr>
        <w:rPr>
          <w:rFonts w:ascii="宋体" w:hAnsi="宋体"/>
          <w:sz w:val="30"/>
          <w:szCs w:val="30"/>
        </w:rPr>
      </w:pPr>
      <w:r>
        <w:rPr>
          <w:rFonts w:ascii="宋体" w:hAnsi="宋体"/>
          <w:sz w:val="30"/>
          <w:szCs w:val="30"/>
        </w:rPr>
        <w:t xml:space="preserve">4.4.2 </w:t>
      </w:r>
      <w:r>
        <w:rPr>
          <w:rFonts w:hint="eastAsia" w:ascii="宋体" w:hAnsi="宋体"/>
          <w:sz w:val="30"/>
          <w:szCs w:val="30"/>
        </w:rPr>
        <w:t>关键人员更换</w:t>
      </w:r>
    </w:p>
    <w:p w14:paraId="1E3AD677">
      <w:pPr>
        <w:rPr>
          <w:rFonts w:ascii="宋体" w:hAnsi="宋体"/>
          <w:sz w:val="30"/>
          <w:szCs w:val="30"/>
        </w:rPr>
      </w:pPr>
      <w:r>
        <w:rPr>
          <w:rFonts w:ascii="宋体" w:hAnsi="宋体"/>
          <w:sz w:val="30"/>
          <w:szCs w:val="30"/>
        </w:rPr>
        <w:t>承包人擅自更换</w:t>
      </w:r>
      <w:r>
        <w:rPr>
          <w:rFonts w:hint="eastAsia" w:ascii="宋体" w:hAnsi="宋体"/>
          <w:sz w:val="30"/>
          <w:szCs w:val="30"/>
        </w:rPr>
        <w:t>关键人员</w:t>
      </w:r>
      <w:r>
        <w:rPr>
          <w:rFonts w:ascii="宋体" w:hAnsi="宋体"/>
          <w:sz w:val="30"/>
          <w:szCs w:val="30"/>
        </w:rPr>
        <w:t xml:space="preserve">的违约责任：                </w:t>
      </w:r>
      <w:r>
        <w:rPr>
          <w:rFonts w:hint="eastAsia" w:ascii="宋体" w:hAnsi="宋体"/>
          <w:sz w:val="30"/>
          <w:szCs w:val="30"/>
        </w:rPr>
        <w:t>。</w:t>
      </w:r>
    </w:p>
    <w:p w14:paraId="5BF70F3A">
      <w:pPr>
        <w:rPr>
          <w:rFonts w:ascii="宋体" w:hAnsi="宋体"/>
          <w:sz w:val="30"/>
          <w:szCs w:val="30"/>
        </w:rPr>
      </w:pPr>
      <w:r>
        <w:rPr>
          <w:rFonts w:ascii="宋体" w:hAnsi="宋体"/>
          <w:sz w:val="30"/>
          <w:szCs w:val="30"/>
        </w:rPr>
        <w:t>承包人无正当理由拒绝撤换</w:t>
      </w:r>
      <w:r>
        <w:rPr>
          <w:rFonts w:hint="eastAsia" w:ascii="宋体" w:hAnsi="宋体"/>
          <w:sz w:val="30"/>
          <w:szCs w:val="30"/>
        </w:rPr>
        <w:t>关键人员</w:t>
      </w:r>
      <w:r>
        <w:rPr>
          <w:rFonts w:ascii="宋体" w:hAnsi="宋体"/>
          <w:sz w:val="30"/>
          <w:szCs w:val="30"/>
        </w:rPr>
        <w:t xml:space="preserve">的违约责任：                                                  </w:t>
      </w:r>
      <w:r>
        <w:rPr>
          <w:rFonts w:hint="eastAsia" w:ascii="宋体" w:hAnsi="宋体"/>
          <w:sz w:val="30"/>
          <w:szCs w:val="30"/>
        </w:rPr>
        <w:t>。</w:t>
      </w:r>
    </w:p>
    <w:p w14:paraId="0DA6B373">
      <w:pPr>
        <w:rPr>
          <w:rFonts w:ascii="宋体" w:hAnsi="宋体"/>
          <w:sz w:val="30"/>
          <w:szCs w:val="30"/>
        </w:rPr>
      </w:pPr>
      <w:r>
        <w:rPr>
          <w:rFonts w:ascii="宋体" w:hAnsi="宋体"/>
          <w:sz w:val="30"/>
          <w:szCs w:val="30"/>
        </w:rPr>
        <w:t xml:space="preserve">4.4.3 </w:t>
      </w:r>
      <w:r>
        <w:rPr>
          <w:rFonts w:hint="eastAsia" w:ascii="宋体" w:hAnsi="宋体"/>
          <w:sz w:val="30"/>
          <w:szCs w:val="30"/>
        </w:rPr>
        <w:t>现场管理关键人员在岗要求</w:t>
      </w:r>
    </w:p>
    <w:p w14:paraId="2FF6158B">
      <w:pPr>
        <w:rPr>
          <w:rFonts w:ascii="宋体" w:hAnsi="宋体"/>
          <w:sz w:val="30"/>
          <w:szCs w:val="30"/>
        </w:rPr>
      </w:pPr>
      <w:r>
        <w:rPr>
          <w:rFonts w:ascii="宋体" w:hAnsi="宋体"/>
          <w:sz w:val="30"/>
          <w:szCs w:val="30"/>
        </w:rPr>
        <w:t>承包人</w:t>
      </w:r>
      <w:r>
        <w:rPr>
          <w:rFonts w:hint="eastAsia" w:ascii="宋体" w:hAnsi="宋体"/>
          <w:sz w:val="30"/>
          <w:szCs w:val="30"/>
        </w:rPr>
        <w:t>现场管理关键</w:t>
      </w:r>
      <w:r>
        <w:rPr>
          <w:rFonts w:ascii="宋体" w:hAnsi="宋体"/>
          <w:sz w:val="30"/>
          <w:szCs w:val="30"/>
        </w:rPr>
        <w:t>人员离开施工现场的批准要求</w:t>
      </w:r>
      <w:r>
        <w:rPr>
          <w:rFonts w:hint="eastAsia" w:ascii="宋体" w:hAnsi="宋体"/>
          <w:sz w:val="30"/>
          <w:szCs w:val="30"/>
        </w:rPr>
        <w:t>：</w:t>
      </w:r>
      <w:r>
        <w:rPr>
          <w:rFonts w:ascii="宋体" w:hAnsi="宋体"/>
          <w:sz w:val="30"/>
          <w:szCs w:val="30"/>
        </w:rPr>
        <w:t xml:space="preserve">                                                   </w:t>
      </w:r>
      <w:r>
        <w:rPr>
          <w:rFonts w:hint="eastAsia" w:ascii="宋体" w:hAnsi="宋体"/>
          <w:sz w:val="30"/>
          <w:szCs w:val="30"/>
        </w:rPr>
        <w:t>。</w:t>
      </w:r>
    </w:p>
    <w:p w14:paraId="1F88C3E9">
      <w:pPr>
        <w:rPr>
          <w:rFonts w:ascii="宋体" w:hAnsi="宋体"/>
          <w:sz w:val="30"/>
          <w:szCs w:val="30"/>
        </w:rPr>
      </w:pPr>
      <w:r>
        <w:rPr>
          <w:rFonts w:hint="eastAsia" w:ascii="宋体" w:hAnsi="宋体"/>
          <w:sz w:val="30"/>
          <w:szCs w:val="30"/>
        </w:rPr>
        <w:t>承包人现场管理关键人员擅自离开施工现场的违约责任：</w:t>
      </w:r>
      <w:r>
        <w:rPr>
          <w:rFonts w:ascii="宋体" w:hAnsi="宋体"/>
          <w:sz w:val="30"/>
          <w:szCs w:val="30"/>
        </w:rPr>
        <w:t xml:space="preserve">                                                  </w:t>
      </w:r>
      <w:r>
        <w:rPr>
          <w:rFonts w:hint="eastAsia" w:ascii="宋体" w:hAnsi="宋体"/>
          <w:sz w:val="30"/>
          <w:szCs w:val="30"/>
        </w:rPr>
        <w:t>。</w:t>
      </w:r>
    </w:p>
    <w:p w14:paraId="64D48E23">
      <w:pPr>
        <w:rPr>
          <w:rFonts w:ascii="宋体" w:hAnsi="宋体"/>
          <w:sz w:val="30"/>
          <w:szCs w:val="30"/>
        </w:rPr>
      </w:pPr>
      <w:r>
        <w:rPr>
          <w:rFonts w:ascii="宋体" w:hAnsi="宋体"/>
          <w:sz w:val="30"/>
          <w:szCs w:val="30"/>
        </w:rPr>
        <w:t xml:space="preserve">4.5 </w:t>
      </w:r>
      <w:r>
        <w:rPr>
          <w:rFonts w:hint="eastAsia" w:ascii="宋体" w:hAnsi="宋体"/>
          <w:sz w:val="30"/>
          <w:szCs w:val="30"/>
        </w:rPr>
        <w:t>分包</w:t>
      </w:r>
    </w:p>
    <w:p w14:paraId="73DB2A7F">
      <w:pPr>
        <w:rPr>
          <w:rFonts w:ascii="宋体" w:hAnsi="宋体"/>
          <w:sz w:val="30"/>
          <w:szCs w:val="30"/>
        </w:rPr>
      </w:pPr>
      <w:r>
        <w:rPr>
          <w:rFonts w:ascii="宋体" w:hAnsi="宋体"/>
          <w:sz w:val="30"/>
          <w:szCs w:val="30"/>
        </w:rPr>
        <w:t xml:space="preserve">4.5.1 </w:t>
      </w:r>
      <w:r>
        <w:rPr>
          <w:rFonts w:hint="eastAsia" w:ascii="宋体" w:hAnsi="宋体"/>
          <w:sz w:val="30"/>
          <w:szCs w:val="30"/>
        </w:rPr>
        <w:t>一般约定</w:t>
      </w:r>
    </w:p>
    <w:p w14:paraId="3049866D">
      <w:pPr>
        <w:rPr>
          <w:rFonts w:ascii="宋体" w:hAnsi="宋体"/>
          <w:sz w:val="30"/>
          <w:szCs w:val="30"/>
        </w:rPr>
      </w:pPr>
      <w:r>
        <w:rPr>
          <w:rFonts w:ascii="宋体" w:hAnsi="宋体"/>
          <w:sz w:val="30"/>
          <w:szCs w:val="30"/>
        </w:rPr>
        <w:t>禁止分包的工程包括：                               。</w:t>
      </w:r>
    </w:p>
    <w:p w14:paraId="5683E323">
      <w:pPr>
        <w:rPr>
          <w:rFonts w:ascii="宋体" w:hAnsi="宋体"/>
          <w:sz w:val="30"/>
          <w:szCs w:val="30"/>
        </w:rPr>
      </w:pPr>
      <w:r>
        <w:rPr>
          <w:rFonts w:ascii="宋体" w:hAnsi="宋体"/>
          <w:sz w:val="30"/>
          <w:szCs w:val="30"/>
        </w:rPr>
        <w:t xml:space="preserve">4.5.2 </w:t>
      </w:r>
      <w:r>
        <w:rPr>
          <w:rFonts w:hint="eastAsia" w:ascii="宋体" w:hAnsi="宋体"/>
          <w:sz w:val="30"/>
          <w:szCs w:val="30"/>
        </w:rPr>
        <w:t>分包的确定</w:t>
      </w:r>
    </w:p>
    <w:p w14:paraId="34F8095E">
      <w:pPr>
        <w:rPr>
          <w:rFonts w:ascii="宋体" w:hAnsi="宋体"/>
          <w:sz w:val="30"/>
          <w:szCs w:val="30"/>
        </w:rPr>
      </w:pPr>
      <w:r>
        <w:rPr>
          <w:rFonts w:ascii="宋体" w:hAnsi="宋体"/>
          <w:sz w:val="30"/>
          <w:szCs w:val="30"/>
        </w:rPr>
        <w:t>允许分包的工程包括：                              。</w:t>
      </w:r>
    </w:p>
    <w:p w14:paraId="42A47375">
      <w:pPr>
        <w:rPr>
          <w:rFonts w:ascii="宋体" w:hAnsi="宋体"/>
          <w:sz w:val="30"/>
          <w:szCs w:val="30"/>
        </w:rPr>
      </w:pPr>
      <w:r>
        <w:rPr>
          <w:rFonts w:ascii="宋体" w:hAnsi="宋体"/>
          <w:sz w:val="30"/>
          <w:szCs w:val="30"/>
        </w:rPr>
        <w:t>其他关于分包的约定：                               。</w:t>
      </w:r>
    </w:p>
    <w:p w14:paraId="1139E522">
      <w:pPr>
        <w:rPr>
          <w:rFonts w:ascii="宋体" w:hAnsi="宋体"/>
          <w:sz w:val="30"/>
          <w:szCs w:val="30"/>
        </w:rPr>
      </w:pPr>
      <w:r>
        <w:rPr>
          <w:rFonts w:ascii="宋体" w:hAnsi="宋体"/>
          <w:sz w:val="30"/>
          <w:szCs w:val="30"/>
        </w:rPr>
        <w:t xml:space="preserve">4.5.5 </w:t>
      </w:r>
      <w:r>
        <w:rPr>
          <w:rFonts w:hint="eastAsia" w:ascii="宋体" w:hAnsi="宋体"/>
          <w:sz w:val="30"/>
          <w:szCs w:val="30"/>
        </w:rPr>
        <w:t>分包合同价款支付</w:t>
      </w:r>
    </w:p>
    <w:p w14:paraId="2B903A45">
      <w:pPr>
        <w:rPr>
          <w:rFonts w:ascii="宋体" w:hAnsi="宋体"/>
          <w:sz w:val="30"/>
          <w:szCs w:val="30"/>
        </w:rPr>
      </w:pPr>
      <w:r>
        <w:rPr>
          <w:rFonts w:hint="eastAsia" w:ascii="宋体" w:hAnsi="宋体"/>
          <w:sz w:val="30"/>
          <w:szCs w:val="30"/>
        </w:rPr>
        <w:t>关于分包合同价款支付的约定：</w:t>
      </w:r>
      <w:r>
        <w:rPr>
          <w:rFonts w:ascii="宋体" w:hAnsi="宋体"/>
          <w:sz w:val="30"/>
          <w:szCs w:val="30"/>
        </w:rPr>
        <w:t xml:space="preserve">                      。</w:t>
      </w:r>
    </w:p>
    <w:p w14:paraId="2C1D8FB5">
      <w:pPr>
        <w:rPr>
          <w:rFonts w:ascii="宋体" w:hAnsi="宋体"/>
          <w:sz w:val="30"/>
          <w:szCs w:val="30"/>
        </w:rPr>
      </w:pPr>
      <w:r>
        <w:rPr>
          <w:rFonts w:ascii="宋体" w:hAnsi="宋体"/>
          <w:sz w:val="30"/>
          <w:szCs w:val="30"/>
        </w:rPr>
        <w:t xml:space="preserve">4.6 </w:t>
      </w:r>
      <w:r>
        <w:rPr>
          <w:rFonts w:hint="eastAsia" w:ascii="宋体" w:hAnsi="宋体"/>
          <w:sz w:val="30"/>
          <w:szCs w:val="30"/>
        </w:rPr>
        <w:t>联合体</w:t>
      </w:r>
    </w:p>
    <w:p w14:paraId="5FFBF2C7">
      <w:pPr>
        <w:rPr>
          <w:rFonts w:ascii="宋体" w:hAnsi="宋体"/>
          <w:sz w:val="30"/>
          <w:szCs w:val="30"/>
        </w:rPr>
      </w:pPr>
      <w:r>
        <w:rPr>
          <w:rFonts w:hint="eastAsia" w:ascii="宋体" w:hAnsi="宋体"/>
          <w:sz w:val="30"/>
          <w:szCs w:val="30"/>
        </w:rPr>
        <w:t>4</w:t>
      </w:r>
      <w:r>
        <w:rPr>
          <w:rFonts w:ascii="宋体" w:hAnsi="宋体"/>
          <w:sz w:val="30"/>
          <w:szCs w:val="30"/>
        </w:rPr>
        <w:t xml:space="preserve">.6.2 </w:t>
      </w:r>
      <w:r>
        <w:rPr>
          <w:rFonts w:hint="eastAsia" w:ascii="宋体" w:hAnsi="宋体"/>
          <w:sz w:val="30"/>
          <w:szCs w:val="30"/>
        </w:rPr>
        <w:t>联合体各成员的分工、费用收取、发票开具等事项：</w:t>
      </w:r>
      <w:r>
        <w:rPr>
          <w:rFonts w:ascii="宋体" w:hAnsi="宋体"/>
          <w:sz w:val="30"/>
          <w:szCs w:val="30"/>
        </w:rPr>
        <w:t xml:space="preserve">                                                  </w:t>
      </w:r>
      <w:r>
        <w:rPr>
          <w:rFonts w:hint="eastAsia" w:ascii="宋体" w:hAnsi="宋体"/>
          <w:sz w:val="30"/>
          <w:szCs w:val="30"/>
        </w:rPr>
        <w:t>。</w:t>
      </w:r>
    </w:p>
    <w:p w14:paraId="5F0F429C">
      <w:pPr>
        <w:rPr>
          <w:rFonts w:ascii="宋体" w:hAnsi="宋体"/>
          <w:sz w:val="30"/>
          <w:szCs w:val="30"/>
        </w:rPr>
      </w:pPr>
      <w:r>
        <w:rPr>
          <w:rFonts w:ascii="宋体" w:hAnsi="宋体"/>
          <w:sz w:val="30"/>
          <w:szCs w:val="30"/>
        </w:rPr>
        <w:t xml:space="preserve">4.7 </w:t>
      </w:r>
      <w:r>
        <w:rPr>
          <w:rFonts w:hint="eastAsia" w:ascii="宋体" w:hAnsi="宋体"/>
          <w:sz w:val="30"/>
          <w:szCs w:val="30"/>
        </w:rPr>
        <w:t>承包人现场查勘</w:t>
      </w:r>
    </w:p>
    <w:p w14:paraId="2D814C94">
      <w:pPr>
        <w:rPr>
          <w:rFonts w:ascii="宋体" w:hAnsi="宋体"/>
          <w:sz w:val="30"/>
          <w:szCs w:val="30"/>
        </w:rPr>
      </w:pPr>
      <w:r>
        <w:rPr>
          <w:rFonts w:hint="eastAsia" w:ascii="宋体" w:hAnsi="宋体"/>
          <w:sz w:val="30"/>
          <w:szCs w:val="30"/>
        </w:rPr>
        <w:t>4</w:t>
      </w:r>
      <w:r>
        <w:rPr>
          <w:rFonts w:ascii="宋体" w:hAnsi="宋体"/>
          <w:sz w:val="30"/>
          <w:szCs w:val="30"/>
        </w:rPr>
        <w:t xml:space="preserve">.7.1 </w:t>
      </w:r>
      <w:r>
        <w:rPr>
          <w:rFonts w:hint="eastAsia" w:ascii="宋体" w:hAnsi="宋体"/>
          <w:sz w:val="30"/>
          <w:szCs w:val="30"/>
        </w:rPr>
        <w:t>双方当事人对现场查勘的责任承担的约定：</w:t>
      </w:r>
      <w:r>
        <w:rPr>
          <w:rFonts w:ascii="宋体" w:hAnsi="宋体"/>
          <w:sz w:val="30"/>
          <w:szCs w:val="30"/>
        </w:rPr>
        <w:t xml:space="preserve">                                                  </w:t>
      </w:r>
      <w:r>
        <w:rPr>
          <w:rFonts w:hint="eastAsia" w:ascii="宋体" w:hAnsi="宋体"/>
          <w:sz w:val="30"/>
          <w:szCs w:val="30"/>
        </w:rPr>
        <w:t>。</w:t>
      </w:r>
    </w:p>
    <w:p w14:paraId="6D551D8C">
      <w:pPr>
        <w:rPr>
          <w:rFonts w:ascii="宋体" w:hAnsi="宋体"/>
          <w:sz w:val="30"/>
          <w:szCs w:val="30"/>
        </w:rPr>
      </w:pPr>
      <w:r>
        <w:rPr>
          <w:rFonts w:ascii="宋体" w:hAnsi="宋体"/>
          <w:sz w:val="30"/>
          <w:szCs w:val="30"/>
        </w:rPr>
        <w:t xml:space="preserve">4.8 </w:t>
      </w:r>
      <w:r>
        <w:rPr>
          <w:rFonts w:hint="eastAsia" w:ascii="宋体" w:hAnsi="宋体"/>
          <w:sz w:val="30"/>
          <w:szCs w:val="30"/>
        </w:rPr>
        <w:t>不可预见的困难</w:t>
      </w:r>
    </w:p>
    <w:p w14:paraId="562F843E">
      <w:pPr>
        <w:rPr>
          <w:rFonts w:ascii="宋体" w:hAnsi="宋体"/>
          <w:sz w:val="30"/>
          <w:szCs w:val="30"/>
        </w:rPr>
      </w:pPr>
      <w:r>
        <w:rPr>
          <w:rFonts w:hint="eastAsia" w:ascii="宋体" w:hAnsi="宋体"/>
          <w:sz w:val="30"/>
          <w:szCs w:val="30"/>
        </w:rPr>
        <w:t>不可预见的困难包括：</w:t>
      </w:r>
      <w:r>
        <w:rPr>
          <w:rFonts w:ascii="宋体" w:hAnsi="宋体"/>
          <w:sz w:val="30"/>
          <w:szCs w:val="30"/>
        </w:rPr>
        <w:t xml:space="preserve">                              。</w:t>
      </w:r>
    </w:p>
    <w:p w14:paraId="7A131949">
      <w:pPr>
        <w:rPr>
          <w:rFonts w:ascii="宋体" w:hAnsi="宋体"/>
          <w:sz w:val="30"/>
          <w:szCs w:val="30"/>
        </w:rPr>
      </w:pPr>
      <w:bookmarkStart w:id="736" w:name="_Toc54862336"/>
      <w:r>
        <w:rPr>
          <w:rFonts w:hint="eastAsia" w:ascii="宋体" w:hAnsi="宋体"/>
          <w:sz w:val="30"/>
          <w:szCs w:val="30"/>
        </w:rPr>
        <w:t>第</w:t>
      </w:r>
      <w:r>
        <w:rPr>
          <w:rFonts w:ascii="宋体" w:hAnsi="宋体"/>
          <w:sz w:val="30"/>
          <w:szCs w:val="30"/>
        </w:rPr>
        <w:t>5条</w:t>
      </w:r>
      <w:r>
        <w:rPr>
          <w:rFonts w:hint="eastAsia" w:ascii="宋体" w:hAnsi="宋体"/>
          <w:sz w:val="30"/>
          <w:szCs w:val="30"/>
        </w:rPr>
        <w:t xml:space="preserve"> 设计</w:t>
      </w:r>
      <w:bookmarkEnd w:id="736"/>
    </w:p>
    <w:p w14:paraId="040C3C63">
      <w:pPr>
        <w:rPr>
          <w:rFonts w:ascii="宋体" w:hAnsi="宋体"/>
          <w:sz w:val="30"/>
          <w:szCs w:val="30"/>
        </w:rPr>
      </w:pPr>
      <w:r>
        <w:rPr>
          <w:rFonts w:ascii="宋体" w:hAnsi="宋体"/>
          <w:sz w:val="30"/>
          <w:szCs w:val="30"/>
        </w:rPr>
        <w:t xml:space="preserve">5.2 </w:t>
      </w:r>
      <w:r>
        <w:rPr>
          <w:rFonts w:hint="eastAsia" w:ascii="宋体" w:hAnsi="宋体"/>
          <w:sz w:val="30"/>
          <w:szCs w:val="30"/>
        </w:rPr>
        <w:t>承包人文件审查</w:t>
      </w:r>
    </w:p>
    <w:p w14:paraId="51AD3CA6">
      <w:pPr>
        <w:rPr>
          <w:rFonts w:ascii="宋体" w:hAnsi="宋体"/>
          <w:sz w:val="30"/>
          <w:szCs w:val="30"/>
        </w:rPr>
      </w:pPr>
      <w:r>
        <w:rPr>
          <w:rFonts w:hint="eastAsia" w:ascii="宋体" w:hAnsi="宋体"/>
          <w:sz w:val="30"/>
          <w:szCs w:val="30"/>
        </w:rPr>
        <w:t>5</w:t>
      </w:r>
      <w:r>
        <w:rPr>
          <w:rFonts w:ascii="宋体" w:hAnsi="宋体"/>
          <w:sz w:val="30"/>
          <w:szCs w:val="30"/>
        </w:rPr>
        <w:t xml:space="preserve">.2.1 </w:t>
      </w:r>
      <w:r>
        <w:rPr>
          <w:rFonts w:hint="eastAsia" w:ascii="宋体" w:hAnsi="宋体"/>
          <w:sz w:val="30"/>
          <w:szCs w:val="30"/>
        </w:rPr>
        <w:t>承包人文件审查的期限：</w:t>
      </w:r>
      <w:r>
        <w:rPr>
          <w:rFonts w:ascii="宋体" w:hAnsi="宋体"/>
          <w:sz w:val="30"/>
          <w:szCs w:val="30"/>
        </w:rPr>
        <w:t xml:space="preserve">                       </w:t>
      </w:r>
      <w:r>
        <w:rPr>
          <w:rFonts w:hint="eastAsia" w:ascii="宋体" w:hAnsi="宋体"/>
          <w:sz w:val="30"/>
          <w:szCs w:val="30"/>
        </w:rPr>
        <w:t>。</w:t>
      </w:r>
    </w:p>
    <w:p w14:paraId="128E7022">
      <w:pPr>
        <w:rPr>
          <w:rFonts w:ascii="宋体" w:hAnsi="宋体"/>
          <w:sz w:val="30"/>
          <w:szCs w:val="30"/>
        </w:rPr>
      </w:pPr>
      <w:r>
        <w:rPr>
          <w:rFonts w:ascii="宋体" w:hAnsi="宋体"/>
          <w:sz w:val="30"/>
          <w:szCs w:val="30"/>
        </w:rPr>
        <w:t xml:space="preserve">5.2.2 </w:t>
      </w:r>
      <w:r>
        <w:rPr>
          <w:rFonts w:hint="eastAsia" w:ascii="宋体" w:hAnsi="宋体"/>
          <w:sz w:val="30"/>
          <w:szCs w:val="30"/>
        </w:rPr>
        <w:t>审查会议的审查形式和时间安排为：</w:t>
      </w:r>
      <w:r>
        <w:rPr>
          <w:rFonts w:ascii="宋体" w:hAnsi="宋体"/>
          <w:sz w:val="30"/>
          <w:szCs w:val="30"/>
        </w:rPr>
        <w:t xml:space="preserve">            </w:t>
      </w:r>
      <w:r>
        <w:rPr>
          <w:rFonts w:hint="eastAsia" w:ascii="宋体" w:hAnsi="宋体"/>
          <w:sz w:val="30"/>
          <w:szCs w:val="30"/>
        </w:rPr>
        <w:t>，审查会议的相关费用由</w:t>
      </w:r>
      <w:r>
        <w:rPr>
          <w:rFonts w:ascii="宋体" w:hAnsi="宋体"/>
          <w:sz w:val="30"/>
          <w:szCs w:val="30"/>
        </w:rPr>
        <w:t xml:space="preserve">                  </w:t>
      </w:r>
      <w:r>
        <w:rPr>
          <w:rFonts w:hint="eastAsia" w:ascii="宋体" w:hAnsi="宋体"/>
          <w:sz w:val="30"/>
          <w:szCs w:val="30"/>
        </w:rPr>
        <w:t>承担。</w:t>
      </w:r>
    </w:p>
    <w:p w14:paraId="60AE518C">
      <w:pPr>
        <w:rPr>
          <w:rFonts w:ascii="宋体" w:hAnsi="宋体"/>
          <w:sz w:val="30"/>
          <w:szCs w:val="30"/>
        </w:rPr>
      </w:pPr>
      <w:r>
        <w:rPr>
          <w:rFonts w:hint="eastAsia" w:ascii="宋体" w:hAnsi="宋体"/>
          <w:sz w:val="30"/>
          <w:szCs w:val="30"/>
        </w:rPr>
        <w:t>5</w:t>
      </w:r>
      <w:r>
        <w:rPr>
          <w:rFonts w:ascii="宋体" w:hAnsi="宋体"/>
          <w:sz w:val="30"/>
          <w:szCs w:val="30"/>
        </w:rPr>
        <w:t xml:space="preserve">.2.3 </w:t>
      </w:r>
      <w:r>
        <w:rPr>
          <w:rFonts w:hint="eastAsia" w:ascii="宋体" w:hAnsi="宋体"/>
          <w:sz w:val="30"/>
          <w:szCs w:val="30"/>
        </w:rPr>
        <w:t>关于第三方审查单位的约定：</w:t>
      </w:r>
      <w:r>
        <w:rPr>
          <w:rFonts w:ascii="宋体" w:hAnsi="宋体"/>
          <w:sz w:val="30"/>
          <w:szCs w:val="30"/>
        </w:rPr>
        <w:t xml:space="preserve">                  </w:t>
      </w:r>
      <w:r>
        <w:rPr>
          <w:rFonts w:hint="eastAsia" w:ascii="宋体" w:hAnsi="宋体"/>
          <w:sz w:val="30"/>
          <w:szCs w:val="30"/>
        </w:rPr>
        <w:t>。</w:t>
      </w:r>
    </w:p>
    <w:p w14:paraId="7FE986C1">
      <w:pPr>
        <w:rPr>
          <w:rFonts w:ascii="宋体" w:hAnsi="宋体"/>
          <w:sz w:val="30"/>
          <w:szCs w:val="30"/>
        </w:rPr>
      </w:pPr>
      <w:r>
        <w:rPr>
          <w:rFonts w:ascii="宋体" w:hAnsi="宋体"/>
          <w:sz w:val="30"/>
          <w:szCs w:val="30"/>
        </w:rPr>
        <w:t xml:space="preserve">5.3 </w:t>
      </w:r>
      <w:r>
        <w:rPr>
          <w:rFonts w:hint="eastAsia" w:ascii="宋体" w:hAnsi="宋体"/>
          <w:sz w:val="30"/>
          <w:szCs w:val="30"/>
        </w:rPr>
        <w:t>培训</w:t>
      </w:r>
    </w:p>
    <w:p w14:paraId="5AB3DF16">
      <w:pPr>
        <w:rPr>
          <w:rFonts w:ascii="宋体" w:hAnsi="宋体"/>
          <w:sz w:val="30"/>
          <w:szCs w:val="30"/>
        </w:rPr>
      </w:pPr>
      <w:r>
        <w:rPr>
          <w:rFonts w:hint="eastAsia" w:ascii="宋体" w:hAnsi="宋体"/>
          <w:sz w:val="30"/>
          <w:szCs w:val="30"/>
        </w:rPr>
        <w:t>培训的时长为</w:t>
      </w:r>
      <w:r>
        <w:rPr>
          <w:rFonts w:ascii="宋体" w:hAnsi="宋体"/>
          <w:sz w:val="30"/>
          <w:szCs w:val="30"/>
        </w:rPr>
        <w:t xml:space="preserve">             </w:t>
      </w:r>
      <w:r>
        <w:rPr>
          <w:rFonts w:hint="eastAsia" w:ascii="宋体" w:hAnsi="宋体"/>
          <w:sz w:val="30"/>
          <w:szCs w:val="30"/>
        </w:rPr>
        <w:t>，承包人应为培训提供的人员、设施和其它必要条件为</w:t>
      </w:r>
      <w:r>
        <w:rPr>
          <w:rFonts w:ascii="宋体" w:hAnsi="宋体"/>
          <w:sz w:val="30"/>
          <w:szCs w:val="30"/>
        </w:rPr>
        <w:t xml:space="preserve">                              </w:t>
      </w:r>
      <w:r>
        <w:rPr>
          <w:rFonts w:hint="eastAsia" w:ascii="宋体" w:hAnsi="宋体"/>
          <w:sz w:val="30"/>
          <w:szCs w:val="30"/>
        </w:rPr>
        <w:t>。</w:t>
      </w:r>
    </w:p>
    <w:p w14:paraId="1111FA40">
      <w:pPr>
        <w:rPr>
          <w:rFonts w:ascii="宋体" w:hAnsi="宋体"/>
          <w:sz w:val="30"/>
          <w:szCs w:val="30"/>
        </w:rPr>
      </w:pPr>
      <w:r>
        <w:rPr>
          <w:rFonts w:ascii="宋体" w:hAnsi="宋体"/>
          <w:sz w:val="30"/>
          <w:szCs w:val="30"/>
        </w:rPr>
        <w:t xml:space="preserve">5.4 </w:t>
      </w:r>
      <w:r>
        <w:rPr>
          <w:rFonts w:hint="eastAsia" w:ascii="宋体" w:hAnsi="宋体"/>
          <w:sz w:val="30"/>
          <w:szCs w:val="30"/>
        </w:rPr>
        <w:t>竣工文件</w:t>
      </w:r>
    </w:p>
    <w:p w14:paraId="75D4A644">
      <w:pPr>
        <w:rPr>
          <w:rFonts w:ascii="宋体" w:hAnsi="宋体"/>
          <w:sz w:val="30"/>
          <w:szCs w:val="30"/>
        </w:rPr>
      </w:pPr>
      <w:r>
        <w:rPr>
          <w:rFonts w:ascii="宋体" w:hAnsi="宋体"/>
          <w:sz w:val="30"/>
          <w:szCs w:val="30"/>
        </w:rPr>
        <w:t xml:space="preserve">5.4.1 </w:t>
      </w:r>
      <w:r>
        <w:rPr>
          <w:rFonts w:hint="eastAsia" w:ascii="宋体" w:hAnsi="宋体"/>
          <w:sz w:val="30"/>
          <w:szCs w:val="30"/>
        </w:rPr>
        <w:t>竣工文件的形式、提供的份数、技术标准以及其它相关要求：</w:t>
      </w:r>
      <w:r>
        <w:rPr>
          <w:rFonts w:ascii="宋体" w:hAnsi="宋体"/>
          <w:sz w:val="30"/>
          <w:szCs w:val="30"/>
        </w:rPr>
        <w:t xml:space="preserve">                                              </w:t>
      </w:r>
      <w:r>
        <w:rPr>
          <w:rFonts w:hint="eastAsia" w:ascii="宋体" w:hAnsi="宋体"/>
          <w:sz w:val="30"/>
          <w:szCs w:val="30"/>
        </w:rPr>
        <w:t>。</w:t>
      </w:r>
    </w:p>
    <w:p w14:paraId="5C364A84">
      <w:pPr>
        <w:rPr>
          <w:rFonts w:ascii="宋体" w:hAnsi="宋体"/>
          <w:sz w:val="30"/>
          <w:szCs w:val="30"/>
        </w:rPr>
      </w:pPr>
      <w:r>
        <w:rPr>
          <w:rFonts w:hint="eastAsia" w:ascii="宋体" w:hAnsi="宋体"/>
          <w:sz w:val="30"/>
          <w:szCs w:val="30"/>
        </w:rPr>
        <w:t>5</w:t>
      </w:r>
      <w:r>
        <w:rPr>
          <w:rFonts w:ascii="宋体" w:hAnsi="宋体"/>
          <w:sz w:val="30"/>
          <w:szCs w:val="30"/>
        </w:rPr>
        <w:t xml:space="preserve">.4.3 </w:t>
      </w:r>
      <w:r>
        <w:rPr>
          <w:rFonts w:hint="eastAsia" w:ascii="宋体" w:hAnsi="宋体"/>
          <w:sz w:val="30"/>
          <w:szCs w:val="30"/>
        </w:rPr>
        <w:t>关于竣工文件的其他约定：</w:t>
      </w:r>
      <w:r>
        <w:rPr>
          <w:rFonts w:ascii="宋体" w:hAnsi="宋体"/>
          <w:sz w:val="30"/>
          <w:szCs w:val="30"/>
        </w:rPr>
        <w:t xml:space="preserve">                    </w:t>
      </w:r>
      <w:r>
        <w:rPr>
          <w:rFonts w:hint="eastAsia" w:ascii="宋体" w:hAnsi="宋体"/>
          <w:sz w:val="30"/>
          <w:szCs w:val="30"/>
        </w:rPr>
        <w:t>。</w:t>
      </w:r>
    </w:p>
    <w:p w14:paraId="6FC41201">
      <w:pPr>
        <w:rPr>
          <w:rFonts w:ascii="宋体" w:hAnsi="宋体"/>
          <w:sz w:val="30"/>
          <w:szCs w:val="30"/>
        </w:rPr>
      </w:pPr>
      <w:r>
        <w:rPr>
          <w:rFonts w:ascii="宋体" w:hAnsi="宋体"/>
          <w:sz w:val="30"/>
          <w:szCs w:val="30"/>
        </w:rPr>
        <w:t xml:space="preserve">5.5 </w:t>
      </w:r>
      <w:r>
        <w:rPr>
          <w:rFonts w:hint="eastAsia" w:ascii="宋体" w:hAnsi="宋体"/>
          <w:sz w:val="30"/>
          <w:szCs w:val="30"/>
        </w:rPr>
        <w:t>操作和维修手册</w:t>
      </w:r>
    </w:p>
    <w:p w14:paraId="5EB6DB1C">
      <w:pPr>
        <w:rPr>
          <w:rFonts w:ascii="宋体" w:hAnsi="宋体"/>
          <w:sz w:val="30"/>
          <w:szCs w:val="30"/>
        </w:rPr>
      </w:pPr>
      <w:r>
        <w:rPr>
          <w:rFonts w:ascii="宋体" w:hAnsi="宋体"/>
          <w:sz w:val="30"/>
          <w:szCs w:val="30"/>
        </w:rPr>
        <w:t xml:space="preserve">5.5.3 </w:t>
      </w:r>
      <w:r>
        <w:rPr>
          <w:rFonts w:hint="eastAsia" w:ascii="宋体" w:hAnsi="宋体"/>
          <w:sz w:val="30"/>
          <w:szCs w:val="30"/>
        </w:rPr>
        <w:t>对最终操作和维修手册的约定：</w:t>
      </w:r>
      <w:r>
        <w:rPr>
          <w:rFonts w:ascii="宋体" w:hAnsi="宋体"/>
          <w:sz w:val="30"/>
          <w:szCs w:val="30"/>
        </w:rPr>
        <w:t xml:space="preserve">                 </w:t>
      </w:r>
      <w:r>
        <w:rPr>
          <w:rFonts w:hint="eastAsia" w:ascii="宋体" w:hAnsi="宋体"/>
          <w:sz w:val="30"/>
          <w:szCs w:val="30"/>
        </w:rPr>
        <w:t>。</w:t>
      </w:r>
    </w:p>
    <w:p w14:paraId="7BFA6C7E">
      <w:pPr>
        <w:rPr>
          <w:rFonts w:ascii="宋体" w:hAnsi="宋体"/>
          <w:sz w:val="30"/>
          <w:szCs w:val="30"/>
        </w:rPr>
      </w:pPr>
      <w:bookmarkStart w:id="737" w:name="_Toc54862337"/>
      <w:r>
        <w:rPr>
          <w:rFonts w:hint="eastAsia" w:ascii="宋体" w:hAnsi="宋体"/>
          <w:sz w:val="30"/>
          <w:szCs w:val="30"/>
        </w:rPr>
        <w:t>第</w:t>
      </w:r>
      <w:r>
        <w:rPr>
          <w:rFonts w:ascii="宋体" w:hAnsi="宋体"/>
          <w:sz w:val="30"/>
          <w:szCs w:val="30"/>
        </w:rPr>
        <w:t>6条</w:t>
      </w:r>
      <w:r>
        <w:rPr>
          <w:rFonts w:hint="eastAsia" w:ascii="宋体" w:hAnsi="宋体"/>
          <w:sz w:val="30"/>
          <w:szCs w:val="30"/>
        </w:rPr>
        <w:t xml:space="preserve"> 材料、工程设备</w:t>
      </w:r>
      <w:bookmarkEnd w:id="737"/>
    </w:p>
    <w:p w14:paraId="5F654558">
      <w:pPr>
        <w:rPr>
          <w:rFonts w:ascii="宋体" w:hAnsi="宋体"/>
          <w:sz w:val="30"/>
          <w:szCs w:val="30"/>
        </w:rPr>
      </w:pPr>
      <w:r>
        <w:rPr>
          <w:rFonts w:ascii="宋体" w:hAnsi="宋体"/>
          <w:sz w:val="30"/>
          <w:szCs w:val="30"/>
        </w:rPr>
        <w:t xml:space="preserve">6.1 </w:t>
      </w:r>
      <w:r>
        <w:rPr>
          <w:rFonts w:hint="eastAsia" w:ascii="宋体" w:hAnsi="宋体"/>
          <w:sz w:val="30"/>
          <w:szCs w:val="30"/>
        </w:rPr>
        <w:t>实施方法</w:t>
      </w:r>
    </w:p>
    <w:p w14:paraId="0C1D2693">
      <w:pPr>
        <w:rPr>
          <w:rFonts w:ascii="宋体" w:hAnsi="宋体"/>
          <w:sz w:val="30"/>
          <w:szCs w:val="30"/>
        </w:rPr>
      </w:pPr>
      <w:r>
        <w:rPr>
          <w:rFonts w:hint="eastAsia" w:ascii="宋体" w:hAnsi="宋体"/>
          <w:sz w:val="30"/>
          <w:szCs w:val="30"/>
        </w:rPr>
        <w:t>双方当事人约定的实施方法、设备、设施和材料：</w:t>
      </w:r>
      <w:r>
        <w:rPr>
          <w:rFonts w:ascii="宋体" w:hAnsi="宋体"/>
          <w:sz w:val="30"/>
          <w:szCs w:val="30"/>
        </w:rPr>
        <w:t xml:space="preserve">                                                  </w:t>
      </w:r>
      <w:r>
        <w:rPr>
          <w:rFonts w:hint="eastAsia" w:ascii="宋体" w:hAnsi="宋体"/>
          <w:sz w:val="30"/>
          <w:szCs w:val="30"/>
        </w:rPr>
        <w:t>。</w:t>
      </w:r>
    </w:p>
    <w:p w14:paraId="1EDB0707">
      <w:pPr>
        <w:rPr>
          <w:rFonts w:ascii="宋体" w:hAnsi="宋体"/>
          <w:sz w:val="30"/>
          <w:szCs w:val="30"/>
        </w:rPr>
      </w:pPr>
      <w:r>
        <w:rPr>
          <w:rFonts w:ascii="宋体" w:hAnsi="宋体"/>
          <w:sz w:val="30"/>
          <w:szCs w:val="30"/>
        </w:rPr>
        <w:t xml:space="preserve">6.2 </w:t>
      </w:r>
      <w:r>
        <w:rPr>
          <w:rFonts w:hint="eastAsia" w:ascii="宋体" w:hAnsi="宋体"/>
          <w:sz w:val="30"/>
          <w:szCs w:val="30"/>
        </w:rPr>
        <w:t>材料和工程设备</w:t>
      </w:r>
    </w:p>
    <w:p w14:paraId="066E3096">
      <w:pPr>
        <w:rPr>
          <w:rFonts w:ascii="宋体" w:hAnsi="宋体"/>
          <w:sz w:val="30"/>
          <w:szCs w:val="30"/>
        </w:rPr>
      </w:pPr>
      <w:r>
        <w:rPr>
          <w:rFonts w:ascii="宋体" w:hAnsi="宋体"/>
          <w:sz w:val="30"/>
          <w:szCs w:val="30"/>
        </w:rPr>
        <w:t xml:space="preserve">6.2.1 </w:t>
      </w:r>
      <w:r>
        <w:rPr>
          <w:rFonts w:hint="eastAsia" w:ascii="宋体" w:hAnsi="宋体"/>
          <w:sz w:val="30"/>
          <w:szCs w:val="30"/>
        </w:rPr>
        <w:t>发包人提供的材料和工程设备</w:t>
      </w:r>
    </w:p>
    <w:p w14:paraId="1AEBBD62">
      <w:pPr>
        <w:rPr>
          <w:rFonts w:ascii="宋体" w:hAnsi="宋体"/>
          <w:sz w:val="30"/>
          <w:szCs w:val="30"/>
        </w:rPr>
      </w:pPr>
      <w:r>
        <w:rPr>
          <w:rFonts w:hint="eastAsia" w:ascii="宋体" w:hAnsi="宋体"/>
          <w:sz w:val="30"/>
          <w:szCs w:val="30"/>
        </w:rPr>
        <w:t>发包人提供的材料和工程设备验收后，由</w:t>
      </w:r>
      <w:r>
        <w:rPr>
          <w:rFonts w:ascii="宋体" w:hAnsi="宋体"/>
          <w:sz w:val="30"/>
          <w:szCs w:val="30"/>
        </w:rPr>
        <w:t xml:space="preserve">           </w:t>
      </w:r>
      <w:r>
        <w:rPr>
          <w:rFonts w:hint="eastAsia" w:ascii="宋体" w:hAnsi="宋体"/>
          <w:sz w:val="30"/>
          <w:szCs w:val="30"/>
        </w:rPr>
        <w:t>负责接收、运输和保管。</w:t>
      </w:r>
    </w:p>
    <w:p w14:paraId="15B67A03">
      <w:pPr>
        <w:rPr>
          <w:rFonts w:ascii="宋体" w:hAnsi="宋体"/>
          <w:sz w:val="30"/>
          <w:szCs w:val="30"/>
        </w:rPr>
      </w:pPr>
      <w:r>
        <w:rPr>
          <w:rFonts w:ascii="宋体" w:hAnsi="宋体"/>
          <w:sz w:val="30"/>
          <w:szCs w:val="30"/>
        </w:rPr>
        <w:t xml:space="preserve">6.2.2 </w:t>
      </w:r>
      <w:r>
        <w:rPr>
          <w:rFonts w:hint="eastAsia" w:ascii="宋体" w:hAnsi="宋体"/>
          <w:sz w:val="30"/>
          <w:szCs w:val="30"/>
        </w:rPr>
        <w:t>承包人提供的材料和工程设备</w:t>
      </w:r>
    </w:p>
    <w:p w14:paraId="066489C9">
      <w:pPr>
        <w:rPr>
          <w:rFonts w:ascii="宋体" w:hAnsi="宋体"/>
          <w:sz w:val="30"/>
          <w:szCs w:val="30"/>
        </w:rPr>
      </w:pPr>
      <w:r>
        <w:rPr>
          <w:rFonts w:hint="eastAsia" w:ascii="宋体" w:hAnsi="宋体"/>
          <w:sz w:val="30"/>
          <w:szCs w:val="30"/>
        </w:rPr>
        <w:t>材料和工程设备的类别、估算数量：</w:t>
      </w:r>
      <w:r>
        <w:rPr>
          <w:rFonts w:ascii="宋体" w:hAnsi="宋体"/>
          <w:sz w:val="30"/>
          <w:szCs w:val="30"/>
        </w:rPr>
        <w:t xml:space="preserve">                  </w:t>
      </w:r>
      <w:r>
        <w:rPr>
          <w:rFonts w:hint="eastAsia" w:ascii="宋体" w:hAnsi="宋体"/>
          <w:sz w:val="30"/>
          <w:szCs w:val="30"/>
        </w:rPr>
        <w:t>。</w:t>
      </w:r>
    </w:p>
    <w:p w14:paraId="4FF069AB">
      <w:pPr>
        <w:rPr>
          <w:rFonts w:ascii="宋体" w:hAnsi="宋体"/>
          <w:sz w:val="30"/>
          <w:szCs w:val="30"/>
        </w:rPr>
      </w:pPr>
      <w:r>
        <w:rPr>
          <w:rFonts w:hint="eastAsia" w:ascii="宋体" w:hAnsi="宋体"/>
          <w:sz w:val="30"/>
          <w:szCs w:val="30"/>
        </w:rPr>
        <w:t>竣工后试验的生产性材料的类别或（和）清单：</w:t>
      </w:r>
      <w:r>
        <w:rPr>
          <w:rFonts w:ascii="宋体" w:hAnsi="宋体"/>
          <w:sz w:val="30"/>
          <w:szCs w:val="30"/>
        </w:rPr>
        <w:t xml:space="preserve">                                                  </w:t>
      </w:r>
      <w:r>
        <w:rPr>
          <w:rFonts w:hint="eastAsia" w:ascii="宋体" w:hAnsi="宋体"/>
          <w:sz w:val="30"/>
          <w:szCs w:val="30"/>
        </w:rPr>
        <w:t>。</w:t>
      </w:r>
    </w:p>
    <w:p w14:paraId="57F63944">
      <w:pPr>
        <w:rPr>
          <w:rFonts w:ascii="宋体" w:hAnsi="宋体"/>
          <w:sz w:val="30"/>
          <w:szCs w:val="30"/>
        </w:rPr>
      </w:pPr>
      <w:r>
        <w:rPr>
          <w:rFonts w:ascii="宋体" w:hAnsi="宋体"/>
          <w:sz w:val="30"/>
          <w:szCs w:val="30"/>
        </w:rPr>
        <w:t xml:space="preserve">6.2.3 </w:t>
      </w:r>
      <w:r>
        <w:rPr>
          <w:rFonts w:hint="eastAsia" w:ascii="宋体" w:hAnsi="宋体"/>
          <w:sz w:val="30"/>
          <w:szCs w:val="30"/>
        </w:rPr>
        <w:t>材料和工程设备的保管</w:t>
      </w:r>
    </w:p>
    <w:p w14:paraId="534B7129">
      <w:pPr>
        <w:rPr>
          <w:rFonts w:ascii="宋体" w:hAnsi="宋体"/>
          <w:sz w:val="30"/>
          <w:szCs w:val="30"/>
        </w:rPr>
      </w:pPr>
      <w:r>
        <w:rPr>
          <w:rFonts w:hint="eastAsia" w:ascii="宋体" w:hAnsi="宋体"/>
          <w:sz w:val="30"/>
          <w:szCs w:val="30"/>
        </w:rPr>
        <w:t>发包人供应的材料和工程设备的保管费用由</w:t>
      </w:r>
      <w:r>
        <w:rPr>
          <w:rFonts w:ascii="宋体" w:hAnsi="宋体"/>
          <w:sz w:val="30"/>
          <w:szCs w:val="30"/>
        </w:rPr>
        <w:t xml:space="preserve">        </w:t>
      </w:r>
      <w:r>
        <w:rPr>
          <w:rFonts w:hint="eastAsia" w:ascii="宋体" w:hAnsi="宋体"/>
          <w:sz w:val="30"/>
          <w:szCs w:val="30"/>
        </w:rPr>
        <w:t>承担。</w:t>
      </w:r>
    </w:p>
    <w:p w14:paraId="0B958F1F">
      <w:pPr>
        <w:rPr>
          <w:rFonts w:ascii="宋体" w:hAnsi="宋体"/>
          <w:sz w:val="30"/>
          <w:szCs w:val="30"/>
        </w:rPr>
      </w:pPr>
      <w:r>
        <w:rPr>
          <w:rFonts w:hint="eastAsia" w:ascii="宋体" w:hAnsi="宋体"/>
          <w:sz w:val="30"/>
          <w:szCs w:val="30"/>
        </w:rPr>
        <w:t>承包人提交保管、维护方案的时间：</w:t>
      </w:r>
      <w:r>
        <w:rPr>
          <w:rFonts w:ascii="宋体" w:hAnsi="宋体"/>
          <w:sz w:val="30"/>
          <w:szCs w:val="30"/>
        </w:rPr>
        <w:t xml:space="preserve">                  </w:t>
      </w:r>
      <w:r>
        <w:rPr>
          <w:rFonts w:hint="eastAsia" w:ascii="宋体" w:hAnsi="宋体"/>
          <w:sz w:val="30"/>
          <w:szCs w:val="30"/>
        </w:rPr>
        <w:t>。</w:t>
      </w:r>
    </w:p>
    <w:p w14:paraId="4B9BFFC3">
      <w:pPr>
        <w:rPr>
          <w:rFonts w:ascii="宋体" w:hAnsi="宋体"/>
          <w:sz w:val="30"/>
          <w:szCs w:val="30"/>
        </w:rPr>
      </w:pPr>
      <w:r>
        <w:rPr>
          <w:rFonts w:hint="eastAsia" w:ascii="宋体" w:hAnsi="宋体"/>
          <w:sz w:val="30"/>
          <w:szCs w:val="30"/>
        </w:rPr>
        <w:t>发包人提供的库房、堆场、设施和设备：</w:t>
      </w:r>
      <w:r>
        <w:rPr>
          <w:rFonts w:ascii="宋体" w:hAnsi="宋体"/>
          <w:sz w:val="30"/>
          <w:szCs w:val="30"/>
        </w:rPr>
        <w:t xml:space="preserve">              </w:t>
      </w:r>
      <w:r>
        <w:rPr>
          <w:rFonts w:hint="eastAsia" w:ascii="宋体" w:hAnsi="宋体"/>
          <w:sz w:val="30"/>
          <w:szCs w:val="30"/>
        </w:rPr>
        <w:t>。</w:t>
      </w:r>
    </w:p>
    <w:p w14:paraId="6A349C38">
      <w:pPr>
        <w:rPr>
          <w:rFonts w:ascii="宋体" w:hAnsi="宋体"/>
          <w:sz w:val="30"/>
          <w:szCs w:val="30"/>
        </w:rPr>
      </w:pPr>
      <w:r>
        <w:rPr>
          <w:rFonts w:ascii="宋体" w:hAnsi="宋体"/>
          <w:sz w:val="30"/>
          <w:szCs w:val="30"/>
        </w:rPr>
        <w:t xml:space="preserve">6.3 </w:t>
      </w:r>
      <w:r>
        <w:rPr>
          <w:rFonts w:hint="eastAsia" w:ascii="宋体" w:hAnsi="宋体"/>
          <w:sz w:val="30"/>
          <w:szCs w:val="30"/>
        </w:rPr>
        <w:t>样品</w:t>
      </w:r>
    </w:p>
    <w:p w14:paraId="270F944D">
      <w:pPr>
        <w:rPr>
          <w:rFonts w:ascii="宋体" w:hAnsi="宋体"/>
          <w:sz w:val="30"/>
          <w:szCs w:val="30"/>
        </w:rPr>
      </w:pPr>
      <w:r>
        <w:rPr>
          <w:rFonts w:hint="eastAsia" w:ascii="宋体" w:hAnsi="宋体"/>
          <w:sz w:val="30"/>
          <w:szCs w:val="30"/>
        </w:rPr>
        <w:t>6</w:t>
      </w:r>
      <w:r>
        <w:rPr>
          <w:rFonts w:ascii="宋体" w:hAnsi="宋体"/>
          <w:sz w:val="30"/>
          <w:szCs w:val="30"/>
        </w:rPr>
        <w:t xml:space="preserve">.3.1 </w:t>
      </w:r>
      <w:r>
        <w:rPr>
          <w:rFonts w:hint="eastAsia" w:ascii="宋体" w:hAnsi="宋体"/>
          <w:sz w:val="30"/>
          <w:szCs w:val="30"/>
        </w:rPr>
        <w:t>样品的报送与封存</w:t>
      </w:r>
    </w:p>
    <w:p w14:paraId="34B9E02D">
      <w:pPr>
        <w:rPr>
          <w:rFonts w:ascii="宋体" w:hAnsi="宋体"/>
          <w:sz w:val="30"/>
          <w:szCs w:val="30"/>
        </w:rPr>
      </w:pPr>
      <w:r>
        <w:rPr>
          <w:rFonts w:ascii="宋体" w:hAnsi="宋体"/>
          <w:sz w:val="30"/>
          <w:szCs w:val="30"/>
        </w:rPr>
        <w:t>需要承包人报送样品的材料或工程设备</w:t>
      </w:r>
      <w:r>
        <w:rPr>
          <w:rFonts w:hint="eastAsia" w:ascii="宋体" w:hAnsi="宋体"/>
          <w:sz w:val="30"/>
          <w:szCs w:val="30"/>
        </w:rPr>
        <w:t>，样品种类、名称、规格、数量：</w:t>
      </w:r>
      <w:r>
        <w:rPr>
          <w:rFonts w:ascii="宋体" w:hAnsi="宋体"/>
          <w:sz w:val="30"/>
          <w:szCs w:val="30"/>
        </w:rPr>
        <w:t xml:space="preserve">                                          </w:t>
      </w:r>
      <w:r>
        <w:rPr>
          <w:rFonts w:hint="eastAsia" w:ascii="宋体" w:hAnsi="宋体"/>
          <w:sz w:val="30"/>
          <w:szCs w:val="30"/>
        </w:rPr>
        <w:t>。</w:t>
      </w:r>
    </w:p>
    <w:p w14:paraId="33224E3F">
      <w:pPr>
        <w:rPr>
          <w:rFonts w:ascii="宋体" w:hAnsi="宋体"/>
          <w:sz w:val="30"/>
          <w:szCs w:val="30"/>
        </w:rPr>
      </w:pPr>
      <w:r>
        <w:rPr>
          <w:rFonts w:ascii="宋体" w:hAnsi="宋体"/>
          <w:sz w:val="30"/>
          <w:szCs w:val="30"/>
        </w:rPr>
        <w:t xml:space="preserve">6.4 </w:t>
      </w:r>
      <w:r>
        <w:rPr>
          <w:rFonts w:hint="eastAsia" w:ascii="宋体" w:hAnsi="宋体"/>
          <w:sz w:val="30"/>
          <w:szCs w:val="30"/>
        </w:rPr>
        <w:t>质量检查</w:t>
      </w:r>
    </w:p>
    <w:p w14:paraId="19D7DAC7">
      <w:pPr>
        <w:rPr>
          <w:rFonts w:ascii="宋体" w:hAnsi="宋体"/>
          <w:sz w:val="30"/>
          <w:szCs w:val="30"/>
        </w:rPr>
      </w:pPr>
      <w:r>
        <w:rPr>
          <w:rFonts w:ascii="宋体" w:hAnsi="宋体"/>
          <w:sz w:val="30"/>
          <w:szCs w:val="30"/>
        </w:rPr>
        <w:t xml:space="preserve">6.4.1 </w:t>
      </w:r>
      <w:r>
        <w:rPr>
          <w:rFonts w:hint="eastAsia" w:ascii="宋体" w:hAnsi="宋体"/>
          <w:sz w:val="30"/>
          <w:szCs w:val="30"/>
        </w:rPr>
        <w:t>工程质量要求</w:t>
      </w:r>
    </w:p>
    <w:p w14:paraId="5075D04B">
      <w:pPr>
        <w:rPr>
          <w:rFonts w:ascii="宋体" w:hAnsi="宋体"/>
          <w:sz w:val="30"/>
          <w:szCs w:val="30"/>
        </w:rPr>
      </w:pPr>
      <w:r>
        <w:rPr>
          <w:rFonts w:hint="eastAsia" w:ascii="宋体" w:hAnsi="宋体"/>
          <w:sz w:val="30"/>
          <w:szCs w:val="30"/>
        </w:rPr>
        <w:t>工程质量的特殊标准或要求：</w:t>
      </w:r>
      <w:r>
        <w:rPr>
          <w:rFonts w:ascii="宋体" w:hAnsi="宋体"/>
          <w:sz w:val="30"/>
          <w:szCs w:val="30"/>
        </w:rPr>
        <w:t xml:space="preserve">                         </w:t>
      </w:r>
      <w:r>
        <w:rPr>
          <w:rFonts w:hint="eastAsia" w:ascii="宋体" w:hAnsi="宋体"/>
          <w:sz w:val="30"/>
          <w:szCs w:val="30"/>
        </w:rPr>
        <w:t>。</w:t>
      </w:r>
    </w:p>
    <w:p w14:paraId="7C71EBD1">
      <w:pPr>
        <w:rPr>
          <w:rFonts w:ascii="宋体" w:hAnsi="宋体"/>
          <w:sz w:val="30"/>
          <w:szCs w:val="30"/>
        </w:rPr>
      </w:pPr>
      <w:r>
        <w:rPr>
          <w:rFonts w:ascii="宋体" w:hAnsi="宋体"/>
          <w:sz w:val="30"/>
          <w:szCs w:val="30"/>
        </w:rPr>
        <w:t xml:space="preserve">6.4.2 </w:t>
      </w:r>
      <w:r>
        <w:rPr>
          <w:rFonts w:hint="eastAsia" w:ascii="宋体" w:hAnsi="宋体"/>
          <w:sz w:val="30"/>
          <w:szCs w:val="30"/>
        </w:rPr>
        <w:t>质量检查</w:t>
      </w:r>
    </w:p>
    <w:p w14:paraId="72E638A8">
      <w:pPr>
        <w:rPr>
          <w:rFonts w:ascii="宋体" w:hAnsi="宋体"/>
          <w:sz w:val="30"/>
          <w:szCs w:val="30"/>
        </w:rPr>
      </w:pPr>
      <w:r>
        <w:rPr>
          <w:rFonts w:hint="eastAsia" w:ascii="宋体" w:hAnsi="宋体"/>
          <w:sz w:val="30"/>
          <w:szCs w:val="30"/>
        </w:rPr>
        <w:t>除通用合同条件已列明的质量检查的地点外，发包人有权进行质量检查的其他地点：</w:t>
      </w:r>
      <w:r>
        <w:rPr>
          <w:rFonts w:ascii="宋体" w:hAnsi="宋体"/>
          <w:sz w:val="30"/>
          <w:szCs w:val="30"/>
        </w:rPr>
        <w:t xml:space="preserve">                                 </w:t>
      </w:r>
      <w:r>
        <w:rPr>
          <w:rFonts w:hint="eastAsia" w:ascii="宋体" w:hAnsi="宋体"/>
          <w:sz w:val="30"/>
          <w:szCs w:val="30"/>
        </w:rPr>
        <w:t>。</w:t>
      </w:r>
    </w:p>
    <w:p w14:paraId="0D44CA88">
      <w:pPr>
        <w:rPr>
          <w:rFonts w:ascii="宋体" w:hAnsi="宋体"/>
          <w:sz w:val="30"/>
          <w:szCs w:val="30"/>
        </w:rPr>
      </w:pPr>
      <w:r>
        <w:rPr>
          <w:rFonts w:ascii="宋体" w:hAnsi="宋体"/>
          <w:sz w:val="30"/>
          <w:szCs w:val="30"/>
        </w:rPr>
        <w:t xml:space="preserve">6.4.3 </w:t>
      </w:r>
      <w:r>
        <w:rPr>
          <w:rFonts w:hint="eastAsia" w:ascii="宋体" w:hAnsi="宋体"/>
          <w:sz w:val="30"/>
          <w:szCs w:val="30"/>
        </w:rPr>
        <w:t>隐蔽工程检查</w:t>
      </w:r>
    </w:p>
    <w:p w14:paraId="76906296">
      <w:pPr>
        <w:rPr>
          <w:rFonts w:ascii="宋体" w:hAnsi="宋体"/>
          <w:sz w:val="30"/>
          <w:szCs w:val="30"/>
        </w:rPr>
      </w:pPr>
      <w:r>
        <w:rPr>
          <w:rFonts w:hint="eastAsia" w:ascii="宋体" w:hAnsi="宋体"/>
          <w:sz w:val="30"/>
          <w:szCs w:val="30"/>
        </w:rPr>
        <w:t>关于隐蔽工程和中间验收的特别约定：</w:t>
      </w:r>
      <w:r>
        <w:rPr>
          <w:rFonts w:ascii="宋体" w:hAnsi="宋体"/>
          <w:sz w:val="30"/>
          <w:szCs w:val="30"/>
        </w:rPr>
        <w:t xml:space="preserve">                 </w:t>
      </w:r>
      <w:r>
        <w:rPr>
          <w:rFonts w:hint="eastAsia" w:ascii="宋体" w:hAnsi="宋体"/>
          <w:sz w:val="30"/>
          <w:szCs w:val="30"/>
        </w:rPr>
        <w:t>。</w:t>
      </w:r>
    </w:p>
    <w:p w14:paraId="30F7A664">
      <w:pPr>
        <w:rPr>
          <w:rFonts w:ascii="宋体" w:hAnsi="宋体"/>
          <w:sz w:val="30"/>
          <w:szCs w:val="30"/>
        </w:rPr>
      </w:pPr>
      <w:r>
        <w:rPr>
          <w:rFonts w:ascii="宋体" w:hAnsi="宋体"/>
          <w:sz w:val="30"/>
          <w:szCs w:val="30"/>
        </w:rPr>
        <w:t xml:space="preserve">6.5 </w:t>
      </w:r>
      <w:r>
        <w:rPr>
          <w:rFonts w:hint="eastAsia" w:ascii="宋体" w:hAnsi="宋体"/>
          <w:sz w:val="30"/>
          <w:szCs w:val="30"/>
        </w:rPr>
        <w:t>由承包人试验和检验</w:t>
      </w:r>
    </w:p>
    <w:p w14:paraId="19487F62">
      <w:pPr>
        <w:rPr>
          <w:rFonts w:ascii="宋体" w:hAnsi="宋体"/>
          <w:sz w:val="30"/>
          <w:szCs w:val="30"/>
        </w:rPr>
      </w:pPr>
      <w:r>
        <w:rPr>
          <w:rFonts w:hint="eastAsia" w:ascii="宋体" w:hAnsi="宋体"/>
          <w:sz w:val="30"/>
          <w:szCs w:val="30"/>
        </w:rPr>
        <w:t>6</w:t>
      </w:r>
      <w:r>
        <w:rPr>
          <w:rFonts w:ascii="宋体" w:hAnsi="宋体"/>
          <w:sz w:val="30"/>
          <w:szCs w:val="30"/>
        </w:rPr>
        <w:t xml:space="preserve">.5.1 </w:t>
      </w:r>
      <w:r>
        <w:rPr>
          <w:rFonts w:hint="eastAsia" w:ascii="宋体" w:hAnsi="宋体"/>
          <w:sz w:val="30"/>
          <w:szCs w:val="30"/>
        </w:rPr>
        <w:t>试验设备与试验人员</w:t>
      </w:r>
    </w:p>
    <w:p w14:paraId="65EC10A5">
      <w:pPr>
        <w:rPr>
          <w:rFonts w:ascii="宋体" w:hAnsi="宋体"/>
          <w:sz w:val="30"/>
          <w:szCs w:val="30"/>
        </w:rPr>
      </w:pPr>
      <w:r>
        <w:rPr>
          <w:rFonts w:hint="eastAsia" w:ascii="宋体" w:hAnsi="宋体"/>
          <w:sz w:val="30"/>
          <w:szCs w:val="30"/>
        </w:rPr>
        <w:t>试验的内容、时间和地点：</w:t>
      </w:r>
      <w:r>
        <w:rPr>
          <w:rFonts w:ascii="宋体" w:hAnsi="宋体"/>
          <w:sz w:val="30"/>
          <w:szCs w:val="30"/>
        </w:rPr>
        <w:t xml:space="preserve">                            </w:t>
      </w:r>
      <w:r>
        <w:rPr>
          <w:rFonts w:hint="eastAsia" w:ascii="宋体" w:hAnsi="宋体"/>
          <w:sz w:val="30"/>
          <w:szCs w:val="30"/>
        </w:rPr>
        <w:t>。</w:t>
      </w:r>
    </w:p>
    <w:p w14:paraId="7322916A">
      <w:pPr>
        <w:rPr>
          <w:rFonts w:ascii="宋体" w:hAnsi="宋体"/>
          <w:sz w:val="30"/>
          <w:szCs w:val="30"/>
        </w:rPr>
      </w:pPr>
      <w:r>
        <w:rPr>
          <w:rFonts w:hint="eastAsia" w:ascii="宋体" w:hAnsi="宋体"/>
          <w:sz w:val="30"/>
          <w:szCs w:val="30"/>
        </w:rPr>
        <w:t>试验所需要的试验设备、取样装置、试验场所和试验条件：</w:t>
      </w:r>
      <w:r>
        <w:rPr>
          <w:rFonts w:ascii="宋体" w:hAnsi="宋体"/>
          <w:sz w:val="30"/>
          <w:szCs w:val="30"/>
        </w:rPr>
        <w:t xml:space="preserve">                                                  </w:t>
      </w:r>
      <w:r>
        <w:rPr>
          <w:rFonts w:hint="eastAsia" w:ascii="宋体" w:hAnsi="宋体"/>
          <w:sz w:val="30"/>
          <w:szCs w:val="30"/>
        </w:rPr>
        <w:t>。</w:t>
      </w:r>
    </w:p>
    <w:p w14:paraId="34A1F35E">
      <w:pPr>
        <w:rPr>
          <w:rFonts w:ascii="宋体" w:hAnsi="宋体"/>
          <w:sz w:val="30"/>
          <w:szCs w:val="30"/>
        </w:rPr>
      </w:pPr>
      <w:r>
        <w:rPr>
          <w:rFonts w:hint="eastAsia" w:ascii="宋体" w:hAnsi="宋体"/>
          <w:sz w:val="30"/>
          <w:szCs w:val="30"/>
        </w:rPr>
        <w:t xml:space="preserve">试验和检验费用的计价原则： </w:t>
      </w:r>
      <w:r>
        <w:rPr>
          <w:rFonts w:ascii="宋体" w:hAnsi="宋体"/>
          <w:sz w:val="30"/>
          <w:szCs w:val="30"/>
        </w:rPr>
        <w:t xml:space="preserve">                        </w:t>
      </w:r>
      <w:r>
        <w:rPr>
          <w:rFonts w:hint="eastAsia" w:ascii="宋体" w:hAnsi="宋体"/>
          <w:sz w:val="30"/>
          <w:szCs w:val="30"/>
        </w:rPr>
        <w:t>。</w:t>
      </w:r>
    </w:p>
    <w:p w14:paraId="75DD49F4">
      <w:pPr>
        <w:rPr>
          <w:rFonts w:ascii="宋体" w:hAnsi="宋体"/>
          <w:sz w:val="30"/>
          <w:szCs w:val="30"/>
        </w:rPr>
      </w:pPr>
      <w:bookmarkStart w:id="738" w:name="_Toc54862338"/>
      <w:r>
        <w:rPr>
          <w:rFonts w:hint="eastAsia" w:ascii="宋体" w:hAnsi="宋体"/>
          <w:sz w:val="30"/>
          <w:szCs w:val="30"/>
        </w:rPr>
        <w:t>第</w:t>
      </w:r>
      <w:r>
        <w:rPr>
          <w:rFonts w:ascii="宋体" w:hAnsi="宋体"/>
          <w:sz w:val="30"/>
          <w:szCs w:val="30"/>
        </w:rPr>
        <w:t>7条</w:t>
      </w:r>
      <w:r>
        <w:rPr>
          <w:rFonts w:hint="eastAsia" w:ascii="宋体" w:hAnsi="宋体"/>
          <w:sz w:val="30"/>
          <w:szCs w:val="30"/>
        </w:rPr>
        <w:t xml:space="preserve"> 施工</w:t>
      </w:r>
      <w:bookmarkEnd w:id="738"/>
    </w:p>
    <w:p w14:paraId="6C5E6A6E">
      <w:pPr>
        <w:rPr>
          <w:rFonts w:ascii="宋体" w:hAnsi="宋体"/>
          <w:sz w:val="30"/>
          <w:szCs w:val="30"/>
        </w:rPr>
      </w:pPr>
      <w:r>
        <w:rPr>
          <w:rFonts w:ascii="宋体" w:hAnsi="宋体"/>
          <w:sz w:val="30"/>
          <w:szCs w:val="30"/>
        </w:rPr>
        <w:t xml:space="preserve">7.1 </w:t>
      </w:r>
      <w:r>
        <w:rPr>
          <w:rFonts w:hint="eastAsia" w:ascii="宋体" w:hAnsi="宋体"/>
          <w:sz w:val="30"/>
          <w:szCs w:val="30"/>
        </w:rPr>
        <w:t>交通运输</w:t>
      </w:r>
    </w:p>
    <w:p w14:paraId="43CA4D2E">
      <w:pPr>
        <w:rPr>
          <w:rFonts w:ascii="宋体" w:hAnsi="宋体"/>
          <w:sz w:val="30"/>
          <w:szCs w:val="30"/>
        </w:rPr>
      </w:pPr>
      <w:r>
        <w:rPr>
          <w:rFonts w:ascii="宋体" w:hAnsi="宋体"/>
          <w:sz w:val="30"/>
          <w:szCs w:val="30"/>
        </w:rPr>
        <w:t xml:space="preserve">7.1.1 </w:t>
      </w:r>
      <w:r>
        <w:rPr>
          <w:rFonts w:hint="eastAsia" w:ascii="宋体" w:hAnsi="宋体"/>
          <w:sz w:val="30"/>
          <w:szCs w:val="30"/>
        </w:rPr>
        <w:t>出入现场的权利</w:t>
      </w:r>
    </w:p>
    <w:p w14:paraId="290A888F">
      <w:pPr>
        <w:rPr>
          <w:rFonts w:ascii="宋体" w:hAnsi="宋体"/>
          <w:sz w:val="30"/>
          <w:szCs w:val="30"/>
        </w:rPr>
      </w:pPr>
      <w:r>
        <w:rPr>
          <w:rFonts w:hint="eastAsia" w:ascii="宋体" w:hAnsi="宋体"/>
          <w:sz w:val="30"/>
          <w:szCs w:val="30"/>
        </w:rPr>
        <w:t>关于出入现场的权利的约定：</w:t>
      </w:r>
      <w:r>
        <w:rPr>
          <w:rFonts w:ascii="宋体" w:hAnsi="宋体"/>
          <w:sz w:val="30"/>
          <w:szCs w:val="30"/>
        </w:rPr>
        <w:t xml:space="preserve">                         。</w:t>
      </w:r>
    </w:p>
    <w:p w14:paraId="33A4EFA9">
      <w:pPr>
        <w:rPr>
          <w:rFonts w:ascii="宋体" w:hAnsi="宋体"/>
          <w:sz w:val="30"/>
          <w:szCs w:val="30"/>
        </w:rPr>
      </w:pPr>
      <w:r>
        <w:rPr>
          <w:rFonts w:ascii="宋体" w:hAnsi="宋体"/>
          <w:sz w:val="30"/>
          <w:szCs w:val="30"/>
        </w:rPr>
        <w:t xml:space="preserve">7.1.2 </w:t>
      </w:r>
      <w:r>
        <w:rPr>
          <w:rFonts w:hint="eastAsia" w:ascii="宋体" w:hAnsi="宋体"/>
          <w:sz w:val="30"/>
          <w:szCs w:val="30"/>
        </w:rPr>
        <w:t>场外交通</w:t>
      </w:r>
    </w:p>
    <w:p w14:paraId="1A445E6D">
      <w:pPr>
        <w:rPr>
          <w:rFonts w:ascii="宋体" w:hAnsi="宋体"/>
          <w:sz w:val="30"/>
          <w:szCs w:val="30"/>
        </w:rPr>
      </w:pPr>
      <w:r>
        <w:rPr>
          <w:rFonts w:hint="eastAsia" w:ascii="宋体" w:hAnsi="宋体"/>
          <w:sz w:val="30"/>
          <w:szCs w:val="30"/>
        </w:rPr>
        <w:t>关于场外交通的特别约定：</w:t>
      </w:r>
      <w:r>
        <w:rPr>
          <w:rFonts w:ascii="宋体" w:hAnsi="宋体"/>
          <w:sz w:val="30"/>
          <w:szCs w:val="30"/>
        </w:rPr>
        <w:t xml:space="preserve">                          </w:t>
      </w:r>
      <w:r>
        <w:rPr>
          <w:rFonts w:hint="eastAsia" w:ascii="宋体" w:hAnsi="宋体"/>
          <w:sz w:val="30"/>
          <w:szCs w:val="30"/>
        </w:rPr>
        <w:t>。</w:t>
      </w:r>
    </w:p>
    <w:p w14:paraId="5B101CEB">
      <w:pPr>
        <w:rPr>
          <w:rFonts w:ascii="宋体" w:hAnsi="宋体"/>
          <w:sz w:val="30"/>
          <w:szCs w:val="30"/>
        </w:rPr>
      </w:pPr>
      <w:r>
        <w:rPr>
          <w:rFonts w:ascii="宋体" w:hAnsi="宋体"/>
          <w:sz w:val="30"/>
          <w:szCs w:val="30"/>
        </w:rPr>
        <w:t xml:space="preserve">7.1.3 </w:t>
      </w:r>
      <w:r>
        <w:rPr>
          <w:rFonts w:hint="eastAsia" w:ascii="宋体" w:hAnsi="宋体"/>
          <w:sz w:val="30"/>
          <w:szCs w:val="30"/>
        </w:rPr>
        <w:t>场内交通</w:t>
      </w:r>
    </w:p>
    <w:p w14:paraId="6AEEF993">
      <w:pPr>
        <w:rPr>
          <w:rFonts w:ascii="宋体" w:hAnsi="宋体"/>
          <w:sz w:val="30"/>
          <w:szCs w:val="30"/>
        </w:rPr>
      </w:pPr>
      <w:r>
        <w:rPr>
          <w:rFonts w:hint="eastAsia" w:ascii="宋体" w:hAnsi="宋体"/>
          <w:sz w:val="30"/>
          <w:szCs w:val="30"/>
        </w:rPr>
        <w:t>关于场内交通的特别约定：</w:t>
      </w:r>
      <w:r>
        <w:rPr>
          <w:rFonts w:ascii="宋体" w:hAnsi="宋体"/>
          <w:sz w:val="30"/>
          <w:szCs w:val="30"/>
        </w:rPr>
        <w:t xml:space="preserve">                          </w:t>
      </w:r>
      <w:r>
        <w:rPr>
          <w:rFonts w:hint="eastAsia" w:ascii="宋体" w:hAnsi="宋体"/>
          <w:sz w:val="30"/>
          <w:szCs w:val="30"/>
        </w:rPr>
        <w:t>。</w:t>
      </w:r>
    </w:p>
    <w:p w14:paraId="73B8BBBB">
      <w:pPr>
        <w:rPr>
          <w:rFonts w:ascii="宋体" w:hAnsi="宋体"/>
          <w:sz w:val="30"/>
          <w:szCs w:val="30"/>
        </w:rPr>
      </w:pPr>
      <w:r>
        <w:rPr>
          <w:rFonts w:hint="eastAsia" w:ascii="宋体" w:hAnsi="宋体"/>
          <w:sz w:val="30"/>
          <w:szCs w:val="30"/>
        </w:rPr>
        <w:t>关于场内交通与场外交通边界的约定：</w:t>
      </w:r>
      <w:r>
        <w:rPr>
          <w:rFonts w:ascii="宋体" w:hAnsi="宋体"/>
          <w:sz w:val="30"/>
          <w:szCs w:val="30"/>
        </w:rPr>
        <w:t xml:space="preserve">                 。</w:t>
      </w:r>
    </w:p>
    <w:p w14:paraId="427F322F">
      <w:pPr>
        <w:rPr>
          <w:rFonts w:ascii="宋体" w:hAnsi="宋体"/>
          <w:sz w:val="30"/>
          <w:szCs w:val="30"/>
        </w:rPr>
      </w:pPr>
      <w:r>
        <w:rPr>
          <w:rFonts w:ascii="宋体" w:hAnsi="宋体"/>
          <w:sz w:val="30"/>
          <w:szCs w:val="30"/>
        </w:rPr>
        <w:t xml:space="preserve">7.1.4 </w:t>
      </w:r>
      <w:r>
        <w:rPr>
          <w:rFonts w:hint="eastAsia" w:ascii="宋体" w:hAnsi="宋体"/>
          <w:sz w:val="30"/>
          <w:szCs w:val="30"/>
        </w:rPr>
        <w:t>超大件和超重件的运输</w:t>
      </w:r>
    </w:p>
    <w:p w14:paraId="0FBB8B29">
      <w:pPr>
        <w:rPr>
          <w:rFonts w:ascii="宋体" w:hAnsi="宋体"/>
          <w:sz w:val="30"/>
          <w:szCs w:val="30"/>
        </w:rPr>
      </w:pPr>
      <w:r>
        <w:rPr>
          <w:rFonts w:hint="eastAsia" w:ascii="宋体" w:hAnsi="宋体"/>
          <w:sz w:val="30"/>
          <w:szCs w:val="30"/>
        </w:rPr>
        <w:t>运输超大件或超重件所需的道路和桥梁临时加固改造费用和其他有关费用由</w:t>
      </w:r>
      <w:r>
        <w:rPr>
          <w:rFonts w:ascii="宋体" w:hAnsi="宋体"/>
          <w:sz w:val="30"/>
          <w:szCs w:val="30"/>
        </w:rPr>
        <w:t xml:space="preserve">            承担。</w:t>
      </w:r>
    </w:p>
    <w:p w14:paraId="2193DFEB">
      <w:pPr>
        <w:rPr>
          <w:rFonts w:ascii="宋体" w:hAnsi="宋体"/>
          <w:sz w:val="30"/>
          <w:szCs w:val="30"/>
        </w:rPr>
      </w:pPr>
      <w:r>
        <w:rPr>
          <w:rFonts w:ascii="宋体" w:hAnsi="宋体"/>
          <w:sz w:val="30"/>
          <w:szCs w:val="30"/>
        </w:rPr>
        <w:t xml:space="preserve">7.2 </w:t>
      </w:r>
      <w:r>
        <w:rPr>
          <w:rFonts w:hint="eastAsia" w:ascii="宋体" w:hAnsi="宋体"/>
          <w:sz w:val="30"/>
          <w:szCs w:val="30"/>
        </w:rPr>
        <w:t>施工设备和临时设施</w:t>
      </w:r>
    </w:p>
    <w:p w14:paraId="77A887F4">
      <w:pPr>
        <w:rPr>
          <w:rFonts w:ascii="宋体" w:hAnsi="宋体"/>
          <w:sz w:val="30"/>
          <w:szCs w:val="30"/>
        </w:rPr>
      </w:pPr>
      <w:r>
        <w:rPr>
          <w:rFonts w:ascii="宋体" w:hAnsi="宋体"/>
          <w:sz w:val="30"/>
          <w:szCs w:val="30"/>
        </w:rPr>
        <w:t xml:space="preserve">7.2.1 </w:t>
      </w:r>
      <w:r>
        <w:rPr>
          <w:rFonts w:hint="eastAsia" w:ascii="宋体" w:hAnsi="宋体"/>
          <w:sz w:val="30"/>
          <w:szCs w:val="30"/>
        </w:rPr>
        <w:t>承包人提供的施工设备和临时设施</w:t>
      </w:r>
    </w:p>
    <w:p w14:paraId="20F3D139">
      <w:pPr>
        <w:rPr>
          <w:rFonts w:ascii="宋体" w:hAnsi="宋体"/>
          <w:sz w:val="30"/>
          <w:szCs w:val="30"/>
        </w:rPr>
      </w:pPr>
      <w:r>
        <w:rPr>
          <w:rFonts w:hint="eastAsia" w:ascii="宋体" w:hAnsi="宋体"/>
          <w:sz w:val="30"/>
          <w:szCs w:val="30"/>
        </w:rPr>
        <w:t>临时设施的费用和临时占地手续和费用承担的特别约定：</w:t>
      </w:r>
      <w:r>
        <w:rPr>
          <w:rFonts w:ascii="宋体" w:hAnsi="宋体"/>
          <w:sz w:val="30"/>
          <w:szCs w:val="30"/>
        </w:rPr>
        <w:t xml:space="preserve">                                                  </w:t>
      </w:r>
      <w:r>
        <w:rPr>
          <w:rFonts w:hint="eastAsia" w:ascii="宋体" w:hAnsi="宋体"/>
          <w:sz w:val="30"/>
          <w:szCs w:val="30"/>
        </w:rPr>
        <w:t>。</w:t>
      </w:r>
    </w:p>
    <w:p w14:paraId="7206DB44">
      <w:pPr>
        <w:rPr>
          <w:rFonts w:ascii="宋体" w:hAnsi="宋体"/>
          <w:sz w:val="30"/>
          <w:szCs w:val="30"/>
        </w:rPr>
      </w:pPr>
      <w:r>
        <w:rPr>
          <w:rFonts w:ascii="宋体" w:hAnsi="宋体"/>
          <w:sz w:val="30"/>
          <w:szCs w:val="30"/>
        </w:rPr>
        <w:t xml:space="preserve">7.2.2 </w:t>
      </w:r>
      <w:r>
        <w:rPr>
          <w:rFonts w:hint="eastAsia" w:ascii="宋体" w:hAnsi="宋体"/>
          <w:sz w:val="30"/>
          <w:szCs w:val="30"/>
        </w:rPr>
        <w:t>发包人提供的施工设备和临时设施</w:t>
      </w:r>
    </w:p>
    <w:p w14:paraId="2F86BC6E">
      <w:pPr>
        <w:rPr>
          <w:rFonts w:ascii="宋体" w:hAnsi="宋体"/>
          <w:sz w:val="30"/>
          <w:szCs w:val="30"/>
        </w:rPr>
      </w:pPr>
      <w:r>
        <w:rPr>
          <w:rFonts w:hint="eastAsia" w:ascii="宋体" w:hAnsi="宋体"/>
          <w:sz w:val="30"/>
          <w:szCs w:val="30"/>
        </w:rPr>
        <w:t>发包人提供的施工设备或临时设施范围：</w:t>
      </w:r>
      <w:r>
        <w:rPr>
          <w:rFonts w:ascii="宋体" w:hAnsi="宋体"/>
          <w:sz w:val="30"/>
          <w:szCs w:val="30"/>
        </w:rPr>
        <w:t xml:space="preserve">               </w:t>
      </w:r>
      <w:r>
        <w:rPr>
          <w:rFonts w:hint="eastAsia" w:ascii="宋体" w:hAnsi="宋体"/>
          <w:sz w:val="30"/>
          <w:szCs w:val="30"/>
        </w:rPr>
        <w:t>。</w:t>
      </w:r>
    </w:p>
    <w:p w14:paraId="5605286C">
      <w:pPr>
        <w:rPr>
          <w:rFonts w:ascii="宋体" w:hAnsi="宋体"/>
          <w:sz w:val="30"/>
          <w:szCs w:val="30"/>
        </w:rPr>
      </w:pPr>
      <w:r>
        <w:rPr>
          <w:rFonts w:ascii="宋体" w:hAnsi="宋体"/>
          <w:sz w:val="30"/>
          <w:szCs w:val="30"/>
        </w:rPr>
        <w:t xml:space="preserve">7.3 </w:t>
      </w:r>
      <w:r>
        <w:rPr>
          <w:rFonts w:hint="eastAsia" w:ascii="宋体" w:hAnsi="宋体"/>
          <w:sz w:val="30"/>
          <w:szCs w:val="30"/>
        </w:rPr>
        <w:t>现场合作</w:t>
      </w:r>
    </w:p>
    <w:p w14:paraId="5B71100B">
      <w:pPr>
        <w:rPr>
          <w:rFonts w:ascii="宋体" w:hAnsi="宋体"/>
          <w:sz w:val="30"/>
          <w:szCs w:val="30"/>
        </w:rPr>
      </w:pPr>
      <w:r>
        <w:rPr>
          <w:rFonts w:hint="eastAsia" w:ascii="宋体" w:hAnsi="宋体"/>
          <w:sz w:val="30"/>
          <w:szCs w:val="30"/>
        </w:rPr>
        <w:t>关于现场合作费用的特别约定：</w:t>
      </w:r>
      <w:r>
        <w:rPr>
          <w:rFonts w:ascii="宋体" w:hAnsi="宋体"/>
          <w:sz w:val="30"/>
          <w:szCs w:val="30"/>
        </w:rPr>
        <w:t xml:space="preserve">                       </w:t>
      </w:r>
      <w:r>
        <w:rPr>
          <w:rFonts w:hint="eastAsia" w:ascii="宋体" w:hAnsi="宋体"/>
          <w:sz w:val="30"/>
          <w:szCs w:val="30"/>
        </w:rPr>
        <w:t>。</w:t>
      </w:r>
    </w:p>
    <w:p w14:paraId="37021F0C">
      <w:pPr>
        <w:rPr>
          <w:rFonts w:ascii="宋体" w:hAnsi="宋体"/>
          <w:sz w:val="30"/>
          <w:szCs w:val="30"/>
        </w:rPr>
      </w:pPr>
      <w:r>
        <w:rPr>
          <w:rFonts w:ascii="宋体" w:hAnsi="宋体"/>
          <w:sz w:val="30"/>
          <w:szCs w:val="30"/>
        </w:rPr>
        <w:t xml:space="preserve">7.4 </w:t>
      </w:r>
      <w:r>
        <w:rPr>
          <w:rFonts w:hint="eastAsia" w:ascii="宋体" w:hAnsi="宋体"/>
          <w:sz w:val="30"/>
          <w:szCs w:val="30"/>
        </w:rPr>
        <w:t>测量放线</w:t>
      </w:r>
    </w:p>
    <w:p w14:paraId="399BC432">
      <w:pPr>
        <w:rPr>
          <w:rFonts w:ascii="宋体" w:hAnsi="宋体"/>
          <w:sz w:val="30"/>
          <w:szCs w:val="30"/>
        </w:rPr>
      </w:pPr>
      <w:r>
        <w:rPr>
          <w:rFonts w:hint="eastAsia" w:ascii="宋体" w:hAnsi="宋体"/>
          <w:sz w:val="30"/>
          <w:szCs w:val="30"/>
        </w:rPr>
        <w:t>7</w:t>
      </w:r>
      <w:r>
        <w:rPr>
          <w:rFonts w:ascii="宋体" w:hAnsi="宋体"/>
          <w:sz w:val="30"/>
          <w:szCs w:val="30"/>
        </w:rPr>
        <w:t xml:space="preserve">.4.1 </w:t>
      </w:r>
      <w:r>
        <w:rPr>
          <w:rFonts w:hint="eastAsia" w:ascii="宋体" w:hAnsi="宋体"/>
          <w:sz w:val="30"/>
          <w:szCs w:val="30"/>
        </w:rPr>
        <w:t>关于测量放线的特别约定的技术规范：</w:t>
      </w:r>
      <w:r>
        <w:rPr>
          <w:rFonts w:ascii="宋体" w:hAnsi="宋体"/>
          <w:sz w:val="30"/>
          <w:szCs w:val="30"/>
        </w:rPr>
        <w:t xml:space="preserve">                                     </w:t>
      </w:r>
      <w:r>
        <w:rPr>
          <w:rFonts w:hint="eastAsia" w:ascii="宋体" w:hAnsi="宋体"/>
          <w:sz w:val="30"/>
          <w:szCs w:val="30"/>
        </w:rPr>
        <w:t>。施工控制网资料的告知期限：</w:t>
      </w:r>
      <w:r>
        <w:rPr>
          <w:rFonts w:ascii="宋体" w:hAnsi="宋体"/>
          <w:sz w:val="30"/>
          <w:szCs w:val="30"/>
        </w:rPr>
        <w:t xml:space="preserve">                           </w:t>
      </w:r>
      <w:r>
        <w:rPr>
          <w:rFonts w:hint="eastAsia" w:ascii="宋体" w:hAnsi="宋体"/>
          <w:sz w:val="30"/>
          <w:szCs w:val="30"/>
        </w:rPr>
        <w:t>。</w:t>
      </w:r>
    </w:p>
    <w:p w14:paraId="42E99D39">
      <w:pPr>
        <w:rPr>
          <w:rFonts w:ascii="宋体" w:hAnsi="宋体"/>
          <w:sz w:val="30"/>
          <w:szCs w:val="30"/>
        </w:rPr>
      </w:pPr>
      <w:r>
        <w:rPr>
          <w:rFonts w:ascii="宋体" w:hAnsi="宋体"/>
          <w:sz w:val="30"/>
          <w:szCs w:val="30"/>
        </w:rPr>
        <w:t xml:space="preserve">7.5 </w:t>
      </w:r>
      <w:r>
        <w:rPr>
          <w:rFonts w:hint="eastAsia" w:ascii="宋体" w:hAnsi="宋体"/>
          <w:sz w:val="30"/>
          <w:szCs w:val="30"/>
        </w:rPr>
        <w:t>现场劳动用工</w:t>
      </w:r>
    </w:p>
    <w:p w14:paraId="16D567DF">
      <w:pPr>
        <w:rPr>
          <w:rFonts w:ascii="宋体" w:hAnsi="宋体"/>
          <w:sz w:val="30"/>
          <w:szCs w:val="30"/>
        </w:rPr>
      </w:pPr>
      <w:r>
        <w:rPr>
          <w:rFonts w:hint="eastAsia" w:ascii="宋体" w:hAnsi="宋体"/>
          <w:sz w:val="30"/>
          <w:szCs w:val="30"/>
        </w:rPr>
        <w:t>7</w:t>
      </w:r>
      <w:r>
        <w:rPr>
          <w:rFonts w:ascii="宋体" w:hAnsi="宋体"/>
          <w:sz w:val="30"/>
          <w:szCs w:val="30"/>
        </w:rPr>
        <w:t xml:space="preserve">.5.2 </w:t>
      </w:r>
      <w:r>
        <w:rPr>
          <w:rFonts w:hint="eastAsia" w:ascii="宋体" w:hAnsi="宋体"/>
          <w:sz w:val="30"/>
          <w:szCs w:val="30"/>
        </w:rPr>
        <w:t>合同当事人对建筑工人工资清偿事宜和违约责任的约定：</w:t>
      </w:r>
      <w:r>
        <w:rPr>
          <w:rFonts w:ascii="宋体" w:hAnsi="宋体"/>
          <w:sz w:val="30"/>
          <w:szCs w:val="30"/>
        </w:rPr>
        <w:t xml:space="preserve">                                                </w:t>
      </w:r>
      <w:r>
        <w:rPr>
          <w:rFonts w:hint="eastAsia" w:ascii="宋体" w:hAnsi="宋体"/>
          <w:sz w:val="30"/>
          <w:szCs w:val="30"/>
        </w:rPr>
        <w:t>。</w:t>
      </w:r>
    </w:p>
    <w:p w14:paraId="7D787BF0">
      <w:pPr>
        <w:rPr>
          <w:rFonts w:ascii="宋体" w:hAnsi="宋体"/>
          <w:sz w:val="30"/>
          <w:szCs w:val="30"/>
        </w:rPr>
      </w:pPr>
      <w:r>
        <w:rPr>
          <w:rFonts w:ascii="宋体" w:hAnsi="宋体"/>
          <w:sz w:val="30"/>
          <w:szCs w:val="30"/>
        </w:rPr>
        <w:t xml:space="preserve">7.6 </w:t>
      </w:r>
      <w:r>
        <w:rPr>
          <w:rFonts w:hint="eastAsia" w:ascii="宋体" w:hAnsi="宋体"/>
          <w:sz w:val="30"/>
          <w:szCs w:val="30"/>
        </w:rPr>
        <w:t>安全文明施工</w:t>
      </w:r>
    </w:p>
    <w:p w14:paraId="5AE14C94">
      <w:pPr>
        <w:rPr>
          <w:rFonts w:ascii="宋体" w:hAnsi="宋体"/>
          <w:sz w:val="30"/>
          <w:szCs w:val="30"/>
        </w:rPr>
      </w:pPr>
      <w:r>
        <w:rPr>
          <w:rFonts w:ascii="宋体" w:hAnsi="宋体"/>
          <w:sz w:val="30"/>
          <w:szCs w:val="30"/>
        </w:rPr>
        <w:t xml:space="preserve">7.6.1 </w:t>
      </w:r>
      <w:r>
        <w:rPr>
          <w:rFonts w:hint="eastAsia" w:ascii="宋体" w:hAnsi="宋体"/>
          <w:sz w:val="30"/>
          <w:szCs w:val="30"/>
        </w:rPr>
        <w:t>安全生产要求</w:t>
      </w:r>
    </w:p>
    <w:p w14:paraId="1A25300A">
      <w:pPr>
        <w:rPr>
          <w:rFonts w:ascii="宋体" w:hAnsi="宋体"/>
          <w:sz w:val="30"/>
          <w:szCs w:val="30"/>
        </w:rPr>
      </w:pPr>
      <w:r>
        <w:rPr>
          <w:rFonts w:hint="eastAsia" w:ascii="宋体" w:hAnsi="宋体"/>
          <w:sz w:val="30"/>
          <w:szCs w:val="30"/>
        </w:rPr>
        <w:t>合同当事人对安全施工的要求：</w:t>
      </w:r>
      <w:r>
        <w:rPr>
          <w:rFonts w:ascii="宋体" w:hAnsi="宋体"/>
          <w:sz w:val="30"/>
          <w:szCs w:val="30"/>
        </w:rPr>
        <w:t xml:space="preserve">                      </w:t>
      </w:r>
      <w:r>
        <w:rPr>
          <w:rFonts w:hint="eastAsia" w:ascii="宋体" w:hAnsi="宋体"/>
          <w:sz w:val="30"/>
          <w:szCs w:val="30"/>
        </w:rPr>
        <w:t>。</w:t>
      </w:r>
    </w:p>
    <w:p w14:paraId="095B9149">
      <w:pPr>
        <w:rPr>
          <w:rFonts w:ascii="宋体" w:hAnsi="宋体"/>
          <w:sz w:val="30"/>
          <w:szCs w:val="30"/>
        </w:rPr>
      </w:pPr>
      <w:r>
        <w:rPr>
          <w:rFonts w:ascii="宋体" w:hAnsi="宋体"/>
          <w:sz w:val="30"/>
          <w:szCs w:val="30"/>
        </w:rPr>
        <w:t xml:space="preserve">7.6.3 </w:t>
      </w:r>
      <w:r>
        <w:rPr>
          <w:rFonts w:hint="eastAsia" w:ascii="宋体" w:hAnsi="宋体"/>
          <w:sz w:val="30"/>
          <w:szCs w:val="30"/>
        </w:rPr>
        <w:t>文明施工</w:t>
      </w:r>
    </w:p>
    <w:p w14:paraId="34A20517">
      <w:pPr>
        <w:rPr>
          <w:rFonts w:ascii="宋体" w:hAnsi="宋体"/>
          <w:sz w:val="30"/>
          <w:szCs w:val="30"/>
        </w:rPr>
      </w:pPr>
      <w:r>
        <w:rPr>
          <w:rFonts w:hint="eastAsia" w:ascii="宋体" w:hAnsi="宋体"/>
          <w:sz w:val="30"/>
          <w:szCs w:val="30"/>
        </w:rPr>
        <w:t>合同当事人对文明施工的要求：</w:t>
      </w:r>
      <w:r>
        <w:rPr>
          <w:rFonts w:ascii="宋体" w:hAnsi="宋体"/>
          <w:sz w:val="30"/>
          <w:szCs w:val="30"/>
        </w:rPr>
        <w:t xml:space="preserve">                       </w:t>
      </w:r>
      <w:r>
        <w:rPr>
          <w:rFonts w:hint="eastAsia" w:ascii="宋体" w:hAnsi="宋体"/>
          <w:sz w:val="30"/>
          <w:szCs w:val="30"/>
        </w:rPr>
        <w:t>。</w:t>
      </w:r>
    </w:p>
    <w:p w14:paraId="3D7B2668">
      <w:pPr>
        <w:rPr>
          <w:rFonts w:ascii="宋体" w:hAnsi="宋体"/>
          <w:sz w:val="30"/>
          <w:szCs w:val="30"/>
        </w:rPr>
      </w:pPr>
      <w:r>
        <w:rPr>
          <w:rFonts w:ascii="宋体" w:hAnsi="宋体"/>
          <w:sz w:val="30"/>
          <w:szCs w:val="30"/>
        </w:rPr>
        <w:t xml:space="preserve">7.9 </w:t>
      </w:r>
      <w:r>
        <w:rPr>
          <w:rFonts w:hint="eastAsia" w:ascii="宋体" w:hAnsi="宋体"/>
          <w:sz w:val="30"/>
          <w:szCs w:val="30"/>
        </w:rPr>
        <w:t>临时性公用设施</w:t>
      </w:r>
    </w:p>
    <w:p w14:paraId="324C367F">
      <w:pPr>
        <w:rPr>
          <w:rFonts w:ascii="宋体" w:hAnsi="宋体"/>
          <w:sz w:val="30"/>
          <w:szCs w:val="30"/>
        </w:rPr>
      </w:pPr>
      <w:r>
        <w:rPr>
          <w:rFonts w:hint="eastAsia" w:ascii="宋体" w:hAnsi="宋体"/>
          <w:sz w:val="30"/>
          <w:szCs w:val="30"/>
        </w:rPr>
        <w:t>关于临时性公用设施的特别约定：</w:t>
      </w:r>
      <w:r>
        <w:rPr>
          <w:rFonts w:ascii="宋体" w:hAnsi="宋体"/>
          <w:sz w:val="30"/>
          <w:szCs w:val="30"/>
        </w:rPr>
        <w:t xml:space="preserve">                     </w:t>
      </w:r>
      <w:r>
        <w:rPr>
          <w:rFonts w:hint="eastAsia" w:ascii="宋体" w:hAnsi="宋体"/>
          <w:sz w:val="30"/>
          <w:szCs w:val="30"/>
        </w:rPr>
        <w:t>。</w:t>
      </w:r>
    </w:p>
    <w:p w14:paraId="1F29D961">
      <w:pPr>
        <w:rPr>
          <w:rFonts w:ascii="宋体" w:hAnsi="宋体"/>
          <w:sz w:val="30"/>
          <w:szCs w:val="30"/>
        </w:rPr>
      </w:pPr>
      <w:r>
        <w:rPr>
          <w:rFonts w:ascii="宋体" w:hAnsi="宋体"/>
          <w:sz w:val="30"/>
          <w:szCs w:val="30"/>
        </w:rPr>
        <w:t xml:space="preserve">7.10 </w:t>
      </w:r>
      <w:r>
        <w:rPr>
          <w:rFonts w:hint="eastAsia" w:ascii="宋体" w:hAnsi="宋体"/>
          <w:sz w:val="30"/>
          <w:szCs w:val="30"/>
        </w:rPr>
        <w:t>现场安保</w:t>
      </w:r>
    </w:p>
    <w:p w14:paraId="27E4A7F2">
      <w:pPr>
        <w:rPr>
          <w:rFonts w:ascii="宋体" w:hAnsi="宋体"/>
          <w:sz w:val="30"/>
          <w:szCs w:val="30"/>
        </w:rPr>
      </w:pPr>
      <w:r>
        <w:rPr>
          <w:rFonts w:hint="eastAsia" w:ascii="宋体" w:hAnsi="宋体"/>
          <w:sz w:val="30"/>
          <w:szCs w:val="30"/>
        </w:rPr>
        <w:t>承包人现场安保义务的特别约定：</w:t>
      </w:r>
      <w:r>
        <w:rPr>
          <w:rFonts w:ascii="宋体" w:hAnsi="宋体"/>
          <w:sz w:val="30"/>
          <w:szCs w:val="30"/>
        </w:rPr>
        <w:t xml:space="preserve">                     。</w:t>
      </w:r>
    </w:p>
    <w:p w14:paraId="390BF0DF">
      <w:pPr>
        <w:rPr>
          <w:rFonts w:ascii="宋体" w:hAnsi="宋体"/>
          <w:sz w:val="30"/>
          <w:szCs w:val="30"/>
        </w:rPr>
      </w:pPr>
      <w:bookmarkStart w:id="739" w:name="_Toc54862339"/>
      <w:r>
        <w:rPr>
          <w:rFonts w:hint="eastAsia" w:ascii="宋体" w:hAnsi="宋体"/>
          <w:sz w:val="30"/>
          <w:szCs w:val="30"/>
        </w:rPr>
        <w:t>第</w:t>
      </w:r>
      <w:r>
        <w:rPr>
          <w:rFonts w:ascii="宋体" w:hAnsi="宋体"/>
          <w:sz w:val="30"/>
          <w:szCs w:val="30"/>
        </w:rPr>
        <w:t>8条</w:t>
      </w:r>
      <w:r>
        <w:rPr>
          <w:rFonts w:hint="eastAsia" w:ascii="宋体" w:hAnsi="宋体"/>
          <w:sz w:val="30"/>
          <w:szCs w:val="30"/>
        </w:rPr>
        <w:t xml:space="preserve"> 工期和进度</w:t>
      </w:r>
      <w:bookmarkEnd w:id="739"/>
    </w:p>
    <w:p w14:paraId="1948C1B6">
      <w:pPr>
        <w:rPr>
          <w:rFonts w:ascii="宋体" w:hAnsi="宋体"/>
          <w:sz w:val="30"/>
          <w:szCs w:val="30"/>
        </w:rPr>
      </w:pPr>
      <w:r>
        <w:rPr>
          <w:rFonts w:ascii="宋体" w:hAnsi="宋体"/>
          <w:sz w:val="30"/>
          <w:szCs w:val="30"/>
        </w:rPr>
        <w:t xml:space="preserve">8.1 </w:t>
      </w:r>
      <w:r>
        <w:rPr>
          <w:rFonts w:hint="eastAsia" w:ascii="宋体" w:hAnsi="宋体"/>
          <w:sz w:val="30"/>
          <w:szCs w:val="30"/>
        </w:rPr>
        <w:t>开始工作</w:t>
      </w:r>
    </w:p>
    <w:p w14:paraId="44FAC194">
      <w:pPr>
        <w:rPr>
          <w:rFonts w:ascii="宋体" w:hAnsi="宋体"/>
          <w:sz w:val="30"/>
          <w:szCs w:val="30"/>
        </w:rPr>
      </w:pPr>
      <w:r>
        <w:rPr>
          <w:rFonts w:ascii="宋体" w:hAnsi="宋体"/>
          <w:sz w:val="30"/>
          <w:szCs w:val="30"/>
        </w:rPr>
        <w:t xml:space="preserve">8.1.1 </w:t>
      </w:r>
      <w:r>
        <w:rPr>
          <w:rFonts w:hint="eastAsia" w:ascii="宋体" w:hAnsi="宋体"/>
          <w:sz w:val="30"/>
          <w:szCs w:val="30"/>
        </w:rPr>
        <w:t>开始准备工作：</w:t>
      </w:r>
      <w:r>
        <w:rPr>
          <w:rFonts w:ascii="宋体" w:hAnsi="宋体"/>
          <w:sz w:val="30"/>
          <w:szCs w:val="30"/>
        </w:rPr>
        <w:t xml:space="preserve">                               </w:t>
      </w:r>
      <w:r>
        <w:rPr>
          <w:rFonts w:hint="eastAsia" w:ascii="宋体" w:hAnsi="宋体"/>
          <w:sz w:val="30"/>
          <w:szCs w:val="30"/>
        </w:rPr>
        <w:t>。</w:t>
      </w:r>
    </w:p>
    <w:p w14:paraId="09EA857A">
      <w:pPr>
        <w:rPr>
          <w:rFonts w:ascii="宋体" w:hAnsi="宋体"/>
          <w:sz w:val="30"/>
          <w:szCs w:val="30"/>
        </w:rPr>
      </w:pPr>
      <w:r>
        <w:rPr>
          <w:rFonts w:ascii="宋体" w:hAnsi="宋体"/>
          <w:sz w:val="30"/>
          <w:szCs w:val="30"/>
        </w:rPr>
        <w:t xml:space="preserve">8.1.2 </w:t>
      </w:r>
      <w:r>
        <w:rPr>
          <w:rFonts w:hint="eastAsia" w:ascii="宋体" w:hAnsi="宋体"/>
          <w:sz w:val="30"/>
          <w:szCs w:val="30"/>
        </w:rPr>
        <w:t>发包人可在计划开始工作之日起</w:t>
      </w:r>
      <w:r>
        <w:rPr>
          <w:rFonts w:ascii="宋体" w:hAnsi="宋体"/>
          <w:sz w:val="30"/>
          <w:szCs w:val="30"/>
        </w:rPr>
        <w:t>84</w:t>
      </w:r>
      <w:r>
        <w:rPr>
          <w:rFonts w:hint="eastAsia" w:ascii="宋体" w:hAnsi="宋体"/>
          <w:sz w:val="30"/>
          <w:szCs w:val="30"/>
        </w:rPr>
        <w:t>日后发出开始工作通知的特殊情形：</w:t>
      </w:r>
      <w:r>
        <w:rPr>
          <w:rFonts w:ascii="宋体" w:hAnsi="宋体"/>
          <w:sz w:val="30"/>
          <w:szCs w:val="30"/>
        </w:rPr>
        <w:t xml:space="preserve">                                    </w:t>
      </w:r>
      <w:r>
        <w:rPr>
          <w:rFonts w:hint="eastAsia" w:ascii="宋体" w:hAnsi="宋体"/>
          <w:sz w:val="30"/>
          <w:szCs w:val="30"/>
        </w:rPr>
        <w:t>。</w:t>
      </w:r>
    </w:p>
    <w:p w14:paraId="0821009F">
      <w:pPr>
        <w:rPr>
          <w:rFonts w:ascii="宋体" w:hAnsi="宋体"/>
          <w:sz w:val="30"/>
          <w:szCs w:val="30"/>
        </w:rPr>
      </w:pPr>
      <w:r>
        <w:rPr>
          <w:rFonts w:ascii="宋体" w:hAnsi="宋体"/>
          <w:sz w:val="30"/>
          <w:szCs w:val="30"/>
        </w:rPr>
        <w:t xml:space="preserve">8.2 </w:t>
      </w:r>
      <w:r>
        <w:rPr>
          <w:rFonts w:hint="eastAsia" w:ascii="宋体" w:hAnsi="宋体"/>
          <w:sz w:val="30"/>
          <w:szCs w:val="30"/>
        </w:rPr>
        <w:t>竣工日期</w:t>
      </w:r>
    </w:p>
    <w:p w14:paraId="7F7FA879">
      <w:pPr>
        <w:rPr>
          <w:rFonts w:ascii="宋体" w:hAnsi="宋体"/>
          <w:sz w:val="30"/>
          <w:szCs w:val="30"/>
        </w:rPr>
      </w:pPr>
      <w:r>
        <w:rPr>
          <w:rFonts w:hint="eastAsia" w:ascii="宋体" w:hAnsi="宋体"/>
          <w:sz w:val="30"/>
          <w:szCs w:val="30"/>
        </w:rPr>
        <w:t>竣工日期的约定：</w:t>
      </w:r>
      <w:r>
        <w:rPr>
          <w:rFonts w:ascii="宋体" w:hAnsi="宋体"/>
          <w:sz w:val="30"/>
          <w:szCs w:val="30"/>
        </w:rPr>
        <w:t xml:space="preserve">                                   </w:t>
      </w:r>
      <w:r>
        <w:rPr>
          <w:rFonts w:hint="eastAsia" w:ascii="宋体" w:hAnsi="宋体"/>
          <w:sz w:val="30"/>
          <w:szCs w:val="30"/>
        </w:rPr>
        <w:t>。</w:t>
      </w:r>
    </w:p>
    <w:p w14:paraId="503E35D7">
      <w:pPr>
        <w:rPr>
          <w:rFonts w:ascii="宋体" w:hAnsi="宋体"/>
          <w:sz w:val="30"/>
          <w:szCs w:val="30"/>
        </w:rPr>
      </w:pPr>
      <w:r>
        <w:rPr>
          <w:rFonts w:ascii="宋体" w:hAnsi="宋体"/>
          <w:sz w:val="30"/>
          <w:szCs w:val="30"/>
        </w:rPr>
        <w:t xml:space="preserve">8.3 </w:t>
      </w:r>
      <w:r>
        <w:rPr>
          <w:rFonts w:hint="eastAsia" w:ascii="宋体" w:hAnsi="宋体"/>
          <w:sz w:val="30"/>
          <w:szCs w:val="30"/>
        </w:rPr>
        <w:t>项目实施计划</w:t>
      </w:r>
    </w:p>
    <w:p w14:paraId="38CE3882">
      <w:pPr>
        <w:rPr>
          <w:rFonts w:ascii="宋体" w:hAnsi="宋体"/>
          <w:sz w:val="30"/>
          <w:szCs w:val="30"/>
        </w:rPr>
      </w:pPr>
      <w:r>
        <w:rPr>
          <w:rFonts w:ascii="宋体" w:hAnsi="宋体"/>
          <w:sz w:val="30"/>
          <w:szCs w:val="30"/>
        </w:rPr>
        <w:t xml:space="preserve">8.3.1 </w:t>
      </w:r>
      <w:r>
        <w:rPr>
          <w:rFonts w:hint="eastAsia" w:ascii="宋体" w:hAnsi="宋体"/>
          <w:sz w:val="30"/>
          <w:szCs w:val="30"/>
        </w:rPr>
        <w:t>项目实施计划的内容</w:t>
      </w:r>
    </w:p>
    <w:p w14:paraId="4B587D56">
      <w:pPr>
        <w:rPr>
          <w:rFonts w:ascii="宋体" w:hAnsi="宋体"/>
          <w:sz w:val="30"/>
          <w:szCs w:val="30"/>
        </w:rPr>
      </w:pPr>
      <w:r>
        <w:rPr>
          <w:rFonts w:hint="eastAsia" w:ascii="宋体" w:hAnsi="宋体"/>
          <w:sz w:val="30"/>
          <w:szCs w:val="30"/>
        </w:rPr>
        <w:t xml:space="preserve">项目实施计划的内容： </w:t>
      </w:r>
      <w:r>
        <w:rPr>
          <w:rFonts w:ascii="宋体" w:hAnsi="宋体"/>
          <w:sz w:val="30"/>
          <w:szCs w:val="30"/>
        </w:rPr>
        <w:t xml:space="preserve">                             </w:t>
      </w:r>
      <w:r>
        <w:rPr>
          <w:rFonts w:hint="eastAsia" w:ascii="宋体" w:hAnsi="宋体"/>
          <w:sz w:val="30"/>
          <w:szCs w:val="30"/>
        </w:rPr>
        <w:t>。</w:t>
      </w:r>
    </w:p>
    <w:p w14:paraId="0C9927D4">
      <w:pPr>
        <w:rPr>
          <w:rFonts w:ascii="宋体" w:hAnsi="宋体"/>
          <w:sz w:val="30"/>
          <w:szCs w:val="30"/>
        </w:rPr>
      </w:pPr>
      <w:r>
        <w:rPr>
          <w:rFonts w:ascii="宋体" w:hAnsi="宋体"/>
          <w:sz w:val="30"/>
          <w:szCs w:val="30"/>
        </w:rPr>
        <w:t xml:space="preserve">8.3.2 </w:t>
      </w:r>
      <w:r>
        <w:rPr>
          <w:rFonts w:hint="eastAsia" w:ascii="宋体" w:hAnsi="宋体"/>
          <w:sz w:val="30"/>
          <w:szCs w:val="30"/>
        </w:rPr>
        <w:t>项目实施计划的提交和修改</w:t>
      </w:r>
    </w:p>
    <w:p w14:paraId="45DF4C47">
      <w:pPr>
        <w:rPr>
          <w:rFonts w:ascii="宋体" w:hAnsi="宋体"/>
          <w:sz w:val="30"/>
          <w:szCs w:val="30"/>
        </w:rPr>
      </w:pPr>
      <w:r>
        <w:rPr>
          <w:rFonts w:hint="eastAsia" w:ascii="宋体" w:hAnsi="宋体"/>
          <w:sz w:val="30"/>
          <w:szCs w:val="30"/>
        </w:rPr>
        <w:t>项目实施计划的提交及修改期限：</w:t>
      </w:r>
      <w:r>
        <w:rPr>
          <w:rFonts w:ascii="宋体" w:hAnsi="宋体"/>
          <w:sz w:val="30"/>
          <w:szCs w:val="30"/>
        </w:rPr>
        <w:t xml:space="preserve">                    </w:t>
      </w:r>
      <w:r>
        <w:rPr>
          <w:rFonts w:hint="eastAsia" w:ascii="宋体" w:hAnsi="宋体"/>
          <w:sz w:val="30"/>
          <w:szCs w:val="30"/>
        </w:rPr>
        <w:t>。</w:t>
      </w:r>
    </w:p>
    <w:p w14:paraId="115167EF">
      <w:pPr>
        <w:rPr>
          <w:rFonts w:ascii="宋体" w:hAnsi="宋体"/>
          <w:sz w:val="30"/>
          <w:szCs w:val="30"/>
        </w:rPr>
      </w:pPr>
      <w:r>
        <w:rPr>
          <w:rFonts w:ascii="宋体" w:hAnsi="宋体"/>
          <w:sz w:val="30"/>
          <w:szCs w:val="30"/>
        </w:rPr>
        <w:t xml:space="preserve">8.4 </w:t>
      </w:r>
      <w:r>
        <w:rPr>
          <w:rFonts w:hint="eastAsia" w:ascii="宋体" w:hAnsi="宋体"/>
          <w:sz w:val="30"/>
          <w:szCs w:val="30"/>
        </w:rPr>
        <w:t>项目进度计划</w:t>
      </w:r>
    </w:p>
    <w:p w14:paraId="48E0B732">
      <w:pPr>
        <w:rPr>
          <w:rFonts w:ascii="宋体" w:hAnsi="宋体"/>
          <w:sz w:val="30"/>
          <w:szCs w:val="30"/>
        </w:rPr>
      </w:pPr>
      <w:r>
        <w:rPr>
          <w:rFonts w:ascii="宋体" w:hAnsi="宋体"/>
          <w:sz w:val="30"/>
          <w:szCs w:val="30"/>
        </w:rPr>
        <w:t xml:space="preserve">8.4.1 </w:t>
      </w:r>
      <w:r>
        <w:rPr>
          <w:rFonts w:hint="eastAsia" w:ascii="宋体" w:hAnsi="宋体"/>
          <w:sz w:val="30"/>
          <w:szCs w:val="30"/>
        </w:rPr>
        <w:t>工程师在收到进度计划后确认或提出修改意见的期限：</w:t>
      </w:r>
      <w:r>
        <w:rPr>
          <w:rFonts w:ascii="宋体" w:hAnsi="宋体"/>
          <w:sz w:val="30"/>
          <w:szCs w:val="30"/>
        </w:rPr>
        <w:t xml:space="preserve">                                                  </w:t>
      </w:r>
      <w:r>
        <w:rPr>
          <w:rFonts w:hint="eastAsia" w:ascii="宋体" w:hAnsi="宋体"/>
          <w:sz w:val="30"/>
          <w:szCs w:val="30"/>
        </w:rPr>
        <w:t>。</w:t>
      </w:r>
    </w:p>
    <w:p w14:paraId="723814EB">
      <w:pPr>
        <w:rPr>
          <w:rFonts w:ascii="宋体" w:hAnsi="宋体"/>
          <w:sz w:val="30"/>
          <w:szCs w:val="30"/>
        </w:rPr>
      </w:pPr>
      <w:r>
        <w:rPr>
          <w:rFonts w:ascii="宋体" w:hAnsi="宋体"/>
          <w:sz w:val="30"/>
          <w:szCs w:val="30"/>
        </w:rPr>
        <w:t xml:space="preserve">8.4.2 </w:t>
      </w:r>
      <w:r>
        <w:rPr>
          <w:rFonts w:hint="eastAsia" w:ascii="宋体" w:hAnsi="宋体"/>
          <w:sz w:val="30"/>
          <w:szCs w:val="30"/>
        </w:rPr>
        <w:t>进度计划的具体要求：</w:t>
      </w:r>
      <w:r>
        <w:rPr>
          <w:rFonts w:ascii="宋体" w:hAnsi="宋体"/>
          <w:sz w:val="30"/>
          <w:szCs w:val="30"/>
        </w:rPr>
        <w:t xml:space="preserve">                        </w:t>
      </w:r>
      <w:r>
        <w:rPr>
          <w:rFonts w:hint="eastAsia" w:ascii="宋体" w:hAnsi="宋体"/>
          <w:sz w:val="30"/>
          <w:szCs w:val="30"/>
        </w:rPr>
        <w:t>。</w:t>
      </w:r>
    </w:p>
    <w:p w14:paraId="211FEC3B">
      <w:pPr>
        <w:rPr>
          <w:rFonts w:ascii="宋体" w:hAnsi="宋体"/>
          <w:sz w:val="30"/>
          <w:szCs w:val="30"/>
        </w:rPr>
      </w:pPr>
      <w:r>
        <w:rPr>
          <w:rFonts w:hint="eastAsia" w:ascii="宋体" w:hAnsi="宋体"/>
          <w:sz w:val="30"/>
          <w:szCs w:val="30"/>
        </w:rPr>
        <w:t>关键路径及关键路径变化的确定原则：</w:t>
      </w:r>
      <w:r>
        <w:rPr>
          <w:rFonts w:ascii="宋体" w:hAnsi="宋体"/>
          <w:sz w:val="30"/>
          <w:szCs w:val="30"/>
        </w:rPr>
        <w:t xml:space="preserve">                 </w:t>
      </w:r>
      <w:r>
        <w:rPr>
          <w:rFonts w:hint="eastAsia" w:ascii="宋体" w:hAnsi="宋体"/>
          <w:sz w:val="30"/>
          <w:szCs w:val="30"/>
        </w:rPr>
        <w:t>。</w:t>
      </w:r>
    </w:p>
    <w:p w14:paraId="509466C3">
      <w:pPr>
        <w:rPr>
          <w:rFonts w:ascii="宋体" w:hAnsi="宋体"/>
          <w:sz w:val="30"/>
          <w:szCs w:val="30"/>
        </w:rPr>
      </w:pPr>
      <w:r>
        <w:rPr>
          <w:rFonts w:hint="eastAsia" w:ascii="宋体" w:hAnsi="宋体"/>
          <w:sz w:val="30"/>
          <w:szCs w:val="30"/>
        </w:rPr>
        <w:t>承包人提交项目进度计划的份数和时间：</w:t>
      </w:r>
      <w:r>
        <w:rPr>
          <w:rFonts w:ascii="宋体" w:hAnsi="宋体"/>
          <w:sz w:val="30"/>
          <w:szCs w:val="30"/>
        </w:rPr>
        <w:t xml:space="preserve">               </w:t>
      </w:r>
      <w:r>
        <w:rPr>
          <w:rFonts w:hint="eastAsia" w:ascii="宋体" w:hAnsi="宋体"/>
          <w:sz w:val="30"/>
          <w:szCs w:val="30"/>
        </w:rPr>
        <w:t>。</w:t>
      </w:r>
    </w:p>
    <w:p w14:paraId="0B28E822">
      <w:pPr>
        <w:rPr>
          <w:rFonts w:ascii="宋体" w:hAnsi="宋体"/>
          <w:sz w:val="30"/>
          <w:szCs w:val="30"/>
        </w:rPr>
      </w:pPr>
      <w:r>
        <w:rPr>
          <w:rFonts w:ascii="宋体" w:hAnsi="宋体"/>
          <w:sz w:val="30"/>
          <w:szCs w:val="30"/>
        </w:rPr>
        <w:t xml:space="preserve">8.4.3 </w:t>
      </w:r>
      <w:r>
        <w:rPr>
          <w:rFonts w:hint="eastAsia" w:ascii="宋体" w:hAnsi="宋体"/>
          <w:sz w:val="30"/>
          <w:szCs w:val="30"/>
        </w:rPr>
        <w:t>进度计划的修订</w:t>
      </w:r>
    </w:p>
    <w:p w14:paraId="7859B620">
      <w:pPr>
        <w:rPr>
          <w:rFonts w:ascii="宋体" w:hAnsi="宋体"/>
          <w:sz w:val="30"/>
          <w:szCs w:val="30"/>
        </w:rPr>
      </w:pPr>
      <w:r>
        <w:rPr>
          <w:rFonts w:hint="eastAsia" w:ascii="宋体" w:hAnsi="宋体"/>
          <w:sz w:val="30"/>
          <w:szCs w:val="30"/>
        </w:rPr>
        <w:t>承包人提交修订</w:t>
      </w:r>
      <w:r>
        <w:rPr>
          <w:rFonts w:ascii="宋体" w:hAnsi="宋体"/>
          <w:sz w:val="30"/>
          <w:szCs w:val="30"/>
        </w:rPr>
        <w:t>项目进度计划</w:t>
      </w:r>
      <w:r>
        <w:rPr>
          <w:rFonts w:hint="eastAsia" w:ascii="宋体" w:hAnsi="宋体"/>
          <w:sz w:val="30"/>
          <w:szCs w:val="30"/>
        </w:rPr>
        <w:t>申请报告的期限：</w:t>
      </w:r>
      <w:r>
        <w:rPr>
          <w:rFonts w:ascii="宋体" w:hAnsi="宋体"/>
          <w:sz w:val="30"/>
          <w:szCs w:val="30"/>
        </w:rPr>
        <w:t xml:space="preserve">         </w:t>
      </w:r>
      <w:r>
        <w:rPr>
          <w:rFonts w:hint="eastAsia" w:ascii="宋体" w:hAnsi="宋体"/>
          <w:sz w:val="30"/>
          <w:szCs w:val="30"/>
        </w:rPr>
        <w:t>。</w:t>
      </w:r>
    </w:p>
    <w:p w14:paraId="78CC826E">
      <w:pPr>
        <w:rPr>
          <w:rFonts w:ascii="宋体" w:hAnsi="宋体"/>
          <w:sz w:val="30"/>
          <w:szCs w:val="30"/>
        </w:rPr>
      </w:pPr>
      <w:r>
        <w:rPr>
          <w:rFonts w:hint="eastAsia" w:ascii="宋体" w:hAnsi="宋体"/>
          <w:sz w:val="30"/>
          <w:szCs w:val="30"/>
        </w:rPr>
        <w:t>发包人批复修订</w:t>
      </w:r>
      <w:r>
        <w:rPr>
          <w:rFonts w:ascii="宋体" w:hAnsi="宋体"/>
          <w:sz w:val="30"/>
          <w:szCs w:val="30"/>
        </w:rPr>
        <w:t>项目进度计划</w:t>
      </w:r>
      <w:r>
        <w:rPr>
          <w:rFonts w:hint="eastAsia" w:ascii="宋体" w:hAnsi="宋体"/>
          <w:sz w:val="30"/>
          <w:szCs w:val="30"/>
        </w:rPr>
        <w:t>申请报告的期限：</w:t>
      </w:r>
      <w:r>
        <w:rPr>
          <w:rFonts w:ascii="宋体" w:hAnsi="宋体"/>
          <w:sz w:val="30"/>
          <w:szCs w:val="30"/>
        </w:rPr>
        <w:t xml:space="preserve">         </w:t>
      </w:r>
      <w:r>
        <w:rPr>
          <w:rFonts w:hint="eastAsia" w:ascii="宋体" w:hAnsi="宋体"/>
          <w:sz w:val="30"/>
          <w:szCs w:val="30"/>
        </w:rPr>
        <w:t>。</w:t>
      </w:r>
    </w:p>
    <w:p w14:paraId="6297C68D">
      <w:pPr>
        <w:rPr>
          <w:rFonts w:ascii="宋体" w:hAnsi="宋体"/>
          <w:sz w:val="30"/>
          <w:szCs w:val="30"/>
        </w:rPr>
      </w:pPr>
      <w:r>
        <w:rPr>
          <w:rFonts w:hint="eastAsia" w:ascii="宋体" w:hAnsi="宋体"/>
          <w:sz w:val="30"/>
          <w:szCs w:val="30"/>
        </w:rPr>
        <w:t>承包人答复发包人提出修订合同计划的期限：</w:t>
      </w:r>
      <w:r>
        <w:rPr>
          <w:rFonts w:ascii="宋体" w:hAnsi="宋体"/>
          <w:sz w:val="30"/>
          <w:szCs w:val="30"/>
        </w:rPr>
        <w:t xml:space="preserve">           </w:t>
      </w:r>
      <w:r>
        <w:rPr>
          <w:rFonts w:hint="eastAsia" w:ascii="宋体" w:hAnsi="宋体"/>
          <w:sz w:val="30"/>
          <w:szCs w:val="30"/>
        </w:rPr>
        <w:t>。</w:t>
      </w:r>
    </w:p>
    <w:p w14:paraId="2077F2F4">
      <w:pPr>
        <w:rPr>
          <w:rFonts w:ascii="宋体" w:hAnsi="宋体"/>
          <w:sz w:val="30"/>
          <w:szCs w:val="30"/>
        </w:rPr>
      </w:pPr>
      <w:r>
        <w:rPr>
          <w:rFonts w:ascii="宋体" w:hAnsi="宋体"/>
          <w:sz w:val="30"/>
          <w:szCs w:val="30"/>
        </w:rPr>
        <w:t xml:space="preserve">8.5 </w:t>
      </w:r>
      <w:r>
        <w:rPr>
          <w:rFonts w:hint="eastAsia" w:ascii="宋体" w:hAnsi="宋体"/>
          <w:sz w:val="30"/>
          <w:szCs w:val="30"/>
        </w:rPr>
        <w:t>进度报告</w:t>
      </w:r>
    </w:p>
    <w:p w14:paraId="65B23EFB">
      <w:pPr>
        <w:rPr>
          <w:rFonts w:ascii="宋体" w:hAnsi="宋体"/>
          <w:sz w:val="30"/>
          <w:szCs w:val="30"/>
        </w:rPr>
      </w:pPr>
      <w:r>
        <w:rPr>
          <w:rFonts w:hint="eastAsia" w:ascii="宋体" w:hAnsi="宋体"/>
          <w:sz w:val="30"/>
          <w:szCs w:val="30"/>
        </w:rPr>
        <w:t>进度报告的具体要求：</w:t>
      </w:r>
      <w:r>
        <w:rPr>
          <w:rFonts w:ascii="宋体" w:hAnsi="宋体"/>
          <w:sz w:val="30"/>
          <w:szCs w:val="30"/>
        </w:rPr>
        <w:t xml:space="preserve">                              </w:t>
      </w:r>
      <w:r>
        <w:rPr>
          <w:rFonts w:hint="eastAsia" w:ascii="宋体" w:hAnsi="宋体"/>
          <w:sz w:val="30"/>
          <w:szCs w:val="30"/>
        </w:rPr>
        <w:t>。</w:t>
      </w:r>
    </w:p>
    <w:p w14:paraId="554F1641">
      <w:pPr>
        <w:rPr>
          <w:rFonts w:ascii="宋体" w:hAnsi="宋体"/>
          <w:sz w:val="30"/>
          <w:szCs w:val="30"/>
        </w:rPr>
      </w:pPr>
      <w:r>
        <w:rPr>
          <w:rFonts w:ascii="宋体" w:hAnsi="宋体"/>
          <w:sz w:val="30"/>
          <w:szCs w:val="30"/>
        </w:rPr>
        <w:t xml:space="preserve">8.7 </w:t>
      </w:r>
      <w:r>
        <w:rPr>
          <w:rFonts w:hint="eastAsia" w:ascii="宋体" w:hAnsi="宋体"/>
          <w:sz w:val="30"/>
          <w:szCs w:val="30"/>
        </w:rPr>
        <w:t>工期延误</w:t>
      </w:r>
    </w:p>
    <w:p w14:paraId="5A821FCE">
      <w:pPr>
        <w:rPr>
          <w:rFonts w:ascii="宋体" w:hAnsi="宋体"/>
          <w:sz w:val="30"/>
          <w:szCs w:val="30"/>
        </w:rPr>
      </w:pPr>
      <w:r>
        <w:rPr>
          <w:rFonts w:ascii="宋体" w:hAnsi="宋体"/>
          <w:sz w:val="30"/>
          <w:szCs w:val="30"/>
        </w:rPr>
        <w:t xml:space="preserve">8.7.2 </w:t>
      </w:r>
      <w:r>
        <w:rPr>
          <w:rFonts w:hint="eastAsia" w:ascii="宋体" w:hAnsi="宋体"/>
          <w:sz w:val="30"/>
          <w:szCs w:val="30"/>
        </w:rPr>
        <w:t>因承包人原因导致工期延误</w:t>
      </w:r>
    </w:p>
    <w:p w14:paraId="39972D78">
      <w:pPr>
        <w:rPr>
          <w:rFonts w:ascii="宋体" w:hAnsi="宋体"/>
          <w:sz w:val="30"/>
          <w:szCs w:val="30"/>
        </w:rPr>
      </w:pPr>
      <w:r>
        <w:rPr>
          <w:rFonts w:hint="eastAsia" w:ascii="宋体" w:hAnsi="宋体"/>
          <w:sz w:val="30"/>
          <w:szCs w:val="30"/>
        </w:rPr>
        <w:t>因承包人原因使竣工日期延误，每延误1日的误期赔偿金额为合同协议书的合同价格的</w:t>
      </w:r>
      <w:r>
        <w:rPr>
          <w:rFonts w:ascii="宋体" w:hAnsi="宋体"/>
          <w:sz w:val="30"/>
          <w:szCs w:val="30"/>
        </w:rPr>
        <w:t xml:space="preserve">    </w:t>
      </w:r>
      <w:r>
        <w:rPr>
          <w:rFonts w:hint="eastAsia" w:ascii="宋体" w:hAnsi="宋体"/>
          <w:sz w:val="30"/>
          <w:szCs w:val="30"/>
        </w:rPr>
        <w:t>%或人民币金额为：</w:t>
      </w:r>
      <w:r>
        <w:rPr>
          <w:rFonts w:ascii="宋体" w:hAnsi="宋体"/>
          <w:sz w:val="30"/>
          <w:szCs w:val="30"/>
        </w:rPr>
        <w:t xml:space="preserve">          </w:t>
      </w:r>
      <w:r>
        <w:rPr>
          <w:rFonts w:hint="eastAsia" w:ascii="宋体" w:hAnsi="宋体"/>
          <w:sz w:val="30"/>
          <w:szCs w:val="30"/>
        </w:rPr>
        <w:t>、累计最高赔偿金额为合同协议书的合同价格的：</w:t>
      </w:r>
      <w:r>
        <w:rPr>
          <w:rFonts w:ascii="宋体" w:hAnsi="宋体"/>
          <w:sz w:val="30"/>
          <w:szCs w:val="30"/>
        </w:rPr>
        <w:t xml:space="preserve">    </w:t>
      </w:r>
      <w:r>
        <w:rPr>
          <w:rFonts w:hint="eastAsia" w:ascii="宋体" w:hAnsi="宋体"/>
          <w:sz w:val="30"/>
          <w:szCs w:val="30"/>
        </w:rPr>
        <w:t>%或人民币金额为：</w:t>
      </w:r>
      <w:r>
        <w:rPr>
          <w:rFonts w:ascii="宋体" w:hAnsi="宋体"/>
          <w:sz w:val="30"/>
          <w:szCs w:val="30"/>
        </w:rPr>
        <w:t xml:space="preserve">              </w:t>
      </w:r>
      <w:r>
        <w:rPr>
          <w:rFonts w:hint="eastAsia" w:ascii="宋体" w:hAnsi="宋体"/>
          <w:sz w:val="30"/>
          <w:szCs w:val="30"/>
        </w:rPr>
        <w:t>。</w:t>
      </w:r>
    </w:p>
    <w:p w14:paraId="3B8ED330">
      <w:pPr>
        <w:rPr>
          <w:rFonts w:ascii="宋体" w:hAnsi="宋体"/>
          <w:sz w:val="30"/>
          <w:szCs w:val="30"/>
        </w:rPr>
      </w:pPr>
      <w:r>
        <w:rPr>
          <w:rFonts w:ascii="宋体" w:hAnsi="宋体"/>
          <w:sz w:val="30"/>
          <w:szCs w:val="30"/>
        </w:rPr>
        <w:t xml:space="preserve">8.7.3 </w:t>
      </w:r>
      <w:r>
        <w:rPr>
          <w:rFonts w:hint="eastAsia" w:ascii="宋体" w:hAnsi="宋体"/>
          <w:sz w:val="30"/>
          <w:szCs w:val="30"/>
        </w:rPr>
        <w:t>行政审批迟延</w:t>
      </w:r>
    </w:p>
    <w:p w14:paraId="4781A145">
      <w:pPr>
        <w:rPr>
          <w:rFonts w:ascii="宋体" w:hAnsi="宋体"/>
          <w:sz w:val="30"/>
          <w:szCs w:val="30"/>
        </w:rPr>
      </w:pPr>
      <w:r>
        <w:rPr>
          <w:rFonts w:hint="eastAsia" w:ascii="宋体" w:hAnsi="宋体"/>
          <w:sz w:val="30"/>
          <w:szCs w:val="30"/>
        </w:rPr>
        <w:t>行政审批报送的职责分工：</w:t>
      </w:r>
      <w:r>
        <w:rPr>
          <w:rFonts w:ascii="宋体" w:hAnsi="宋体"/>
          <w:sz w:val="30"/>
          <w:szCs w:val="30"/>
        </w:rPr>
        <w:t xml:space="preserve">                          </w:t>
      </w:r>
      <w:r>
        <w:rPr>
          <w:rFonts w:hint="eastAsia" w:ascii="宋体" w:hAnsi="宋体"/>
          <w:sz w:val="30"/>
          <w:szCs w:val="30"/>
        </w:rPr>
        <w:t>。</w:t>
      </w:r>
    </w:p>
    <w:p w14:paraId="5640B771">
      <w:pPr>
        <w:rPr>
          <w:rFonts w:ascii="宋体" w:hAnsi="宋体"/>
          <w:sz w:val="30"/>
          <w:szCs w:val="30"/>
        </w:rPr>
      </w:pPr>
      <w:r>
        <w:rPr>
          <w:rFonts w:ascii="宋体" w:hAnsi="宋体"/>
          <w:sz w:val="30"/>
          <w:szCs w:val="30"/>
        </w:rPr>
        <w:t xml:space="preserve">8.7.4 </w:t>
      </w:r>
      <w:r>
        <w:rPr>
          <w:rFonts w:hint="eastAsia" w:ascii="宋体" w:hAnsi="宋体"/>
          <w:sz w:val="30"/>
          <w:szCs w:val="30"/>
        </w:rPr>
        <w:t>异常恶劣的气候条件</w:t>
      </w:r>
    </w:p>
    <w:p w14:paraId="34B60D94">
      <w:pPr>
        <w:rPr>
          <w:rFonts w:ascii="宋体" w:hAnsi="宋体"/>
          <w:sz w:val="30"/>
          <w:szCs w:val="30"/>
        </w:rPr>
      </w:pPr>
      <w:r>
        <w:rPr>
          <w:rFonts w:hint="eastAsia" w:ascii="宋体" w:hAnsi="宋体"/>
          <w:sz w:val="30"/>
          <w:szCs w:val="30"/>
        </w:rPr>
        <w:t>双方约定视为异常恶劣的气候条件的情形：</w:t>
      </w:r>
      <w:r>
        <w:rPr>
          <w:rFonts w:ascii="宋体" w:hAnsi="宋体"/>
          <w:sz w:val="30"/>
          <w:szCs w:val="30"/>
        </w:rPr>
        <w:t xml:space="preserve">            </w:t>
      </w:r>
      <w:r>
        <w:rPr>
          <w:rFonts w:hint="eastAsia" w:ascii="宋体" w:hAnsi="宋体"/>
          <w:sz w:val="30"/>
          <w:szCs w:val="30"/>
        </w:rPr>
        <w:t>。</w:t>
      </w:r>
    </w:p>
    <w:p w14:paraId="4AE45D2A">
      <w:pPr>
        <w:rPr>
          <w:rFonts w:ascii="宋体" w:hAnsi="宋体"/>
          <w:sz w:val="30"/>
          <w:szCs w:val="30"/>
        </w:rPr>
      </w:pPr>
      <w:r>
        <w:rPr>
          <w:rFonts w:ascii="宋体" w:hAnsi="宋体"/>
          <w:sz w:val="30"/>
          <w:szCs w:val="30"/>
        </w:rPr>
        <w:t xml:space="preserve">8.8 </w:t>
      </w:r>
      <w:r>
        <w:rPr>
          <w:rFonts w:hint="eastAsia" w:ascii="宋体" w:hAnsi="宋体"/>
          <w:sz w:val="30"/>
          <w:szCs w:val="30"/>
        </w:rPr>
        <w:t>工期提前</w:t>
      </w:r>
    </w:p>
    <w:p w14:paraId="5AA99E11">
      <w:pPr>
        <w:rPr>
          <w:rFonts w:ascii="宋体" w:hAnsi="宋体"/>
          <w:sz w:val="30"/>
          <w:szCs w:val="30"/>
        </w:rPr>
      </w:pPr>
      <w:r>
        <w:rPr>
          <w:rFonts w:ascii="宋体" w:hAnsi="宋体"/>
          <w:sz w:val="30"/>
          <w:szCs w:val="30"/>
        </w:rPr>
        <w:t xml:space="preserve">8.8.2 </w:t>
      </w:r>
      <w:r>
        <w:rPr>
          <w:rFonts w:hint="eastAsia" w:ascii="宋体" w:hAnsi="宋体"/>
          <w:sz w:val="30"/>
          <w:szCs w:val="30"/>
        </w:rPr>
        <w:t>承包人提前竣工的奖励：</w:t>
      </w:r>
      <w:r>
        <w:rPr>
          <w:rFonts w:ascii="宋体" w:hAnsi="宋体"/>
          <w:sz w:val="30"/>
          <w:szCs w:val="30"/>
        </w:rPr>
        <w:t xml:space="preserve">                       </w:t>
      </w:r>
      <w:r>
        <w:rPr>
          <w:rFonts w:hint="eastAsia" w:ascii="宋体" w:hAnsi="宋体"/>
          <w:sz w:val="30"/>
          <w:szCs w:val="30"/>
        </w:rPr>
        <w:t>。</w:t>
      </w:r>
    </w:p>
    <w:p w14:paraId="061AF86A">
      <w:pPr>
        <w:rPr>
          <w:rFonts w:ascii="宋体" w:hAnsi="宋体"/>
          <w:sz w:val="30"/>
          <w:szCs w:val="30"/>
        </w:rPr>
      </w:pPr>
      <w:bookmarkStart w:id="740" w:name="_Toc54862340"/>
      <w:r>
        <w:rPr>
          <w:rFonts w:hint="eastAsia" w:ascii="宋体" w:hAnsi="宋体"/>
          <w:sz w:val="30"/>
          <w:szCs w:val="30"/>
        </w:rPr>
        <w:t>第</w:t>
      </w:r>
      <w:r>
        <w:rPr>
          <w:rFonts w:ascii="宋体" w:hAnsi="宋体"/>
          <w:sz w:val="30"/>
          <w:szCs w:val="30"/>
        </w:rPr>
        <w:t>9条</w:t>
      </w:r>
      <w:r>
        <w:rPr>
          <w:rFonts w:hint="eastAsia" w:ascii="宋体" w:hAnsi="宋体"/>
          <w:sz w:val="30"/>
          <w:szCs w:val="30"/>
        </w:rPr>
        <w:t xml:space="preserve"> 竣工试验</w:t>
      </w:r>
      <w:bookmarkEnd w:id="740"/>
    </w:p>
    <w:p w14:paraId="4AC56EA1">
      <w:pPr>
        <w:rPr>
          <w:rFonts w:ascii="宋体" w:hAnsi="宋体"/>
          <w:sz w:val="30"/>
          <w:szCs w:val="30"/>
        </w:rPr>
      </w:pPr>
      <w:r>
        <w:rPr>
          <w:rFonts w:ascii="宋体" w:hAnsi="宋体"/>
          <w:sz w:val="30"/>
          <w:szCs w:val="30"/>
        </w:rPr>
        <w:t xml:space="preserve">9.1 </w:t>
      </w:r>
      <w:r>
        <w:rPr>
          <w:rFonts w:hint="eastAsia" w:ascii="宋体" w:hAnsi="宋体"/>
          <w:sz w:val="30"/>
          <w:szCs w:val="30"/>
        </w:rPr>
        <w:t>竣工试验的义务</w:t>
      </w:r>
    </w:p>
    <w:p w14:paraId="5EA44369">
      <w:pPr>
        <w:rPr>
          <w:rFonts w:ascii="宋体" w:hAnsi="宋体"/>
          <w:sz w:val="30"/>
          <w:szCs w:val="30"/>
        </w:rPr>
      </w:pPr>
      <w:r>
        <w:rPr>
          <w:rFonts w:ascii="宋体" w:hAnsi="宋体"/>
          <w:sz w:val="30"/>
          <w:szCs w:val="30"/>
        </w:rPr>
        <w:t xml:space="preserve">9.1.3 </w:t>
      </w:r>
      <w:r>
        <w:rPr>
          <w:rFonts w:hint="eastAsia" w:ascii="宋体" w:hAnsi="宋体"/>
          <w:sz w:val="30"/>
          <w:szCs w:val="30"/>
        </w:rPr>
        <w:t>竣工试验的阶段、内容和顺序：</w:t>
      </w:r>
      <w:r>
        <w:rPr>
          <w:rFonts w:ascii="宋体" w:hAnsi="宋体"/>
          <w:sz w:val="30"/>
          <w:szCs w:val="30"/>
        </w:rPr>
        <w:t xml:space="preserve">                  </w:t>
      </w:r>
      <w:r>
        <w:rPr>
          <w:rFonts w:hint="eastAsia" w:ascii="宋体" w:hAnsi="宋体"/>
          <w:sz w:val="30"/>
          <w:szCs w:val="30"/>
        </w:rPr>
        <w:t>。</w:t>
      </w:r>
    </w:p>
    <w:p w14:paraId="17365A58">
      <w:pPr>
        <w:rPr>
          <w:rFonts w:ascii="宋体" w:hAnsi="宋体"/>
          <w:sz w:val="30"/>
          <w:szCs w:val="30"/>
        </w:rPr>
      </w:pPr>
      <w:r>
        <w:rPr>
          <w:rFonts w:hint="eastAsia" w:ascii="宋体" w:hAnsi="宋体"/>
          <w:sz w:val="30"/>
          <w:szCs w:val="30"/>
        </w:rPr>
        <w:t xml:space="preserve">竣工试验的操作要求： </w:t>
      </w:r>
      <w:r>
        <w:rPr>
          <w:rFonts w:ascii="宋体" w:hAnsi="宋体"/>
          <w:sz w:val="30"/>
          <w:szCs w:val="30"/>
        </w:rPr>
        <w:t xml:space="preserve">                              </w:t>
      </w:r>
      <w:r>
        <w:rPr>
          <w:rFonts w:hint="eastAsia" w:ascii="宋体" w:hAnsi="宋体"/>
          <w:sz w:val="30"/>
          <w:szCs w:val="30"/>
        </w:rPr>
        <w:t>。</w:t>
      </w:r>
    </w:p>
    <w:p w14:paraId="28CC7D0C">
      <w:pPr>
        <w:rPr>
          <w:rFonts w:ascii="宋体" w:hAnsi="宋体"/>
          <w:sz w:val="30"/>
          <w:szCs w:val="30"/>
        </w:rPr>
      </w:pPr>
      <w:bookmarkStart w:id="741" w:name="_Toc4784273"/>
      <w:bookmarkEnd w:id="741"/>
      <w:bookmarkStart w:id="742" w:name="_Toc4784272"/>
      <w:bookmarkEnd w:id="742"/>
      <w:bookmarkStart w:id="743" w:name="_Toc54862341"/>
      <w:r>
        <w:rPr>
          <w:rFonts w:hint="eastAsia" w:ascii="宋体" w:hAnsi="宋体"/>
          <w:sz w:val="30"/>
          <w:szCs w:val="30"/>
        </w:rPr>
        <w:t>第</w:t>
      </w:r>
      <w:r>
        <w:rPr>
          <w:rFonts w:ascii="宋体" w:hAnsi="宋体"/>
          <w:sz w:val="30"/>
          <w:szCs w:val="30"/>
        </w:rPr>
        <w:t>10条</w:t>
      </w:r>
      <w:r>
        <w:rPr>
          <w:rFonts w:hint="eastAsia" w:ascii="宋体" w:hAnsi="宋体"/>
          <w:sz w:val="30"/>
          <w:szCs w:val="30"/>
        </w:rPr>
        <w:t xml:space="preserve"> 验收和工程接收</w:t>
      </w:r>
      <w:bookmarkEnd w:id="743"/>
    </w:p>
    <w:p w14:paraId="1D7D9D38">
      <w:pPr>
        <w:rPr>
          <w:rFonts w:ascii="宋体" w:hAnsi="宋体"/>
          <w:sz w:val="30"/>
          <w:szCs w:val="30"/>
        </w:rPr>
      </w:pPr>
      <w:r>
        <w:rPr>
          <w:rFonts w:ascii="宋体" w:hAnsi="宋体"/>
          <w:sz w:val="30"/>
          <w:szCs w:val="30"/>
        </w:rPr>
        <w:t xml:space="preserve">10.1 </w:t>
      </w:r>
      <w:r>
        <w:rPr>
          <w:rFonts w:hint="eastAsia" w:ascii="宋体" w:hAnsi="宋体"/>
          <w:sz w:val="30"/>
          <w:szCs w:val="30"/>
        </w:rPr>
        <w:t>竣工验收</w:t>
      </w:r>
    </w:p>
    <w:p w14:paraId="5BD3CC4F">
      <w:pPr>
        <w:rPr>
          <w:rFonts w:ascii="宋体" w:hAnsi="宋体"/>
          <w:sz w:val="30"/>
          <w:szCs w:val="30"/>
        </w:rPr>
      </w:pPr>
      <w:r>
        <w:rPr>
          <w:rFonts w:ascii="宋体" w:hAnsi="宋体"/>
          <w:sz w:val="30"/>
          <w:szCs w:val="30"/>
        </w:rPr>
        <w:t xml:space="preserve">10.1.2 </w:t>
      </w:r>
      <w:r>
        <w:rPr>
          <w:rFonts w:hint="eastAsia" w:ascii="宋体" w:hAnsi="宋体"/>
          <w:sz w:val="30"/>
          <w:szCs w:val="30"/>
        </w:rPr>
        <w:t>关于竣工验收程序的约定：</w:t>
      </w:r>
      <w:r>
        <w:rPr>
          <w:rFonts w:ascii="宋体" w:hAnsi="宋体"/>
          <w:sz w:val="30"/>
          <w:szCs w:val="30"/>
        </w:rPr>
        <w:t xml:space="preserve">                   </w:t>
      </w:r>
      <w:r>
        <w:rPr>
          <w:rFonts w:hint="eastAsia" w:ascii="宋体" w:hAnsi="宋体"/>
          <w:sz w:val="30"/>
          <w:szCs w:val="30"/>
        </w:rPr>
        <w:t>。</w:t>
      </w:r>
    </w:p>
    <w:p w14:paraId="122CCD94">
      <w:pPr>
        <w:rPr>
          <w:rFonts w:ascii="宋体" w:hAnsi="宋体"/>
          <w:sz w:val="30"/>
          <w:szCs w:val="30"/>
        </w:rPr>
      </w:pPr>
      <w:bookmarkStart w:id="744" w:name="_Hlk46406260"/>
      <w:r>
        <w:rPr>
          <w:rFonts w:hint="eastAsia" w:ascii="宋体" w:hAnsi="宋体"/>
          <w:sz w:val="30"/>
          <w:szCs w:val="30"/>
        </w:rPr>
        <w:t>发包人不按照合同约定组织竣工验收、颁发工程接受证书的违约金的计算方式：</w:t>
      </w:r>
      <w:r>
        <w:rPr>
          <w:rFonts w:ascii="宋体" w:hAnsi="宋体"/>
          <w:sz w:val="30"/>
          <w:szCs w:val="30"/>
        </w:rPr>
        <w:t xml:space="preserve">                                    </w:t>
      </w:r>
      <w:r>
        <w:rPr>
          <w:rFonts w:hint="eastAsia" w:ascii="宋体" w:hAnsi="宋体"/>
          <w:sz w:val="30"/>
          <w:szCs w:val="30"/>
        </w:rPr>
        <w:t>。</w:t>
      </w:r>
    </w:p>
    <w:bookmarkEnd w:id="744"/>
    <w:p w14:paraId="16509D61">
      <w:pPr>
        <w:rPr>
          <w:rFonts w:ascii="宋体" w:hAnsi="宋体"/>
          <w:sz w:val="30"/>
          <w:szCs w:val="30"/>
        </w:rPr>
      </w:pPr>
      <w:r>
        <w:rPr>
          <w:rFonts w:ascii="宋体" w:hAnsi="宋体"/>
          <w:sz w:val="30"/>
          <w:szCs w:val="30"/>
        </w:rPr>
        <w:t>10.3</w:t>
      </w:r>
      <w:r>
        <w:rPr>
          <w:rFonts w:ascii="宋体" w:hAnsi="宋体"/>
          <w:sz w:val="30"/>
          <w:szCs w:val="30"/>
        </w:rPr>
        <w:tab/>
      </w:r>
      <w:r>
        <w:rPr>
          <w:rFonts w:ascii="宋体" w:hAnsi="宋体"/>
          <w:sz w:val="30"/>
          <w:szCs w:val="30"/>
        </w:rPr>
        <w:t xml:space="preserve"> 工程的接收</w:t>
      </w:r>
    </w:p>
    <w:p w14:paraId="69022178">
      <w:pPr>
        <w:rPr>
          <w:rFonts w:ascii="宋体" w:hAnsi="宋体"/>
          <w:sz w:val="30"/>
          <w:szCs w:val="30"/>
        </w:rPr>
      </w:pPr>
      <w:r>
        <w:rPr>
          <w:rFonts w:ascii="宋体" w:hAnsi="宋体"/>
          <w:sz w:val="30"/>
          <w:szCs w:val="30"/>
        </w:rPr>
        <w:t>10.3.1</w:t>
      </w:r>
      <w:r>
        <w:rPr>
          <w:rFonts w:hint="eastAsia" w:ascii="宋体" w:hAnsi="宋体"/>
          <w:sz w:val="30"/>
          <w:szCs w:val="30"/>
        </w:rPr>
        <w:t>工程接收的先后顺序、时间安排和其他要求：</w:t>
      </w:r>
      <w:r>
        <w:rPr>
          <w:rFonts w:ascii="宋体" w:hAnsi="宋体"/>
          <w:sz w:val="30"/>
          <w:szCs w:val="30"/>
        </w:rPr>
        <w:t xml:space="preserve">                                                  </w:t>
      </w:r>
      <w:r>
        <w:rPr>
          <w:rFonts w:hint="eastAsia" w:ascii="宋体" w:hAnsi="宋体"/>
          <w:sz w:val="30"/>
          <w:szCs w:val="30"/>
        </w:rPr>
        <w:t>。</w:t>
      </w:r>
    </w:p>
    <w:p w14:paraId="50768A75">
      <w:pPr>
        <w:rPr>
          <w:rFonts w:ascii="宋体" w:hAnsi="宋体"/>
          <w:sz w:val="30"/>
          <w:szCs w:val="30"/>
        </w:rPr>
      </w:pPr>
      <w:r>
        <w:rPr>
          <w:rFonts w:ascii="宋体" w:hAnsi="宋体"/>
          <w:sz w:val="30"/>
          <w:szCs w:val="30"/>
        </w:rPr>
        <w:t xml:space="preserve">10.3.2 </w:t>
      </w:r>
      <w:r>
        <w:rPr>
          <w:rFonts w:hint="eastAsia" w:ascii="宋体" w:hAnsi="宋体"/>
          <w:sz w:val="30"/>
          <w:szCs w:val="30"/>
        </w:rPr>
        <w:t>接受工程时承包人需提交竣工验收资料的类别、内容、份数和提交时间：</w:t>
      </w:r>
      <w:r>
        <w:rPr>
          <w:rFonts w:ascii="宋体" w:hAnsi="宋体"/>
          <w:sz w:val="30"/>
          <w:szCs w:val="30"/>
        </w:rPr>
        <w:t xml:space="preserve">                                  </w:t>
      </w:r>
      <w:r>
        <w:rPr>
          <w:rFonts w:hint="eastAsia" w:ascii="宋体" w:hAnsi="宋体"/>
          <w:sz w:val="30"/>
          <w:szCs w:val="30"/>
        </w:rPr>
        <w:t>。</w:t>
      </w:r>
    </w:p>
    <w:p w14:paraId="0029978E">
      <w:pPr>
        <w:rPr>
          <w:rFonts w:ascii="宋体" w:hAnsi="宋体"/>
          <w:sz w:val="30"/>
          <w:szCs w:val="30"/>
        </w:rPr>
      </w:pPr>
      <w:r>
        <w:rPr>
          <w:rFonts w:ascii="宋体" w:hAnsi="宋体"/>
          <w:sz w:val="30"/>
          <w:szCs w:val="30"/>
        </w:rPr>
        <w:t xml:space="preserve">10.3.3 </w:t>
      </w:r>
      <w:r>
        <w:rPr>
          <w:rFonts w:hint="eastAsia" w:ascii="宋体" w:hAnsi="宋体"/>
          <w:sz w:val="30"/>
          <w:szCs w:val="30"/>
        </w:rPr>
        <w:t>发包人逾期接收工程的违约责任：</w:t>
      </w:r>
      <w:r>
        <w:rPr>
          <w:rFonts w:ascii="宋体" w:hAnsi="宋体"/>
          <w:sz w:val="30"/>
          <w:szCs w:val="30"/>
        </w:rPr>
        <w:t xml:space="preserve">                                                   </w:t>
      </w:r>
      <w:r>
        <w:rPr>
          <w:rFonts w:hint="eastAsia" w:ascii="宋体" w:hAnsi="宋体"/>
          <w:sz w:val="30"/>
          <w:szCs w:val="30"/>
        </w:rPr>
        <w:t>。</w:t>
      </w:r>
    </w:p>
    <w:p w14:paraId="593CD0D8">
      <w:pPr>
        <w:rPr>
          <w:rFonts w:ascii="宋体" w:hAnsi="宋体"/>
          <w:sz w:val="30"/>
          <w:szCs w:val="30"/>
        </w:rPr>
      </w:pPr>
      <w:r>
        <w:rPr>
          <w:rFonts w:ascii="宋体" w:hAnsi="宋体"/>
          <w:sz w:val="30"/>
          <w:szCs w:val="30"/>
        </w:rPr>
        <w:t xml:space="preserve">10.3.4 </w:t>
      </w:r>
      <w:r>
        <w:rPr>
          <w:rFonts w:hint="eastAsia" w:ascii="宋体" w:hAnsi="宋体"/>
          <w:sz w:val="30"/>
          <w:szCs w:val="30"/>
        </w:rPr>
        <w:t>承包人无正当理由不移交工程的违约责任：</w:t>
      </w:r>
      <w:r>
        <w:rPr>
          <w:rFonts w:ascii="宋体" w:hAnsi="宋体"/>
          <w:sz w:val="30"/>
          <w:szCs w:val="30"/>
        </w:rPr>
        <w:t xml:space="preserve">                                                  </w:t>
      </w:r>
      <w:r>
        <w:rPr>
          <w:rFonts w:hint="eastAsia" w:ascii="宋体" w:hAnsi="宋体"/>
          <w:sz w:val="30"/>
          <w:szCs w:val="30"/>
        </w:rPr>
        <w:t>。</w:t>
      </w:r>
    </w:p>
    <w:p w14:paraId="02B0BD97">
      <w:pPr>
        <w:rPr>
          <w:rFonts w:ascii="宋体" w:hAnsi="宋体"/>
          <w:sz w:val="30"/>
          <w:szCs w:val="30"/>
        </w:rPr>
      </w:pPr>
      <w:r>
        <w:rPr>
          <w:rFonts w:ascii="宋体" w:hAnsi="宋体"/>
          <w:sz w:val="30"/>
          <w:szCs w:val="30"/>
        </w:rPr>
        <w:t xml:space="preserve">10.4 </w:t>
      </w:r>
      <w:r>
        <w:rPr>
          <w:rFonts w:hint="eastAsia" w:ascii="宋体" w:hAnsi="宋体"/>
          <w:sz w:val="30"/>
          <w:szCs w:val="30"/>
        </w:rPr>
        <w:t>接收证书</w:t>
      </w:r>
    </w:p>
    <w:p w14:paraId="2629A7C1">
      <w:pPr>
        <w:rPr>
          <w:rFonts w:ascii="宋体" w:hAnsi="宋体"/>
          <w:sz w:val="30"/>
          <w:szCs w:val="30"/>
        </w:rPr>
      </w:pPr>
      <w:r>
        <w:rPr>
          <w:rFonts w:ascii="宋体" w:hAnsi="宋体"/>
          <w:sz w:val="30"/>
          <w:szCs w:val="30"/>
        </w:rPr>
        <w:t xml:space="preserve">10.4.1 </w:t>
      </w:r>
      <w:r>
        <w:rPr>
          <w:rFonts w:hint="eastAsia" w:ascii="宋体" w:hAnsi="宋体"/>
          <w:sz w:val="30"/>
          <w:szCs w:val="30"/>
        </w:rPr>
        <w:t>工程接收证书颁发时间：</w:t>
      </w:r>
      <w:r>
        <w:rPr>
          <w:rFonts w:ascii="宋体" w:hAnsi="宋体"/>
          <w:sz w:val="30"/>
          <w:szCs w:val="30"/>
        </w:rPr>
        <w:t xml:space="preserve">                      </w:t>
      </w:r>
      <w:r>
        <w:rPr>
          <w:rFonts w:hint="eastAsia" w:ascii="宋体" w:hAnsi="宋体"/>
          <w:sz w:val="30"/>
          <w:szCs w:val="30"/>
        </w:rPr>
        <w:t>。</w:t>
      </w:r>
    </w:p>
    <w:p w14:paraId="56EAFEFF">
      <w:pPr>
        <w:rPr>
          <w:rFonts w:ascii="宋体" w:hAnsi="宋体"/>
          <w:sz w:val="30"/>
          <w:szCs w:val="30"/>
        </w:rPr>
      </w:pPr>
      <w:r>
        <w:rPr>
          <w:rFonts w:ascii="宋体" w:hAnsi="宋体"/>
          <w:sz w:val="30"/>
          <w:szCs w:val="30"/>
        </w:rPr>
        <w:t xml:space="preserve">10.5 </w:t>
      </w:r>
      <w:r>
        <w:rPr>
          <w:rFonts w:hint="eastAsia" w:ascii="宋体" w:hAnsi="宋体"/>
          <w:sz w:val="30"/>
          <w:szCs w:val="30"/>
        </w:rPr>
        <w:t>竣工退场</w:t>
      </w:r>
    </w:p>
    <w:p w14:paraId="2BEFD3BF">
      <w:pPr>
        <w:rPr>
          <w:rFonts w:ascii="宋体" w:hAnsi="宋体"/>
          <w:sz w:val="30"/>
          <w:szCs w:val="30"/>
        </w:rPr>
      </w:pPr>
      <w:r>
        <w:rPr>
          <w:rFonts w:ascii="宋体" w:hAnsi="宋体"/>
          <w:sz w:val="30"/>
          <w:szCs w:val="30"/>
        </w:rPr>
        <w:t xml:space="preserve">10.5.1 </w:t>
      </w:r>
      <w:r>
        <w:rPr>
          <w:rFonts w:hint="eastAsia" w:ascii="宋体" w:hAnsi="宋体"/>
          <w:sz w:val="30"/>
          <w:szCs w:val="30"/>
        </w:rPr>
        <w:t>竣工退场的相关约定：</w:t>
      </w:r>
      <w:r>
        <w:rPr>
          <w:rFonts w:ascii="宋体" w:hAnsi="宋体"/>
          <w:sz w:val="30"/>
          <w:szCs w:val="30"/>
        </w:rPr>
        <w:t xml:space="preserve">                        </w:t>
      </w:r>
      <w:r>
        <w:rPr>
          <w:rFonts w:hint="eastAsia" w:ascii="宋体" w:hAnsi="宋体"/>
          <w:sz w:val="30"/>
          <w:szCs w:val="30"/>
        </w:rPr>
        <w:t>。</w:t>
      </w:r>
    </w:p>
    <w:p w14:paraId="0B49C4CE">
      <w:pPr>
        <w:rPr>
          <w:rFonts w:ascii="宋体" w:hAnsi="宋体"/>
          <w:sz w:val="30"/>
          <w:szCs w:val="30"/>
        </w:rPr>
      </w:pPr>
      <w:r>
        <w:rPr>
          <w:rFonts w:ascii="宋体" w:hAnsi="宋体"/>
          <w:sz w:val="30"/>
          <w:szCs w:val="30"/>
        </w:rPr>
        <w:t>10.5.3</w:t>
      </w:r>
      <w:r>
        <w:rPr>
          <w:rFonts w:hint="eastAsia" w:ascii="宋体" w:hAnsi="宋体"/>
          <w:sz w:val="30"/>
          <w:szCs w:val="30"/>
        </w:rPr>
        <w:t>人员撤离</w:t>
      </w:r>
    </w:p>
    <w:p w14:paraId="788D7748">
      <w:pPr>
        <w:rPr>
          <w:rFonts w:ascii="宋体" w:hAnsi="宋体"/>
          <w:sz w:val="30"/>
          <w:szCs w:val="30"/>
        </w:rPr>
      </w:pPr>
      <w:r>
        <w:rPr>
          <w:rFonts w:hint="eastAsia" w:ascii="宋体" w:hAnsi="宋体"/>
          <w:sz w:val="30"/>
          <w:szCs w:val="30"/>
        </w:rPr>
        <w:t>工程师同意需在缺陷责任期内继续工作和使用的人员、施工设备和临时工程的内容：</w:t>
      </w:r>
      <w:r>
        <w:rPr>
          <w:rFonts w:ascii="宋体" w:hAnsi="宋体"/>
          <w:sz w:val="30"/>
          <w:szCs w:val="30"/>
        </w:rPr>
        <w:t xml:space="preserve">                        </w:t>
      </w:r>
      <w:r>
        <w:rPr>
          <w:rFonts w:hint="eastAsia" w:ascii="宋体" w:hAnsi="宋体"/>
          <w:sz w:val="30"/>
          <w:szCs w:val="30"/>
        </w:rPr>
        <w:t>。</w:t>
      </w:r>
    </w:p>
    <w:p w14:paraId="1A5C994B">
      <w:pPr>
        <w:rPr>
          <w:rFonts w:ascii="宋体" w:hAnsi="宋体"/>
          <w:sz w:val="30"/>
          <w:szCs w:val="30"/>
        </w:rPr>
      </w:pPr>
      <w:bookmarkStart w:id="745" w:name="_Toc54862342"/>
      <w:r>
        <w:rPr>
          <w:rFonts w:hint="eastAsia" w:ascii="宋体" w:hAnsi="宋体"/>
          <w:sz w:val="30"/>
          <w:szCs w:val="30"/>
        </w:rPr>
        <w:t>第</w:t>
      </w:r>
      <w:r>
        <w:rPr>
          <w:rFonts w:ascii="宋体" w:hAnsi="宋体"/>
          <w:sz w:val="30"/>
          <w:szCs w:val="30"/>
        </w:rPr>
        <w:t>11条</w:t>
      </w:r>
      <w:r>
        <w:rPr>
          <w:rFonts w:hint="eastAsia" w:ascii="宋体" w:hAnsi="宋体"/>
          <w:sz w:val="30"/>
          <w:szCs w:val="30"/>
        </w:rPr>
        <w:t xml:space="preserve"> 缺陷责任与保修</w:t>
      </w:r>
      <w:bookmarkEnd w:id="745"/>
    </w:p>
    <w:p w14:paraId="34705A85">
      <w:pPr>
        <w:rPr>
          <w:rFonts w:ascii="宋体" w:hAnsi="宋体"/>
          <w:sz w:val="30"/>
          <w:szCs w:val="30"/>
        </w:rPr>
      </w:pPr>
      <w:r>
        <w:rPr>
          <w:rFonts w:ascii="宋体" w:hAnsi="宋体"/>
          <w:sz w:val="30"/>
          <w:szCs w:val="30"/>
        </w:rPr>
        <w:t xml:space="preserve">11.2 </w:t>
      </w:r>
      <w:r>
        <w:rPr>
          <w:rFonts w:hint="eastAsia" w:ascii="宋体" w:hAnsi="宋体"/>
          <w:sz w:val="30"/>
          <w:szCs w:val="30"/>
        </w:rPr>
        <w:t>缺陷责任期</w:t>
      </w:r>
    </w:p>
    <w:p w14:paraId="7F8C2689">
      <w:pPr>
        <w:rPr>
          <w:rFonts w:ascii="宋体" w:hAnsi="宋体"/>
          <w:sz w:val="30"/>
          <w:szCs w:val="30"/>
        </w:rPr>
      </w:pPr>
      <w:r>
        <w:rPr>
          <w:rFonts w:ascii="宋体" w:hAnsi="宋体"/>
          <w:sz w:val="30"/>
          <w:szCs w:val="30"/>
        </w:rPr>
        <w:t>缺陷责任期的</w:t>
      </w:r>
      <w:r>
        <w:rPr>
          <w:rFonts w:hint="eastAsia" w:ascii="宋体" w:hAnsi="宋体"/>
          <w:sz w:val="30"/>
          <w:szCs w:val="30"/>
        </w:rPr>
        <w:t>期限：</w:t>
      </w:r>
      <w:r>
        <w:rPr>
          <w:rFonts w:ascii="宋体" w:hAnsi="宋体"/>
          <w:sz w:val="30"/>
          <w:szCs w:val="30"/>
        </w:rPr>
        <w:t xml:space="preserve">                                 </w:t>
      </w:r>
      <w:r>
        <w:rPr>
          <w:rFonts w:hint="eastAsia" w:ascii="宋体" w:hAnsi="宋体"/>
          <w:sz w:val="30"/>
          <w:szCs w:val="30"/>
        </w:rPr>
        <w:t>。</w:t>
      </w:r>
    </w:p>
    <w:p w14:paraId="124B6FA1">
      <w:pPr>
        <w:rPr>
          <w:rFonts w:ascii="宋体" w:hAnsi="宋体"/>
          <w:sz w:val="30"/>
          <w:szCs w:val="30"/>
        </w:rPr>
      </w:pPr>
      <w:r>
        <w:rPr>
          <w:rFonts w:ascii="宋体" w:hAnsi="宋体"/>
          <w:sz w:val="30"/>
          <w:szCs w:val="30"/>
        </w:rPr>
        <w:t xml:space="preserve">11.3 </w:t>
      </w:r>
      <w:r>
        <w:rPr>
          <w:rFonts w:hint="eastAsia" w:ascii="宋体" w:hAnsi="宋体"/>
          <w:sz w:val="30"/>
          <w:szCs w:val="30"/>
        </w:rPr>
        <w:t>缺陷调查</w:t>
      </w:r>
    </w:p>
    <w:p w14:paraId="0397408A">
      <w:pPr>
        <w:rPr>
          <w:rFonts w:ascii="宋体" w:hAnsi="宋体"/>
          <w:sz w:val="30"/>
          <w:szCs w:val="30"/>
        </w:rPr>
      </w:pPr>
      <w:r>
        <w:rPr>
          <w:rFonts w:ascii="宋体" w:hAnsi="宋体"/>
          <w:sz w:val="30"/>
          <w:szCs w:val="30"/>
        </w:rPr>
        <w:t xml:space="preserve">11.3.4 </w:t>
      </w:r>
      <w:r>
        <w:rPr>
          <w:rFonts w:hint="eastAsia" w:ascii="宋体" w:hAnsi="宋体"/>
          <w:sz w:val="30"/>
          <w:szCs w:val="30"/>
        </w:rPr>
        <w:t>修复通知</w:t>
      </w:r>
    </w:p>
    <w:p w14:paraId="51BD142C">
      <w:pPr>
        <w:rPr>
          <w:rFonts w:ascii="宋体" w:hAnsi="宋体"/>
          <w:sz w:val="30"/>
          <w:szCs w:val="30"/>
        </w:rPr>
      </w:pPr>
      <w:r>
        <w:rPr>
          <w:rFonts w:ascii="宋体" w:hAnsi="宋体"/>
          <w:sz w:val="30"/>
          <w:szCs w:val="30"/>
        </w:rPr>
        <w:t xml:space="preserve">承包人收到保修通知并到达工程现场的合理时间：       </w:t>
      </w:r>
      <w:r>
        <w:rPr>
          <w:rFonts w:hint="eastAsia" w:ascii="宋体" w:hAnsi="宋体"/>
          <w:sz w:val="30"/>
          <w:szCs w:val="30"/>
        </w:rPr>
        <w:t>。</w:t>
      </w:r>
    </w:p>
    <w:p w14:paraId="22D5E5A5">
      <w:pPr>
        <w:rPr>
          <w:rFonts w:ascii="宋体" w:hAnsi="宋体"/>
          <w:sz w:val="30"/>
          <w:szCs w:val="30"/>
        </w:rPr>
      </w:pPr>
      <w:r>
        <w:rPr>
          <w:rFonts w:ascii="宋体" w:hAnsi="宋体"/>
          <w:sz w:val="30"/>
          <w:szCs w:val="30"/>
        </w:rPr>
        <w:t xml:space="preserve">11.6 </w:t>
      </w:r>
      <w:r>
        <w:rPr>
          <w:rFonts w:hint="eastAsia" w:ascii="宋体" w:hAnsi="宋体"/>
          <w:sz w:val="30"/>
          <w:szCs w:val="30"/>
        </w:rPr>
        <w:t>缺陷责任期终止证书</w:t>
      </w:r>
    </w:p>
    <w:p w14:paraId="1BD9EC36">
      <w:pPr>
        <w:rPr>
          <w:rFonts w:ascii="宋体" w:hAnsi="宋体"/>
          <w:sz w:val="30"/>
          <w:szCs w:val="30"/>
        </w:rPr>
      </w:pPr>
      <w:r>
        <w:rPr>
          <w:rFonts w:hint="eastAsia" w:ascii="宋体" w:hAnsi="宋体"/>
          <w:sz w:val="30"/>
          <w:szCs w:val="30"/>
        </w:rPr>
        <w:t>承包人应于缺陷责任期届满后</w:t>
      </w:r>
      <w:r>
        <w:rPr>
          <w:rFonts w:ascii="宋体" w:hAnsi="宋体"/>
          <w:sz w:val="30"/>
          <w:szCs w:val="30"/>
        </w:rPr>
        <w:t xml:space="preserve">    </w:t>
      </w:r>
      <w:r>
        <w:rPr>
          <w:rFonts w:hint="eastAsia" w:ascii="宋体" w:hAnsi="宋体"/>
          <w:sz w:val="30"/>
          <w:szCs w:val="30"/>
        </w:rPr>
        <w:t>天内向发包人发出缺陷责任期届满通知，发包人应在收到缺陷责任期满通知后</w:t>
      </w:r>
      <w:r>
        <w:rPr>
          <w:rFonts w:ascii="宋体" w:hAnsi="宋体"/>
          <w:sz w:val="30"/>
          <w:szCs w:val="30"/>
        </w:rPr>
        <w:t xml:space="preserve">    </w:t>
      </w:r>
      <w:r>
        <w:rPr>
          <w:rFonts w:hint="eastAsia" w:ascii="宋体" w:hAnsi="宋体"/>
          <w:sz w:val="30"/>
          <w:szCs w:val="30"/>
        </w:rPr>
        <w:t>天内核实承包人是否履行缺陷修复义务，承包人未能履行缺陷修复义务的，发包人有权扣除相应金额的维修费用。发包人应在收到缺陷责任期届满通知后</w:t>
      </w:r>
      <w:r>
        <w:rPr>
          <w:rFonts w:ascii="宋体" w:hAnsi="宋体"/>
          <w:sz w:val="30"/>
          <w:szCs w:val="30"/>
        </w:rPr>
        <w:t xml:space="preserve">    </w:t>
      </w:r>
      <w:r>
        <w:rPr>
          <w:rFonts w:hint="eastAsia" w:ascii="宋体" w:hAnsi="宋体"/>
          <w:sz w:val="30"/>
          <w:szCs w:val="30"/>
        </w:rPr>
        <w:t>天内，向承包人颁发缺陷责任期终止证书。</w:t>
      </w:r>
    </w:p>
    <w:p w14:paraId="19DAB971">
      <w:pPr>
        <w:rPr>
          <w:rFonts w:ascii="宋体" w:hAnsi="宋体"/>
          <w:sz w:val="30"/>
          <w:szCs w:val="30"/>
        </w:rPr>
      </w:pPr>
      <w:r>
        <w:rPr>
          <w:rFonts w:ascii="宋体" w:hAnsi="宋体"/>
          <w:sz w:val="30"/>
          <w:szCs w:val="30"/>
        </w:rPr>
        <w:t xml:space="preserve">11.7 </w:t>
      </w:r>
      <w:r>
        <w:rPr>
          <w:rFonts w:hint="eastAsia" w:ascii="宋体" w:hAnsi="宋体"/>
          <w:sz w:val="30"/>
          <w:szCs w:val="30"/>
        </w:rPr>
        <w:t>保修责任</w:t>
      </w:r>
    </w:p>
    <w:p w14:paraId="44C3B43B">
      <w:pPr>
        <w:rPr>
          <w:rFonts w:ascii="宋体" w:hAnsi="宋体"/>
          <w:sz w:val="30"/>
          <w:szCs w:val="30"/>
        </w:rPr>
      </w:pPr>
      <w:r>
        <w:rPr>
          <w:rFonts w:hint="eastAsia" w:ascii="宋体" w:hAnsi="宋体"/>
          <w:sz w:val="30"/>
          <w:szCs w:val="30"/>
        </w:rPr>
        <w:t>工程质量保修范围、期限和责任</w:t>
      </w:r>
      <w:r>
        <w:rPr>
          <w:rFonts w:ascii="宋体" w:hAnsi="宋体"/>
          <w:sz w:val="30"/>
          <w:szCs w:val="30"/>
        </w:rPr>
        <w:t xml:space="preserve">为：                  </w:t>
      </w:r>
      <w:r>
        <w:rPr>
          <w:rFonts w:hint="eastAsia" w:ascii="宋体" w:hAnsi="宋体"/>
          <w:sz w:val="30"/>
          <w:szCs w:val="30"/>
        </w:rPr>
        <w:t>。</w:t>
      </w:r>
    </w:p>
    <w:p w14:paraId="2D53792F">
      <w:pPr>
        <w:rPr>
          <w:rFonts w:ascii="宋体" w:hAnsi="宋体"/>
          <w:sz w:val="30"/>
          <w:szCs w:val="30"/>
        </w:rPr>
      </w:pPr>
      <w:bookmarkStart w:id="746" w:name="_Toc54862343"/>
      <w:r>
        <w:rPr>
          <w:rFonts w:hint="eastAsia" w:ascii="宋体" w:hAnsi="宋体"/>
          <w:sz w:val="30"/>
          <w:szCs w:val="30"/>
        </w:rPr>
        <w:t>第</w:t>
      </w:r>
      <w:r>
        <w:rPr>
          <w:rFonts w:ascii="宋体" w:hAnsi="宋体"/>
          <w:sz w:val="30"/>
          <w:szCs w:val="30"/>
        </w:rPr>
        <w:t>12条</w:t>
      </w:r>
      <w:r>
        <w:rPr>
          <w:rFonts w:hint="eastAsia" w:ascii="宋体" w:hAnsi="宋体"/>
          <w:sz w:val="30"/>
          <w:szCs w:val="30"/>
        </w:rPr>
        <w:t xml:space="preserve"> 竣工后试验</w:t>
      </w:r>
      <w:bookmarkEnd w:id="746"/>
    </w:p>
    <w:p w14:paraId="74FF4A3F">
      <w:pPr>
        <w:rPr>
          <w:rFonts w:ascii="宋体" w:hAnsi="宋体"/>
          <w:sz w:val="30"/>
          <w:szCs w:val="30"/>
        </w:rPr>
      </w:pPr>
      <w:r>
        <w:rPr>
          <w:rFonts w:hint="eastAsia" w:ascii="宋体" w:hAnsi="宋体"/>
          <w:sz w:val="30"/>
          <w:szCs w:val="30"/>
        </w:rPr>
        <w:t>本合同工程是否包含竣工后试验：</w:t>
      </w:r>
      <w:r>
        <w:rPr>
          <w:rFonts w:ascii="宋体" w:hAnsi="宋体"/>
          <w:sz w:val="30"/>
          <w:szCs w:val="30"/>
        </w:rPr>
        <w:t xml:space="preserve">                     </w:t>
      </w:r>
      <w:r>
        <w:rPr>
          <w:rFonts w:hint="eastAsia" w:ascii="宋体" w:hAnsi="宋体"/>
          <w:sz w:val="30"/>
          <w:szCs w:val="30"/>
        </w:rPr>
        <w:t>。</w:t>
      </w:r>
    </w:p>
    <w:p w14:paraId="7A259DF5">
      <w:pPr>
        <w:rPr>
          <w:rFonts w:ascii="宋体" w:hAnsi="宋体"/>
          <w:sz w:val="30"/>
          <w:szCs w:val="30"/>
        </w:rPr>
      </w:pPr>
      <w:r>
        <w:rPr>
          <w:rFonts w:ascii="宋体" w:hAnsi="宋体"/>
          <w:sz w:val="30"/>
          <w:szCs w:val="30"/>
        </w:rPr>
        <w:t xml:space="preserve">12.1 </w:t>
      </w:r>
      <w:r>
        <w:rPr>
          <w:rFonts w:hint="eastAsia" w:ascii="宋体" w:hAnsi="宋体"/>
          <w:sz w:val="30"/>
          <w:szCs w:val="30"/>
        </w:rPr>
        <w:t>竣工后试验的程序</w:t>
      </w:r>
    </w:p>
    <w:p w14:paraId="1FF333E4">
      <w:pPr>
        <w:rPr>
          <w:rFonts w:ascii="宋体" w:hAnsi="宋体"/>
          <w:sz w:val="30"/>
          <w:szCs w:val="30"/>
        </w:rPr>
      </w:pPr>
      <w:r>
        <w:rPr>
          <w:rFonts w:ascii="宋体" w:hAnsi="宋体"/>
          <w:sz w:val="30"/>
          <w:szCs w:val="30"/>
        </w:rPr>
        <w:t xml:space="preserve">12.1.2 </w:t>
      </w:r>
      <w:r>
        <w:rPr>
          <w:rFonts w:hint="eastAsia" w:ascii="宋体" w:hAnsi="宋体"/>
          <w:sz w:val="30"/>
          <w:szCs w:val="30"/>
        </w:rPr>
        <w:t>竣工后试验全部电力、水、污水处理、燃料、消耗品和材料，以及全部其他仪器、协助、文件或其他信息、设备、工具、劳力，启动工程设备，并组织安排有适当资质、经验和能力的工作人员等必要条件的提供方：</w:t>
      </w:r>
      <w:r>
        <w:rPr>
          <w:rFonts w:ascii="宋体" w:hAnsi="宋体"/>
          <w:sz w:val="30"/>
          <w:szCs w:val="30"/>
        </w:rPr>
        <w:t xml:space="preserve">                      </w:t>
      </w:r>
      <w:r>
        <w:rPr>
          <w:rFonts w:hint="eastAsia" w:ascii="宋体" w:hAnsi="宋体"/>
          <w:sz w:val="30"/>
          <w:szCs w:val="30"/>
        </w:rPr>
        <w:t>。</w:t>
      </w:r>
    </w:p>
    <w:p w14:paraId="2DDE9ACA">
      <w:pPr>
        <w:rPr>
          <w:rFonts w:ascii="宋体" w:hAnsi="宋体"/>
          <w:sz w:val="30"/>
          <w:szCs w:val="30"/>
        </w:rPr>
      </w:pPr>
      <w:bookmarkStart w:id="747" w:name="_Toc54862344"/>
      <w:r>
        <w:rPr>
          <w:rFonts w:hint="eastAsia" w:ascii="宋体" w:hAnsi="宋体"/>
          <w:sz w:val="30"/>
          <w:szCs w:val="30"/>
        </w:rPr>
        <w:t>第</w:t>
      </w:r>
      <w:r>
        <w:rPr>
          <w:rFonts w:ascii="宋体" w:hAnsi="宋体"/>
          <w:sz w:val="30"/>
          <w:szCs w:val="30"/>
        </w:rPr>
        <w:t>13条</w:t>
      </w:r>
      <w:r>
        <w:rPr>
          <w:rFonts w:hint="eastAsia" w:ascii="宋体" w:hAnsi="宋体"/>
          <w:sz w:val="30"/>
          <w:szCs w:val="30"/>
        </w:rPr>
        <w:t xml:space="preserve"> 变更与调整</w:t>
      </w:r>
      <w:bookmarkEnd w:id="747"/>
    </w:p>
    <w:p w14:paraId="459BBA5F">
      <w:pPr>
        <w:rPr>
          <w:rFonts w:ascii="宋体" w:hAnsi="宋体"/>
          <w:sz w:val="30"/>
          <w:szCs w:val="30"/>
        </w:rPr>
      </w:pPr>
      <w:r>
        <w:rPr>
          <w:rFonts w:ascii="宋体" w:hAnsi="宋体"/>
          <w:sz w:val="30"/>
          <w:szCs w:val="30"/>
        </w:rPr>
        <w:t xml:space="preserve">13.2 </w:t>
      </w:r>
      <w:r>
        <w:rPr>
          <w:rFonts w:hint="eastAsia" w:ascii="宋体" w:hAnsi="宋体"/>
          <w:sz w:val="30"/>
          <w:szCs w:val="30"/>
        </w:rPr>
        <w:t>承包人的合理化建议</w:t>
      </w:r>
    </w:p>
    <w:p w14:paraId="40988492">
      <w:pPr>
        <w:rPr>
          <w:rFonts w:ascii="宋体" w:hAnsi="宋体"/>
          <w:sz w:val="30"/>
          <w:szCs w:val="30"/>
        </w:rPr>
      </w:pPr>
      <w:r>
        <w:rPr>
          <w:rFonts w:ascii="宋体" w:hAnsi="宋体"/>
          <w:sz w:val="30"/>
          <w:szCs w:val="30"/>
        </w:rPr>
        <w:t xml:space="preserve">13.2.2 </w:t>
      </w:r>
      <w:r>
        <w:rPr>
          <w:rFonts w:hint="eastAsia" w:ascii="宋体" w:hAnsi="宋体"/>
          <w:sz w:val="30"/>
          <w:szCs w:val="30"/>
        </w:rPr>
        <w:t>工程师应在收到承包人提交的合理化建议后    日内审查完毕并报送发包人，发现其中存在技术上的缺陷，应通知承包人修改。发包人应在收到工程师报送的合理化建议后</w:t>
      </w:r>
      <w:r>
        <w:rPr>
          <w:rFonts w:ascii="宋体" w:hAnsi="宋体"/>
          <w:sz w:val="30"/>
          <w:szCs w:val="30"/>
        </w:rPr>
        <w:t xml:space="preserve">    </w:t>
      </w:r>
      <w:r>
        <w:rPr>
          <w:rFonts w:hint="eastAsia" w:ascii="宋体" w:hAnsi="宋体"/>
          <w:sz w:val="30"/>
          <w:szCs w:val="30"/>
        </w:rPr>
        <w:t>日内审批完毕。合理化建议经发包人批准的，工程师应及时发出变更指示，由此引起的合同价格调整按照              执行。发包人不同意变更的，工程师应书面通知承包人</w:t>
      </w:r>
    </w:p>
    <w:p w14:paraId="45672052">
      <w:pPr>
        <w:rPr>
          <w:rFonts w:ascii="宋体" w:hAnsi="宋体"/>
          <w:sz w:val="30"/>
          <w:szCs w:val="30"/>
        </w:rPr>
      </w:pPr>
      <w:r>
        <w:rPr>
          <w:rFonts w:ascii="宋体" w:hAnsi="宋体"/>
          <w:sz w:val="30"/>
          <w:szCs w:val="30"/>
        </w:rPr>
        <w:t>13.2.3 承包人提出的</w:t>
      </w:r>
      <w:r>
        <w:rPr>
          <w:rFonts w:hint="eastAsia" w:ascii="宋体" w:hAnsi="宋体"/>
          <w:sz w:val="30"/>
          <w:szCs w:val="30"/>
        </w:rPr>
        <w:t>合理化变更</w:t>
      </w:r>
      <w:r>
        <w:rPr>
          <w:rFonts w:ascii="宋体" w:hAnsi="宋体"/>
          <w:sz w:val="30"/>
          <w:szCs w:val="30"/>
        </w:rPr>
        <w:t>建议的</w:t>
      </w:r>
      <w:r>
        <w:rPr>
          <w:rFonts w:hint="eastAsia" w:ascii="宋体" w:hAnsi="宋体"/>
          <w:sz w:val="30"/>
          <w:szCs w:val="30"/>
        </w:rPr>
        <w:t>利益分享约定</w:t>
      </w:r>
      <w:r>
        <w:rPr>
          <w:rFonts w:ascii="宋体" w:hAnsi="宋体"/>
          <w:sz w:val="30"/>
          <w:szCs w:val="30"/>
        </w:rPr>
        <w:t xml:space="preserve">：                                                  </w:t>
      </w:r>
      <w:r>
        <w:rPr>
          <w:rFonts w:hint="eastAsia" w:ascii="宋体" w:hAnsi="宋体"/>
          <w:sz w:val="30"/>
          <w:szCs w:val="30"/>
        </w:rPr>
        <w:t>。</w:t>
      </w:r>
    </w:p>
    <w:p w14:paraId="053D652A">
      <w:pPr>
        <w:rPr>
          <w:rFonts w:ascii="宋体" w:hAnsi="宋体"/>
          <w:sz w:val="30"/>
          <w:szCs w:val="30"/>
        </w:rPr>
      </w:pPr>
      <w:r>
        <w:rPr>
          <w:rFonts w:ascii="宋体" w:hAnsi="宋体"/>
          <w:sz w:val="30"/>
          <w:szCs w:val="30"/>
        </w:rPr>
        <w:t xml:space="preserve">13.3 </w:t>
      </w:r>
      <w:r>
        <w:rPr>
          <w:rFonts w:hint="eastAsia" w:ascii="宋体" w:hAnsi="宋体"/>
          <w:sz w:val="30"/>
          <w:szCs w:val="30"/>
        </w:rPr>
        <w:t>变更程序</w:t>
      </w:r>
    </w:p>
    <w:p w14:paraId="404DF1AD">
      <w:pPr>
        <w:rPr>
          <w:rFonts w:ascii="宋体" w:hAnsi="宋体"/>
          <w:sz w:val="30"/>
          <w:szCs w:val="30"/>
        </w:rPr>
      </w:pPr>
      <w:r>
        <w:rPr>
          <w:rFonts w:ascii="宋体" w:hAnsi="宋体"/>
          <w:sz w:val="30"/>
          <w:szCs w:val="30"/>
        </w:rPr>
        <w:t>13.3.3 变更估价</w:t>
      </w:r>
    </w:p>
    <w:p w14:paraId="3FFF73F5">
      <w:pPr>
        <w:rPr>
          <w:rFonts w:ascii="宋体" w:hAnsi="宋体"/>
          <w:sz w:val="30"/>
          <w:szCs w:val="30"/>
        </w:rPr>
      </w:pPr>
      <w:r>
        <w:rPr>
          <w:rFonts w:ascii="宋体" w:hAnsi="宋体"/>
          <w:sz w:val="30"/>
          <w:szCs w:val="30"/>
        </w:rPr>
        <w:t>13.3.3.1 变更估价原则</w:t>
      </w:r>
    </w:p>
    <w:p w14:paraId="175CAB30">
      <w:pPr>
        <w:rPr>
          <w:rFonts w:ascii="宋体" w:hAnsi="宋体"/>
          <w:sz w:val="30"/>
          <w:szCs w:val="30"/>
        </w:rPr>
      </w:pPr>
      <w:r>
        <w:rPr>
          <w:rFonts w:hint="eastAsia" w:ascii="宋体" w:hAnsi="宋体"/>
          <w:sz w:val="30"/>
          <w:szCs w:val="30"/>
        </w:rPr>
        <w:t>关于变更估价原则的约定：</w:t>
      </w:r>
      <w:r>
        <w:rPr>
          <w:rFonts w:ascii="宋体" w:hAnsi="宋体"/>
          <w:sz w:val="30"/>
          <w:szCs w:val="30"/>
        </w:rPr>
        <w:t xml:space="preserve">                          </w:t>
      </w:r>
      <w:r>
        <w:rPr>
          <w:rFonts w:hint="eastAsia" w:ascii="宋体" w:hAnsi="宋体"/>
          <w:sz w:val="30"/>
          <w:szCs w:val="30"/>
        </w:rPr>
        <w:t>。</w:t>
      </w:r>
    </w:p>
    <w:p w14:paraId="631DE374">
      <w:pPr>
        <w:rPr>
          <w:rFonts w:ascii="宋体" w:hAnsi="宋体"/>
          <w:sz w:val="30"/>
          <w:szCs w:val="30"/>
        </w:rPr>
      </w:pPr>
      <w:r>
        <w:rPr>
          <w:rFonts w:ascii="宋体" w:hAnsi="宋体"/>
          <w:sz w:val="30"/>
          <w:szCs w:val="30"/>
        </w:rPr>
        <w:t xml:space="preserve">13.4 </w:t>
      </w:r>
      <w:r>
        <w:rPr>
          <w:rFonts w:hint="eastAsia" w:ascii="宋体" w:hAnsi="宋体"/>
          <w:sz w:val="30"/>
          <w:szCs w:val="30"/>
        </w:rPr>
        <w:t>暂估价</w:t>
      </w:r>
    </w:p>
    <w:p w14:paraId="2EB1F7DC">
      <w:pPr>
        <w:rPr>
          <w:rFonts w:ascii="宋体" w:hAnsi="宋体"/>
          <w:sz w:val="30"/>
          <w:szCs w:val="30"/>
        </w:rPr>
      </w:pPr>
      <w:r>
        <w:rPr>
          <w:rFonts w:ascii="宋体" w:hAnsi="宋体"/>
          <w:sz w:val="30"/>
          <w:szCs w:val="30"/>
        </w:rPr>
        <w:t xml:space="preserve">13.4.1 </w:t>
      </w:r>
      <w:r>
        <w:rPr>
          <w:rFonts w:hint="eastAsia" w:ascii="宋体" w:hAnsi="宋体"/>
          <w:sz w:val="30"/>
          <w:szCs w:val="30"/>
        </w:rPr>
        <w:t>依法必须招标的暂估价项目</w:t>
      </w:r>
    </w:p>
    <w:p w14:paraId="6A319094">
      <w:pPr>
        <w:rPr>
          <w:rFonts w:ascii="宋体" w:hAnsi="宋体"/>
          <w:sz w:val="30"/>
          <w:szCs w:val="30"/>
        </w:rPr>
      </w:pPr>
      <w:r>
        <w:rPr>
          <w:rFonts w:hint="eastAsia" w:ascii="宋体" w:hAnsi="宋体"/>
          <w:sz w:val="30"/>
          <w:szCs w:val="30"/>
        </w:rPr>
        <w:t>承包人可以参与投标的暂估价项目范围：</w:t>
      </w:r>
      <w:r>
        <w:rPr>
          <w:rFonts w:ascii="宋体" w:hAnsi="宋体"/>
          <w:sz w:val="30"/>
          <w:szCs w:val="30"/>
        </w:rPr>
        <w:t xml:space="preserve">              </w:t>
      </w:r>
      <w:r>
        <w:rPr>
          <w:rFonts w:hint="eastAsia" w:ascii="宋体" w:hAnsi="宋体"/>
          <w:sz w:val="30"/>
          <w:szCs w:val="30"/>
        </w:rPr>
        <w:t>。</w:t>
      </w:r>
    </w:p>
    <w:p w14:paraId="6DBCD247">
      <w:pPr>
        <w:rPr>
          <w:rFonts w:ascii="宋体" w:hAnsi="宋体"/>
          <w:sz w:val="30"/>
          <w:szCs w:val="30"/>
        </w:rPr>
      </w:pPr>
      <w:r>
        <w:rPr>
          <w:rFonts w:hint="eastAsia" w:ascii="宋体" w:hAnsi="宋体"/>
          <w:sz w:val="30"/>
          <w:szCs w:val="30"/>
        </w:rPr>
        <w:t>承包人不得参与投标的暂估价项目范围：</w:t>
      </w:r>
      <w:r>
        <w:rPr>
          <w:rFonts w:ascii="宋体" w:hAnsi="宋体"/>
          <w:sz w:val="30"/>
          <w:szCs w:val="30"/>
        </w:rPr>
        <w:t xml:space="preserve">              </w:t>
      </w:r>
      <w:r>
        <w:rPr>
          <w:rFonts w:hint="eastAsia" w:ascii="宋体" w:hAnsi="宋体"/>
          <w:sz w:val="30"/>
          <w:szCs w:val="30"/>
        </w:rPr>
        <w:t>。</w:t>
      </w:r>
    </w:p>
    <w:p w14:paraId="3B0F26B2">
      <w:pPr>
        <w:rPr>
          <w:rFonts w:ascii="宋体" w:hAnsi="宋体"/>
          <w:sz w:val="30"/>
          <w:szCs w:val="30"/>
        </w:rPr>
      </w:pPr>
      <w:r>
        <w:rPr>
          <w:rFonts w:hint="eastAsia" w:ascii="宋体" w:hAnsi="宋体"/>
          <w:sz w:val="30"/>
          <w:szCs w:val="30"/>
        </w:rPr>
        <w:t>招投标程序及其他约定：</w:t>
      </w:r>
      <w:r>
        <w:rPr>
          <w:rFonts w:ascii="宋体" w:hAnsi="宋体"/>
          <w:sz w:val="30"/>
          <w:szCs w:val="30"/>
        </w:rPr>
        <w:t xml:space="preserve">                            </w:t>
      </w:r>
      <w:r>
        <w:rPr>
          <w:rFonts w:hint="eastAsia" w:ascii="宋体" w:hAnsi="宋体"/>
          <w:sz w:val="30"/>
          <w:szCs w:val="30"/>
        </w:rPr>
        <w:t>。</w:t>
      </w:r>
    </w:p>
    <w:p w14:paraId="2EE7CBD8">
      <w:pPr>
        <w:rPr>
          <w:rFonts w:ascii="宋体" w:hAnsi="宋体"/>
          <w:sz w:val="30"/>
          <w:szCs w:val="30"/>
        </w:rPr>
      </w:pPr>
      <w:r>
        <w:rPr>
          <w:rFonts w:ascii="宋体" w:hAnsi="宋体"/>
          <w:sz w:val="30"/>
          <w:szCs w:val="30"/>
        </w:rPr>
        <w:t xml:space="preserve">13.4.2 </w:t>
      </w:r>
      <w:r>
        <w:rPr>
          <w:rFonts w:hint="eastAsia" w:ascii="宋体" w:hAnsi="宋体"/>
          <w:sz w:val="30"/>
          <w:szCs w:val="30"/>
        </w:rPr>
        <w:t>不属于依法必须招标的暂估价项目</w:t>
      </w:r>
    </w:p>
    <w:p w14:paraId="450A28E3">
      <w:pPr>
        <w:rPr>
          <w:rFonts w:ascii="宋体" w:hAnsi="宋体"/>
          <w:sz w:val="30"/>
          <w:szCs w:val="30"/>
        </w:rPr>
      </w:pPr>
      <w:r>
        <w:rPr>
          <w:rFonts w:hint="eastAsia" w:ascii="宋体" w:hAnsi="宋体"/>
          <w:sz w:val="30"/>
          <w:szCs w:val="30"/>
        </w:rPr>
        <w:t>不属于依法必须招标的暂估价项目的协商及估价的约定：</w:t>
      </w:r>
      <w:r>
        <w:rPr>
          <w:rFonts w:ascii="宋体" w:hAnsi="宋体"/>
          <w:sz w:val="30"/>
          <w:szCs w:val="30"/>
        </w:rPr>
        <w:t xml:space="preserve">                                                  </w:t>
      </w:r>
      <w:r>
        <w:rPr>
          <w:rFonts w:hint="eastAsia" w:ascii="宋体" w:hAnsi="宋体"/>
          <w:sz w:val="30"/>
          <w:szCs w:val="30"/>
        </w:rPr>
        <w:t>。</w:t>
      </w:r>
    </w:p>
    <w:p w14:paraId="700F47AB">
      <w:pPr>
        <w:rPr>
          <w:rFonts w:ascii="宋体" w:hAnsi="宋体"/>
          <w:sz w:val="30"/>
          <w:szCs w:val="30"/>
        </w:rPr>
      </w:pPr>
      <w:r>
        <w:rPr>
          <w:rFonts w:ascii="宋体" w:hAnsi="宋体"/>
          <w:sz w:val="30"/>
          <w:szCs w:val="30"/>
        </w:rPr>
        <w:t xml:space="preserve">13.5 </w:t>
      </w:r>
      <w:r>
        <w:rPr>
          <w:rFonts w:hint="eastAsia" w:ascii="宋体" w:hAnsi="宋体"/>
          <w:sz w:val="30"/>
          <w:szCs w:val="30"/>
        </w:rPr>
        <w:t>暂列金额</w:t>
      </w:r>
    </w:p>
    <w:p w14:paraId="135CD7BF">
      <w:pPr>
        <w:rPr>
          <w:rFonts w:ascii="宋体" w:hAnsi="宋体"/>
          <w:sz w:val="30"/>
          <w:szCs w:val="30"/>
        </w:rPr>
      </w:pPr>
      <w:r>
        <w:rPr>
          <w:rFonts w:hint="eastAsia" w:ascii="宋体" w:hAnsi="宋体"/>
          <w:sz w:val="30"/>
          <w:szCs w:val="30"/>
        </w:rPr>
        <w:t>其他关于暂列金额使用的约定：</w:t>
      </w:r>
      <w:r>
        <w:rPr>
          <w:rFonts w:ascii="宋体" w:hAnsi="宋体"/>
          <w:sz w:val="30"/>
          <w:szCs w:val="30"/>
        </w:rPr>
        <w:t xml:space="preserve">                      </w:t>
      </w:r>
      <w:r>
        <w:rPr>
          <w:rFonts w:hint="eastAsia" w:ascii="宋体" w:hAnsi="宋体"/>
          <w:sz w:val="30"/>
          <w:szCs w:val="30"/>
        </w:rPr>
        <w:t>。</w:t>
      </w:r>
    </w:p>
    <w:p w14:paraId="431BFE7E">
      <w:pPr>
        <w:rPr>
          <w:rFonts w:ascii="宋体" w:hAnsi="宋体"/>
          <w:sz w:val="30"/>
          <w:szCs w:val="30"/>
        </w:rPr>
      </w:pPr>
      <w:r>
        <w:rPr>
          <w:rFonts w:ascii="宋体" w:hAnsi="宋体"/>
          <w:sz w:val="30"/>
          <w:szCs w:val="30"/>
        </w:rPr>
        <w:t xml:space="preserve">13.8 </w:t>
      </w:r>
      <w:r>
        <w:rPr>
          <w:rFonts w:hint="eastAsia" w:ascii="宋体" w:hAnsi="宋体"/>
          <w:sz w:val="30"/>
          <w:szCs w:val="30"/>
        </w:rPr>
        <w:t>市场价格波动引起的调整</w:t>
      </w:r>
    </w:p>
    <w:p w14:paraId="017A4F8D">
      <w:pPr>
        <w:rPr>
          <w:rFonts w:ascii="宋体" w:hAnsi="宋体"/>
          <w:sz w:val="30"/>
          <w:szCs w:val="30"/>
        </w:rPr>
      </w:pPr>
      <w:r>
        <w:rPr>
          <w:rFonts w:hint="eastAsia" w:ascii="宋体" w:hAnsi="宋体"/>
          <w:sz w:val="30"/>
          <w:szCs w:val="30"/>
        </w:rPr>
        <w:t>1</w:t>
      </w:r>
      <w:r>
        <w:rPr>
          <w:rFonts w:ascii="宋体" w:hAnsi="宋体"/>
          <w:sz w:val="30"/>
          <w:szCs w:val="30"/>
        </w:rPr>
        <w:t xml:space="preserve">3.8.2 </w:t>
      </w:r>
      <w:r>
        <w:rPr>
          <w:rFonts w:hint="eastAsia" w:ascii="宋体" w:hAnsi="宋体"/>
          <w:sz w:val="30"/>
          <w:szCs w:val="30"/>
        </w:rPr>
        <w:t>关于是否采用《价格指数权重表》的约定：</w:t>
      </w:r>
      <w:r>
        <w:rPr>
          <w:rFonts w:ascii="宋体" w:hAnsi="宋体"/>
          <w:sz w:val="30"/>
          <w:szCs w:val="30"/>
        </w:rPr>
        <w:t xml:space="preserve">                                          </w:t>
      </w:r>
      <w:r>
        <w:rPr>
          <w:rFonts w:hint="eastAsia" w:ascii="宋体" w:hAnsi="宋体"/>
          <w:sz w:val="30"/>
          <w:szCs w:val="30"/>
        </w:rPr>
        <w:t>。</w:t>
      </w:r>
    </w:p>
    <w:p w14:paraId="76B571B9">
      <w:pPr>
        <w:rPr>
          <w:rFonts w:ascii="宋体" w:hAnsi="宋体"/>
          <w:sz w:val="30"/>
          <w:szCs w:val="30"/>
        </w:rPr>
      </w:pPr>
      <w:r>
        <w:rPr>
          <w:rFonts w:hint="eastAsia" w:ascii="宋体" w:hAnsi="宋体"/>
          <w:sz w:val="30"/>
          <w:szCs w:val="30"/>
        </w:rPr>
        <w:t>1</w:t>
      </w:r>
      <w:r>
        <w:rPr>
          <w:rFonts w:ascii="宋体" w:hAnsi="宋体"/>
          <w:sz w:val="30"/>
          <w:szCs w:val="30"/>
        </w:rPr>
        <w:t xml:space="preserve">3.8.3 </w:t>
      </w:r>
      <w:r>
        <w:rPr>
          <w:rFonts w:hint="eastAsia" w:ascii="宋体" w:hAnsi="宋体"/>
          <w:sz w:val="30"/>
          <w:szCs w:val="30"/>
        </w:rPr>
        <w:t>关于采用其他方式调整合同价款的约定：</w:t>
      </w:r>
      <w:r>
        <w:rPr>
          <w:rFonts w:ascii="宋体" w:hAnsi="宋体"/>
          <w:sz w:val="30"/>
          <w:szCs w:val="30"/>
        </w:rPr>
        <w:t xml:space="preserve">                                          </w:t>
      </w:r>
      <w:r>
        <w:rPr>
          <w:rFonts w:hint="eastAsia" w:ascii="宋体" w:hAnsi="宋体"/>
          <w:sz w:val="30"/>
          <w:szCs w:val="30"/>
        </w:rPr>
        <w:t>。</w:t>
      </w:r>
    </w:p>
    <w:p w14:paraId="323AB5CF">
      <w:pPr>
        <w:rPr>
          <w:rFonts w:ascii="宋体" w:hAnsi="宋体"/>
          <w:sz w:val="30"/>
          <w:szCs w:val="30"/>
        </w:rPr>
      </w:pPr>
      <w:bookmarkStart w:id="748" w:name="_Toc54862345"/>
      <w:r>
        <w:rPr>
          <w:rFonts w:hint="eastAsia" w:ascii="宋体" w:hAnsi="宋体"/>
          <w:sz w:val="30"/>
          <w:szCs w:val="30"/>
        </w:rPr>
        <w:t>第</w:t>
      </w:r>
      <w:r>
        <w:rPr>
          <w:rFonts w:ascii="宋体" w:hAnsi="宋体"/>
          <w:sz w:val="30"/>
          <w:szCs w:val="30"/>
        </w:rPr>
        <w:t>14条</w:t>
      </w:r>
      <w:r>
        <w:rPr>
          <w:rFonts w:hint="eastAsia" w:ascii="宋体" w:hAnsi="宋体"/>
          <w:sz w:val="30"/>
          <w:szCs w:val="30"/>
        </w:rPr>
        <w:t xml:space="preserve"> 合同价格与支付</w:t>
      </w:r>
      <w:bookmarkEnd w:id="748"/>
    </w:p>
    <w:p w14:paraId="17EAB708">
      <w:pPr>
        <w:rPr>
          <w:rFonts w:ascii="宋体" w:hAnsi="宋体"/>
          <w:sz w:val="30"/>
          <w:szCs w:val="30"/>
        </w:rPr>
      </w:pPr>
      <w:r>
        <w:rPr>
          <w:rFonts w:ascii="宋体" w:hAnsi="宋体"/>
          <w:sz w:val="30"/>
          <w:szCs w:val="30"/>
        </w:rPr>
        <w:t xml:space="preserve">14.1 </w:t>
      </w:r>
      <w:r>
        <w:rPr>
          <w:rFonts w:hint="eastAsia" w:ascii="宋体" w:hAnsi="宋体"/>
          <w:sz w:val="30"/>
          <w:szCs w:val="30"/>
        </w:rPr>
        <w:t>合同价格形式</w:t>
      </w:r>
    </w:p>
    <w:p w14:paraId="45B7AA55">
      <w:pPr>
        <w:rPr>
          <w:rFonts w:ascii="宋体" w:hAnsi="宋体"/>
          <w:sz w:val="30"/>
          <w:szCs w:val="30"/>
        </w:rPr>
      </w:pPr>
      <w:r>
        <w:rPr>
          <w:rFonts w:hint="eastAsia" w:ascii="宋体" w:hAnsi="宋体"/>
          <w:sz w:val="30"/>
          <w:szCs w:val="30"/>
        </w:rPr>
        <w:t>1</w:t>
      </w:r>
      <w:r>
        <w:rPr>
          <w:rFonts w:ascii="宋体" w:hAnsi="宋体"/>
          <w:sz w:val="30"/>
          <w:szCs w:val="30"/>
        </w:rPr>
        <w:t xml:space="preserve">4.1.1 </w:t>
      </w:r>
      <w:r>
        <w:rPr>
          <w:rFonts w:hint="eastAsia" w:ascii="宋体" w:hAnsi="宋体"/>
          <w:sz w:val="30"/>
          <w:szCs w:val="30"/>
        </w:rPr>
        <w:t>关于合同价格形式的约定：</w:t>
      </w:r>
      <w:r>
        <w:rPr>
          <w:rFonts w:ascii="宋体" w:hAnsi="宋体"/>
          <w:sz w:val="30"/>
          <w:szCs w:val="30"/>
        </w:rPr>
        <w:t xml:space="preserve">                   </w:t>
      </w:r>
      <w:r>
        <w:rPr>
          <w:rFonts w:hint="eastAsia" w:ascii="宋体" w:hAnsi="宋体"/>
          <w:sz w:val="30"/>
          <w:szCs w:val="30"/>
        </w:rPr>
        <w:t>。</w:t>
      </w:r>
    </w:p>
    <w:p w14:paraId="114C15C4">
      <w:pPr>
        <w:rPr>
          <w:rFonts w:ascii="宋体" w:hAnsi="宋体"/>
          <w:sz w:val="30"/>
          <w:szCs w:val="30"/>
        </w:rPr>
      </w:pPr>
      <w:r>
        <w:rPr>
          <w:rFonts w:hint="eastAsia" w:ascii="宋体" w:hAnsi="宋体"/>
          <w:sz w:val="30"/>
          <w:szCs w:val="30"/>
        </w:rPr>
        <w:t>1</w:t>
      </w:r>
      <w:r>
        <w:rPr>
          <w:rFonts w:ascii="宋体" w:hAnsi="宋体"/>
          <w:sz w:val="30"/>
          <w:szCs w:val="30"/>
        </w:rPr>
        <w:t xml:space="preserve">4.1.2 </w:t>
      </w:r>
      <w:r>
        <w:rPr>
          <w:rFonts w:hint="eastAsia" w:ascii="宋体" w:hAnsi="宋体"/>
          <w:sz w:val="30"/>
          <w:szCs w:val="30"/>
        </w:rPr>
        <w:t>关于合同价格调整的约定：</w:t>
      </w:r>
      <w:r>
        <w:rPr>
          <w:rFonts w:ascii="宋体" w:hAnsi="宋体"/>
          <w:sz w:val="30"/>
          <w:szCs w:val="30"/>
        </w:rPr>
        <w:t xml:space="preserve">                   </w:t>
      </w:r>
      <w:r>
        <w:rPr>
          <w:rFonts w:hint="eastAsia" w:ascii="宋体" w:hAnsi="宋体"/>
          <w:sz w:val="30"/>
          <w:szCs w:val="30"/>
        </w:rPr>
        <w:t>。</w:t>
      </w:r>
    </w:p>
    <w:p w14:paraId="36E2953F">
      <w:pPr>
        <w:rPr>
          <w:rFonts w:ascii="宋体" w:hAnsi="宋体"/>
          <w:sz w:val="30"/>
          <w:szCs w:val="30"/>
        </w:rPr>
      </w:pPr>
      <w:r>
        <w:rPr>
          <w:rFonts w:hint="eastAsia" w:ascii="宋体" w:hAnsi="宋体"/>
          <w:sz w:val="30"/>
          <w:szCs w:val="30"/>
        </w:rPr>
        <w:t>1</w:t>
      </w:r>
      <w:r>
        <w:rPr>
          <w:rFonts w:ascii="宋体" w:hAnsi="宋体"/>
          <w:sz w:val="30"/>
          <w:szCs w:val="30"/>
        </w:rPr>
        <w:t xml:space="preserve">4.1.3 </w:t>
      </w:r>
      <w:r>
        <w:rPr>
          <w:rFonts w:hint="eastAsia" w:ascii="宋体" w:hAnsi="宋体"/>
          <w:sz w:val="30"/>
          <w:szCs w:val="30"/>
        </w:rPr>
        <w:t>按实际完成的工程量支付工程价款的计量方法、估价方法：</w:t>
      </w:r>
      <w:r>
        <w:rPr>
          <w:rFonts w:ascii="宋体" w:hAnsi="宋体"/>
          <w:sz w:val="30"/>
          <w:szCs w:val="30"/>
        </w:rPr>
        <w:t xml:space="preserve">                                              </w:t>
      </w:r>
      <w:r>
        <w:rPr>
          <w:rFonts w:hint="eastAsia" w:ascii="宋体" w:hAnsi="宋体"/>
          <w:sz w:val="30"/>
          <w:szCs w:val="30"/>
        </w:rPr>
        <w:t>。</w:t>
      </w:r>
    </w:p>
    <w:p w14:paraId="2A612719">
      <w:pPr>
        <w:rPr>
          <w:rFonts w:ascii="宋体" w:hAnsi="宋体"/>
          <w:sz w:val="30"/>
          <w:szCs w:val="30"/>
        </w:rPr>
      </w:pPr>
      <w:r>
        <w:rPr>
          <w:rFonts w:ascii="宋体" w:hAnsi="宋体"/>
          <w:sz w:val="30"/>
          <w:szCs w:val="30"/>
        </w:rPr>
        <w:t xml:space="preserve">14.2 </w:t>
      </w:r>
      <w:r>
        <w:rPr>
          <w:rFonts w:hint="eastAsia" w:ascii="宋体" w:hAnsi="宋体"/>
          <w:sz w:val="30"/>
          <w:szCs w:val="30"/>
        </w:rPr>
        <w:t>预付款</w:t>
      </w:r>
    </w:p>
    <w:p w14:paraId="6CD28D65">
      <w:pPr>
        <w:rPr>
          <w:rFonts w:ascii="宋体" w:hAnsi="宋体"/>
          <w:sz w:val="30"/>
          <w:szCs w:val="30"/>
        </w:rPr>
      </w:pPr>
      <w:r>
        <w:rPr>
          <w:rFonts w:ascii="宋体" w:hAnsi="宋体"/>
          <w:sz w:val="30"/>
          <w:szCs w:val="30"/>
        </w:rPr>
        <w:t xml:space="preserve">14.2.1 </w:t>
      </w:r>
      <w:r>
        <w:rPr>
          <w:rFonts w:hint="eastAsia" w:ascii="宋体" w:hAnsi="宋体"/>
          <w:sz w:val="30"/>
          <w:szCs w:val="30"/>
        </w:rPr>
        <w:t>预付款支付</w:t>
      </w:r>
    </w:p>
    <w:p w14:paraId="34CBF6F5">
      <w:pPr>
        <w:rPr>
          <w:rFonts w:ascii="宋体" w:hAnsi="宋体"/>
          <w:sz w:val="30"/>
          <w:szCs w:val="30"/>
        </w:rPr>
      </w:pPr>
      <w:r>
        <w:rPr>
          <w:rFonts w:hint="eastAsia" w:ascii="宋体" w:hAnsi="宋体"/>
          <w:sz w:val="30"/>
          <w:szCs w:val="30"/>
        </w:rPr>
        <w:t>预付款的金额或比例为：</w:t>
      </w:r>
      <w:r>
        <w:rPr>
          <w:rFonts w:ascii="宋体" w:hAnsi="宋体"/>
          <w:sz w:val="30"/>
          <w:szCs w:val="30"/>
        </w:rPr>
        <w:t xml:space="preserve">                            </w:t>
      </w:r>
      <w:r>
        <w:rPr>
          <w:rFonts w:hint="eastAsia" w:ascii="宋体" w:hAnsi="宋体"/>
          <w:sz w:val="30"/>
          <w:szCs w:val="30"/>
        </w:rPr>
        <w:t>。</w:t>
      </w:r>
    </w:p>
    <w:p w14:paraId="3343AA0D">
      <w:pPr>
        <w:rPr>
          <w:rFonts w:ascii="宋体" w:hAnsi="宋体"/>
          <w:sz w:val="30"/>
          <w:szCs w:val="30"/>
        </w:rPr>
      </w:pPr>
      <w:r>
        <w:rPr>
          <w:rFonts w:hint="eastAsia" w:ascii="宋体" w:hAnsi="宋体"/>
          <w:sz w:val="30"/>
          <w:szCs w:val="30"/>
        </w:rPr>
        <w:t>预付款支付期限：</w:t>
      </w:r>
      <w:r>
        <w:rPr>
          <w:rFonts w:ascii="宋体" w:hAnsi="宋体"/>
          <w:sz w:val="30"/>
          <w:szCs w:val="30"/>
        </w:rPr>
        <w:t xml:space="preserve">                                   </w:t>
      </w:r>
      <w:r>
        <w:rPr>
          <w:rFonts w:hint="eastAsia" w:ascii="宋体" w:hAnsi="宋体"/>
          <w:sz w:val="30"/>
          <w:szCs w:val="30"/>
        </w:rPr>
        <w:t>。</w:t>
      </w:r>
    </w:p>
    <w:p w14:paraId="0218745A">
      <w:pPr>
        <w:rPr>
          <w:rFonts w:ascii="宋体" w:hAnsi="宋体"/>
          <w:sz w:val="30"/>
          <w:szCs w:val="30"/>
        </w:rPr>
      </w:pPr>
      <w:r>
        <w:rPr>
          <w:rFonts w:hint="eastAsia" w:ascii="宋体" w:hAnsi="宋体"/>
          <w:sz w:val="30"/>
          <w:szCs w:val="30"/>
        </w:rPr>
        <w:t>预付款扣回的方式：</w:t>
      </w:r>
      <w:r>
        <w:rPr>
          <w:rFonts w:ascii="宋体" w:hAnsi="宋体"/>
          <w:sz w:val="30"/>
          <w:szCs w:val="30"/>
        </w:rPr>
        <w:t xml:space="preserve">                                </w:t>
      </w:r>
      <w:r>
        <w:rPr>
          <w:rFonts w:hint="eastAsia" w:ascii="宋体" w:hAnsi="宋体"/>
          <w:sz w:val="30"/>
          <w:szCs w:val="30"/>
        </w:rPr>
        <w:t>。</w:t>
      </w:r>
    </w:p>
    <w:p w14:paraId="6403041C">
      <w:pPr>
        <w:rPr>
          <w:rFonts w:ascii="宋体" w:hAnsi="宋体"/>
          <w:sz w:val="30"/>
          <w:szCs w:val="30"/>
        </w:rPr>
      </w:pPr>
      <w:r>
        <w:rPr>
          <w:rFonts w:hint="eastAsia" w:ascii="宋体" w:hAnsi="宋体"/>
          <w:sz w:val="30"/>
          <w:szCs w:val="30"/>
        </w:rPr>
        <w:t>1</w:t>
      </w:r>
      <w:r>
        <w:rPr>
          <w:rFonts w:ascii="宋体" w:hAnsi="宋体"/>
          <w:sz w:val="30"/>
          <w:szCs w:val="30"/>
        </w:rPr>
        <w:t>4.2.2预付款担保</w:t>
      </w:r>
    </w:p>
    <w:p w14:paraId="16B997BF">
      <w:pPr>
        <w:rPr>
          <w:rFonts w:ascii="宋体" w:hAnsi="宋体"/>
          <w:sz w:val="30"/>
          <w:szCs w:val="30"/>
        </w:rPr>
      </w:pPr>
      <w:r>
        <w:rPr>
          <w:rFonts w:hint="eastAsia" w:ascii="宋体" w:hAnsi="宋体"/>
          <w:sz w:val="30"/>
          <w:szCs w:val="30"/>
        </w:rPr>
        <w:t>提供预付款担保期限：</w:t>
      </w:r>
      <w:r>
        <w:rPr>
          <w:rFonts w:ascii="宋体" w:hAnsi="宋体"/>
          <w:sz w:val="30"/>
          <w:szCs w:val="30"/>
        </w:rPr>
        <w:t xml:space="preserve">                              </w:t>
      </w:r>
      <w:r>
        <w:rPr>
          <w:rFonts w:hint="eastAsia" w:ascii="宋体" w:hAnsi="宋体"/>
          <w:sz w:val="30"/>
          <w:szCs w:val="30"/>
        </w:rPr>
        <w:t>。</w:t>
      </w:r>
    </w:p>
    <w:p w14:paraId="6EB66722">
      <w:pPr>
        <w:rPr>
          <w:rFonts w:ascii="宋体" w:hAnsi="宋体"/>
          <w:sz w:val="30"/>
          <w:szCs w:val="30"/>
        </w:rPr>
      </w:pPr>
      <w:r>
        <w:rPr>
          <w:rFonts w:hint="eastAsia" w:ascii="宋体" w:hAnsi="宋体"/>
          <w:sz w:val="30"/>
          <w:szCs w:val="30"/>
        </w:rPr>
        <w:t xml:space="preserve">预付款担保形式： </w:t>
      </w:r>
      <w:r>
        <w:rPr>
          <w:rFonts w:ascii="宋体" w:hAnsi="宋体"/>
          <w:sz w:val="30"/>
          <w:szCs w:val="30"/>
        </w:rPr>
        <w:t xml:space="preserve">                                 </w:t>
      </w:r>
      <w:r>
        <w:rPr>
          <w:rFonts w:hint="eastAsia" w:ascii="宋体" w:hAnsi="宋体"/>
          <w:sz w:val="30"/>
          <w:szCs w:val="30"/>
        </w:rPr>
        <w:t>。</w:t>
      </w:r>
    </w:p>
    <w:p w14:paraId="39FB1EA6">
      <w:pPr>
        <w:rPr>
          <w:rFonts w:ascii="宋体" w:hAnsi="宋体"/>
          <w:sz w:val="30"/>
          <w:szCs w:val="30"/>
        </w:rPr>
      </w:pPr>
      <w:r>
        <w:rPr>
          <w:rFonts w:ascii="宋体" w:hAnsi="宋体"/>
          <w:sz w:val="30"/>
          <w:szCs w:val="30"/>
        </w:rPr>
        <w:t xml:space="preserve">14.3 </w:t>
      </w:r>
      <w:r>
        <w:rPr>
          <w:rFonts w:hint="eastAsia" w:ascii="宋体" w:hAnsi="宋体"/>
          <w:sz w:val="30"/>
          <w:szCs w:val="30"/>
        </w:rPr>
        <w:t>工程进度款</w:t>
      </w:r>
    </w:p>
    <w:p w14:paraId="71CBFCA3">
      <w:pPr>
        <w:rPr>
          <w:rFonts w:ascii="宋体" w:hAnsi="宋体"/>
          <w:sz w:val="30"/>
          <w:szCs w:val="30"/>
        </w:rPr>
      </w:pPr>
      <w:r>
        <w:rPr>
          <w:rFonts w:ascii="宋体" w:hAnsi="宋体"/>
          <w:sz w:val="30"/>
          <w:szCs w:val="30"/>
        </w:rPr>
        <w:t xml:space="preserve">14.3.1 </w:t>
      </w:r>
      <w:r>
        <w:rPr>
          <w:rFonts w:hint="eastAsia" w:ascii="宋体" w:hAnsi="宋体"/>
          <w:sz w:val="30"/>
          <w:szCs w:val="30"/>
        </w:rPr>
        <w:t>工程进度付款申请</w:t>
      </w:r>
    </w:p>
    <w:p w14:paraId="1ED18AF2">
      <w:pPr>
        <w:rPr>
          <w:rFonts w:ascii="宋体" w:hAnsi="宋体"/>
          <w:sz w:val="30"/>
          <w:szCs w:val="30"/>
        </w:rPr>
      </w:pPr>
      <w:r>
        <w:rPr>
          <w:rFonts w:hint="eastAsia" w:ascii="宋体" w:hAnsi="宋体"/>
          <w:sz w:val="30"/>
          <w:szCs w:val="30"/>
        </w:rPr>
        <w:t>工程进度付款申请方式：</w:t>
      </w:r>
      <w:r>
        <w:rPr>
          <w:rFonts w:ascii="宋体" w:hAnsi="宋体"/>
          <w:sz w:val="30"/>
          <w:szCs w:val="30"/>
        </w:rPr>
        <w:t xml:space="preserve">                            </w:t>
      </w:r>
      <w:r>
        <w:rPr>
          <w:rFonts w:hint="eastAsia" w:ascii="宋体" w:hAnsi="宋体"/>
          <w:sz w:val="30"/>
          <w:szCs w:val="30"/>
        </w:rPr>
        <w:t>。</w:t>
      </w:r>
    </w:p>
    <w:p w14:paraId="302CF82A">
      <w:pPr>
        <w:rPr>
          <w:rFonts w:ascii="宋体" w:hAnsi="宋体"/>
          <w:sz w:val="30"/>
          <w:szCs w:val="30"/>
        </w:rPr>
      </w:pPr>
      <w:r>
        <w:rPr>
          <w:rFonts w:hint="eastAsia" w:ascii="宋体" w:hAnsi="宋体"/>
          <w:sz w:val="30"/>
          <w:szCs w:val="30"/>
        </w:rPr>
        <w:t>承包人提交进度付款申请单的格式、内容、份数和时间：</w:t>
      </w:r>
      <w:r>
        <w:rPr>
          <w:rFonts w:ascii="宋体" w:hAnsi="宋体"/>
          <w:sz w:val="30"/>
          <w:szCs w:val="30"/>
        </w:rPr>
        <w:t xml:space="preserve">                                                  </w:t>
      </w:r>
      <w:r>
        <w:rPr>
          <w:rFonts w:hint="eastAsia" w:ascii="宋体" w:hAnsi="宋体"/>
          <w:sz w:val="30"/>
          <w:szCs w:val="30"/>
        </w:rPr>
        <w:t>。</w:t>
      </w:r>
    </w:p>
    <w:p w14:paraId="1C0E5652">
      <w:pPr>
        <w:rPr>
          <w:rFonts w:ascii="宋体" w:hAnsi="宋体"/>
          <w:sz w:val="30"/>
          <w:szCs w:val="30"/>
        </w:rPr>
      </w:pPr>
      <w:r>
        <w:rPr>
          <w:rFonts w:hint="eastAsia" w:ascii="宋体" w:hAnsi="宋体"/>
          <w:sz w:val="30"/>
          <w:szCs w:val="30"/>
        </w:rPr>
        <w:t>进度付款申请单应包括的内容：</w:t>
      </w:r>
      <w:r>
        <w:rPr>
          <w:rFonts w:ascii="宋体" w:hAnsi="宋体"/>
          <w:sz w:val="30"/>
          <w:szCs w:val="30"/>
        </w:rPr>
        <w:t xml:space="preserve">                      </w:t>
      </w:r>
      <w:r>
        <w:rPr>
          <w:rFonts w:hint="eastAsia" w:ascii="宋体" w:hAnsi="宋体"/>
          <w:sz w:val="30"/>
          <w:szCs w:val="30"/>
        </w:rPr>
        <w:t>。</w:t>
      </w:r>
    </w:p>
    <w:p w14:paraId="05A0E25C">
      <w:pPr>
        <w:rPr>
          <w:rFonts w:ascii="宋体" w:hAnsi="宋体"/>
          <w:sz w:val="30"/>
          <w:szCs w:val="30"/>
        </w:rPr>
      </w:pPr>
      <w:r>
        <w:rPr>
          <w:rFonts w:ascii="宋体" w:hAnsi="宋体"/>
          <w:sz w:val="30"/>
          <w:szCs w:val="30"/>
        </w:rPr>
        <w:t xml:space="preserve">14.3.2 </w:t>
      </w:r>
      <w:r>
        <w:rPr>
          <w:rFonts w:hint="eastAsia" w:ascii="宋体" w:hAnsi="宋体"/>
          <w:sz w:val="30"/>
          <w:szCs w:val="30"/>
        </w:rPr>
        <w:t>进度付款审核和支付</w:t>
      </w:r>
    </w:p>
    <w:p w14:paraId="162DB45F">
      <w:pPr>
        <w:rPr>
          <w:rFonts w:ascii="宋体" w:hAnsi="宋体"/>
          <w:sz w:val="30"/>
          <w:szCs w:val="30"/>
        </w:rPr>
      </w:pPr>
      <w:r>
        <w:rPr>
          <w:rFonts w:hint="eastAsia" w:ascii="宋体" w:hAnsi="宋体"/>
          <w:sz w:val="30"/>
          <w:szCs w:val="30"/>
        </w:rPr>
        <w:t>进度付款的审核方式和支付的约定：</w:t>
      </w:r>
      <w:r>
        <w:rPr>
          <w:rFonts w:ascii="宋体" w:hAnsi="宋体"/>
          <w:sz w:val="30"/>
          <w:szCs w:val="30"/>
        </w:rPr>
        <w:t xml:space="preserve">                  </w:t>
      </w:r>
      <w:r>
        <w:rPr>
          <w:rFonts w:hint="eastAsia" w:ascii="宋体" w:hAnsi="宋体"/>
          <w:sz w:val="30"/>
          <w:szCs w:val="30"/>
        </w:rPr>
        <w:t>。</w:t>
      </w:r>
    </w:p>
    <w:p w14:paraId="0AB53078">
      <w:pPr>
        <w:rPr>
          <w:rFonts w:ascii="宋体" w:hAnsi="宋体"/>
          <w:sz w:val="30"/>
          <w:szCs w:val="30"/>
        </w:rPr>
      </w:pPr>
      <w:r>
        <w:rPr>
          <w:rFonts w:hint="eastAsia" w:ascii="宋体" w:hAnsi="宋体"/>
          <w:sz w:val="30"/>
          <w:szCs w:val="30"/>
        </w:rPr>
        <w:t xml:space="preserve">发包人应在进度款支付证书或临时进度款支付证书签发后的 </w:t>
      </w:r>
      <w:r>
        <w:rPr>
          <w:rFonts w:ascii="宋体" w:hAnsi="宋体"/>
          <w:sz w:val="30"/>
          <w:szCs w:val="30"/>
        </w:rPr>
        <w:t xml:space="preserve">    </w:t>
      </w:r>
      <w:r>
        <w:rPr>
          <w:rFonts w:hint="eastAsia" w:ascii="宋体" w:hAnsi="宋体"/>
          <w:sz w:val="30"/>
          <w:szCs w:val="30"/>
        </w:rPr>
        <w:t xml:space="preserve">天内完成支付，发包人逾期支付进度款的，应按照 </w:t>
      </w:r>
      <w:r>
        <w:rPr>
          <w:rFonts w:ascii="宋体" w:hAnsi="宋体"/>
          <w:sz w:val="30"/>
          <w:szCs w:val="30"/>
        </w:rPr>
        <w:t xml:space="preserve">   </w:t>
      </w:r>
      <w:r>
        <w:rPr>
          <w:rFonts w:hint="eastAsia" w:ascii="宋体" w:hAnsi="宋体"/>
          <w:sz w:val="30"/>
          <w:szCs w:val="30"/>
        </w:rPr>
        <w:t>支付违约金。</w:t>
      </w:r>
    </w:p>
    <w:p w14:paraId="175AB5E0">
      <w:pPr>
        <w:rPr>
          <w:rFonts w:ascii="宋体" w:hAnsi="宋体"/>
          <w:sz w:val="30"/>
          <w:szCs w:val="30"/>
        </w:rPr>
      </w:pPr>
      <w:r>
        <w:rPr>
          <w:rFonts w:ascii="宋体" w:hAnsi="宋体"/>
          <w:sz w:val="30"/>
          <w:szCs w:val="30"/>
        </w:rPr>
        <w:t xml:space="preserve">14.4 </w:t>
      </w:r>
      <w:r>
        <w:rPr>
          <w:rFonts w:hint="eastAsia" w:ascii="宋体" w:hAnsi="宋体"/>
          <w:sz w:val="30"/>
          <w:szCs w:val="30"/>
        </w:rPr>
        <w:t>付款计划表</w:t>
      </w:r>
    </w:p>
    <w:p w14:paraId="6A36CE91">
      <w:pPr>
        <w:rPr>
          <w:rFonts w:ascii="宋体" w:hAnsi="宋体"/>
          <w:sz w:val="30"/>
          <w:szCs w:val="30"/>
        </w:rPr>
      </w:pPr>
      <w:r>
        <w:rPr>
          <w:rFonts w:ascii="宋体" w:hAnsi="宋体"/>
          <w:sz w:val="30"/>
          <w:szCs w:val="30"/>
        </w:rPr>
        <w:t>14.4.1 付款计划表的编制要求</w:t>
      </w:r>
      <w:r>
        <w:rPr>
          <w:rFonts w:hint="eastAsia" w:ascii="宋体" w:hAnsi="宋体"/>
          <w:sz w:val="30"/>
          <w:szCs w:val="30"/>
        </w:rPr>
        <w:t>：</w:t>
      </w:r>
      <w:r>
        <w:rPr>
          <w:rFonts w:ascii="宋体" w:hAnsi="宋体"/>
          <w:sz w:val="30"/>
          <w:szCs w:val="30"/>
        </w:rPr>
        <w:t xml:space="preserve">                     </w:t>
      </w:r>
      <w:r>
        <w:rPr>
          <w:rFonts w:hint="eastAsia" w:ascii="宋体" w:hAnsi="宋体"/>
          <w:sz w:val="30"/>
          <w:szCs w:val="30"/>
        </w:rPr>
        <w:t>。</w:t>
      </w:r>
    </w:p>
    <w:p w14:paraId="2BC74767">
      <w:pPr>
        <w:rPr>
          <w:rFonts w:ascii="宋体" w:hAnsi="宋体"/>
          <w:sz w:val="30"/>
          <w:szCs w:val="30"/>
        </w:rPr>
      </w:pPr>
      <w:r>
        <w:rPr>
          <w:rFonts w:ascii="宋体" w:hAnsi="宋体"/>
          <w:sz w:val="30"/>
          <w:szCs w:val="30"/>
        </w:rPr>
        <w:t xml:space="preserve">14.4.2 </w:t>
      </w:r>
      <w:r>
        <w:rPr>
          <w:rFonts w:hint="eastAsia" w:ascii="宋体" w:hAnsi="宋体"/>
          <w:sz w:val="30"/>
          <w:szCs w:val="30"/>
        </w:rPr>
        <w:t>付款计划表的编制与审批</w:t>
      </w:r>
    </w:p>
    <w:p w14:paraId="10CD31EA">
      <w:pPr>
        <w:rPr>
          <w:rFonts w:ascii="宋体" w:hAnsi="宋体"/>
          <w:sz w:val="30"/>
          <w:szCs w:val="30"/>
        </w:rPr>
      </w:pPr>
      <w:r>
        <w:rPr>
          <w:rFonts w:hint="eastAsia" w:ascii="宋体" w:hAnsi="宋体"/>
          <w:sz w:val="30"/>
          <w:szCs w:val="30"/>
        </w:rPr>
        <w:t>付款计划表的编制：</w:t>
      </w:r>
      <w:r>
        <w:rPr>
          <w:rFonts w:ascii="宋体" w:hAnsi="宋体"/>
          <w:sz w:val="30"/>
          <w:szCs w:val="30"/>
        </w:rPr>
        <w:t xml:space="preserve">                                </w:t>
      </w:r>
      <w:r>
        <w:rPr>
          <w:rFonts w:hint="eastAsia" w:ascii="宋体" w:hAnsi="宋体"/>
          <w:sz w:val="30"/>
          <w:szCs w:val="30"/>
        </w:rPr>
        <w:t>。</w:t>
      </w:r>
    </w:p>
    <w:p w14:paraId="1142A50B">
      <w:pPr>
        <w:rPr>
          <w:rFonts w:ascii="宋体" w:hAnsi="宋体"/>
          <w:sz w:val="30"/>
          <w:szCs w:val="30"/>
        </w:rPr>
      </w:pPr>
      <w:r>
        <w:rPr>
          <w:rFonts w:ascii="宋体" w:hAnsi="宋体"/>
          <w:sz w:val="30"/>
          <w:szCs w:val="30"/>
        </w:rPr>
        <w:t xml:space="preserve">14.5 </w:t>
      </w:r>
      <w:r>
        <w:rPr>
          <w:rFonts w:hint="eastAsia" w:ascii="宋体" w:hAnsi="宋体"/>
          <w:sz w:val="30"/>
          <w:szCs w:val="30"/>
        </w:rPr>
        <w:t>竣工结算</w:t>
      </w:r>
    </w:p>
    <w:p w14:paraId="1A86C803">
      <w:pPr>
        <w:rPr>
          <w:rFonts w:ascii="宋体" w:hAnsi="宋体"/>
          <w:sz w:val="30"/>
          <w:szCs w:val="30"/>
        </w:rPr>
      </w:pPr>
      <w:r>
        <w:rPr>
          <w:rFonts w:ascii="宋体" w:hAnsi="宋体"/>
          <w:sz w:val="30"/>
          <w:szCs w:val="30"/>
        </w:rPr>
        <w:t xml:space="preserve">14.5.1 </w:t>
      </w:r>
      <w:r>
        <w:rPr>
          <w:rFonts w:hint="eastAsia" w:ascii="宋体" w:hAnsi="宋体"/>
          <w:sz w:val="30"/>
          <w:szCs w:val="30"/>
        </w:rPr>
        <w:t>竣工结算申请</w:t>
      </w:r>
    </w:p>
    <w:p w14:paraId="0314BFB4">
      <w:pPr>
        <w:rPr>
          <w:rFonts w:ascii="宋体" w:hAnsi="宋体"/>
          <w:sz w:val="30"/>
          <w:szCs w:val="30"/>
        </w:rPr>
      </w:pPr>
      <w:r>
        <w:rPr>
          <w:rFonts w:hint="eastAsia" w:ascii="宋体" w:hAnsi="宋体"/>
          <w:sz w:val="30"/>
          <w:szCs w:val="30"/>
        </w:rPr>
        <w:t>承包人提交竣工结算申请的时间：</w:t>
      </w:r>
      <w:r>
        <w:rPr>
          <w:rFonts w:ascii="宋体" w:hAnsi="宋体"/>
          <w:sz w:val="30"/>
          <w:szCs w:val="30"/>
        </w:rPr>
        <w:t xml:space="preserve">                    </w:t>
      </w:r>
      <w:r>
        <w:rPr>
          <w:rFonts w:hint="eastAsia" w:ascii="宋体" w:hAnsi="宋体"/>
          <w:sz w:val="30"/>
          <w:szCs w:val="30"/>
        </w:rPr>
        <w:t>。</w:t>
      </w:r>
    </w:p>
    <w:p w14:paraId="7747ADEF">
      <w:pPr>
        <w:rPr>
          <w:rFonts w:ascii="宋体" w:hAnsi="宋体"/>
          <w:sz w:val="30"/>
          <w:szCs w:val="30"/>
        </w:rPr>
      </w:pPr>
      <w:r>
        <w:rPr>
          <w:rFonts w:hint="eastAsia" w:ascii="宋体" w:hAnsi="宋体"/>
          <w:sz w:val="30"/>
          <w:szCs w:val="30"/>
        </w:rPr>
        <w:t>竣工结算申请的资料清单和份数：</w:t>
      </w:r>
      <w:r>
        <w:rPr>
          <w:rFonts w:ascii="宋体" w:hAnsi="宋体"/>
          <w:sz w:val="30"/>
          <w:szCs w:val="30"/>
        </w:rPr>
        <w:t xml:space="preserve">                    </w:t>
      </w:r>
      <w:r>
        <w:rPr>
          <w:rFonts w:hint="eastAsia" w:ascii="宋体" w:hAnsi="宋体"/>
          <w:sz w:val="30"/>
          <w:szCs w:val="30"/>
        </w:rPr>
        <w:t>。</w:t>
      </w:r>
    </w:p>
    <w:p w14:paraId="20617FF2">
      <w:pPr>
        <w:rPr>
          <w:rFonts w:ascii="宋体" w:hAnsi="宋体"/>
          <w:sz w:val="30"/>
          <w:szCs w:val="30"/>
        </w:rPr>
      </w:pPr>
      <w:r>
        <w:rPr>
          <w:rFonts w:hint="eastAsia" w:ascii="宋体" w:hAnsi="宋体"/>
          <w:sz w:val="30"/>
          <w:szCs w:val="30"/>
        </w:rPr>
        <w:t>竣工结算申请单的内容应包括：</w:t>
      </w:r>
      <w:r>
        <w:rPr>
          <w:rFonts w:ascii="宋体" w:hAnsi="宋体"/>
          <w:sz w:val="30"/>
          <w:szCs w:val="30"/>
        </w:rPr>
        <w:t xml:space="preserve">                      </w:t>
      </w:r>
      <w:r>
        <w:rPr>
          <w:rFonts w:hint="eastAsia" w:ascii="宋体" w:hAnsi="宋体"/>
          <w:sz w:val="30"/>
          <w:szCs w:val="30"/>
        </w:rPr>
        <w:t>。</w:t>
      </w:r>
    </w:p>
    <w:p w14:paraId="1615BC9D">
      <w:pPr>
        <w:rPr>
          <w:rFonts w:ascii="宋体" w:hAnsi="宋体"/>
          <w:sz w:val="30"/>
          <w:szCs w:val="30"/>
        </w:rPr>
      </w:pPr>
      <w:r>
        <w:rPr>
          <w:rFonts w:ascii="宋体" w:hAnsi="宋体"/>
          <w:sz w:val="30"/>
          <w:szCs w:val="30"/>
        </w:rPr>
        <w:t xml:space="preserve">14.5.2 </w:t>
      </w:r>
      <w:r>
        <w:rPr>
          <w:rFonts w:hint="eastAsia" w:ascii="宋体" w:hAnsi="宋体"/>
          <w:sz w:val="30"/>
          <w:szCs w:val="30"/>
        </w:rPr>
        <w:t>竣工结算审核</w:t>
      </w:r>
    </w:p>
    <w:p w14:paraId="17CC4958">
      <w:pPr>
        <w:rPr>
          <w:rFonts w:ascii="宋体" w:hAnsi="宋体"/>
          <w:sz w:val="30"/>
          <w:szCs w:val="30"/>
        </w:rPr>
      </w:pPr>
      <w:r>
        <w:rPr>
          <w:rFonts w:hint="eastAsia" w:ascii="宋体" w:hAnsi="宋体"/>
          <w:sz w:val="30"/>
          <w:szCs w:val="30"/>
        </w:rPr>
        <w:t>发包人审批竣工付款申请单的期限：</w:t>
      </w:r>
      <w:r>
        <w:rPr>
          <w:rFonts w:ascii="宋体" w:hAnsi="宋体"/>
          <w:sz w:val="30"/>
          <w:szCs w:val="30"/>
        </w:rPr>
        <w:t xml:space="preserve">                  </w:t>
      </w:r>
      <w:r>
        <w:rPr>
          <w:rFonts w:hint="eastAsia" w:ascii="宋体" w:hAnsi="宋体"/>
          <w:sz w:val="30"/>
          <w:szCs w:val="30"/>
        </w:rPr>
        <w:t>。</w:t>
      </w:r>
    </w:p>
    <w:p w14:paraId="11051906">
      <w:pPr>
        <w:rPr>
          <w:rFonts w:ascii="宋体" w:hAnsi="宋体"/>
          <w:sz w:val="30"/>
          <w:szCs w:val="30"/>
        </w:rPr>
      </w:pPr>
      <w:r>
        <w:rPr>
          <w:rFonts w:hint="eastAsia" w:ascii="宋体" w:hAnsi="宋体"/>
          <w:sz w:val="30"/>
          <w:szCs w:val="30"/>
        </w:rPr>
        <w:t>发包人完成竣工付款的期限：</w:t>
      </w:r>
      <w:r>
        <w:rPr>
          <w:rFonts w:ascii="宋体" w:hAnsi="宋体"/>
          <w:sz w:val="30"/>
          <w:szCs w:val="30"/>
        </w:rPr>
        <w:t xml:space="preserve">                        </w:t>
      </w:r>
      <w:r>
        <w:rPr>
          <w:rFonts w:hint="eastAsia" w:ascii="宋体" w:hAnsi="宋体"/>
          <w:sz w:val="30"/>
          <w:szCs w:val="30"/>
        </w:rPr>
        <w:t>。</w:t>
      </w:r>
    </w:p>
    <w:p w14:paraId="696209EC">
      <w:pPr>
        <w:rPr>
          <w:rFonts w:ascii="宋体" w:hAnsi="宋体"/>
          <w:sz w:val="30"/>
          <w:szCs w:val="30"/>
        </w:rPr>
      </w:pPr>
      <w:r>
        <w:rPr>
          <w:rFonts w:hint="eastAsia" w:ascii="宋体" w:hAnsi="宋体"/>
          <w:sz w:val="30"/>
          <w:szCs w:val="30"/>
        </w:rPr>
        <w:t>关于竣工付款证书异议部分复核的方式和程序：</w:t>
      </w:r>
      <w:r>
        <w:rPr>
          <w:rFonts w:ascii="宋体" w:hAnsi="宋体"/>
          <w:sz w:val="30"/>
          <w:szCs w:val="30"/>
        </w:rPr>
        <w:t xml:space="preserve">                                                  </w:t>
      </w:r>
      <w:r>
        <w:rPr>
          <w:rFonts w:hint="eastAsia" w:ascii="宋体" w:hAnsi="宋体"/>
          <w:sz w:val="30"/>
          <w:szCs w:val="30"/>
        </w:rPr>
        <w:t>。</w:t>
      </w:r>
    </w:p>
    <w:p w14:paraId="2B12CA9C">
      <w:pPr>
        <w:rPr>
          <w:rFonts w:ascii="宋体" w:hAnsi="宋体"/>
          <w:sz w:val="30"/>
          <w:szCs w:val="30"/>
        </w:rPr>
      </w:pPr>
      <w:r>
        <w:rPr>
          <w:rFonts w:ascii="宋体" w:hAnsi="宋体"/>
          <w:sz w:val="30"/>
          <w:szCs w:val="30"/>
        </w:rPr>
        <w:t xml:space="preserve">14.6 </w:t>
      </w:r>
      <w:r>
        <w:rPr>
          <w:rFonts w:hint="eastAsia" w:ascii="宋体" w:hAnsi="宋体"/>
          <w:sz w:val="30"/>
          <w:szCs w:val="30"/>
        </w:rPr>
        <w:t>质量保证金</w:t>
      </w:r>
    </w:p>
    <w:p w14:paraId="7271A9EB">
      <w:pPr>
        <w:rPr>
          <w:rFonts w:ascii="宋体" w:hAnsi="宋体"/>
          <w:sz w:val="30"/>
          <w:szCs w:val="30"/>
        </w:rPr>
      </w:pPr>
      <w:r>
        <w:rPr>
          <w:rFonts w:ascii="宋体" w:hAnsi="宋体"/>
          <w:sz w:val="30"/>
          <w:szCs w:val="30"/>
        </w:rPr>
        <w:t xml:space="preserve">14.6.1 </w:t>
      </w:r>
      <w:r>
        <w:rPr>
          <w:rFonts w:hint="eastAsia" w:ascii="宋体" w:hAnsi="宋体"/>
          <w:sz w:val="30"/>
          <w:szCs w:val="30"/>
        </w:rPr>
        <w:t>承包人提供质量保证金的方式</w:t>
      </w:r>
    </w:p>
    <w:p w14:paraId="701B3C03">
      <w:pPr>
        <w:rPr>
          <w:rFonts w:ascii="宋体" w:hAnsi="宋体"/>
          <w:sz w:val="30"/>
          <w:szCs w:val="30"/>
        </w:rPr>
      </w:pPr>
      <w:r>
        <w:rPr>
          <w:rFonts w:ascii="宋体" w:hAnsi="宋体"/>
          <w:sz w:val="30"/>
          <w:szCs w:val="30"/>
        </w:rPr>
        <w:t>质量</w:t>
      </w:r>
      <w:r>
        <w:rPr>
          <w:rFonts w:hint="eastAsia" w:ascii="宋体" w:hAnsi="宋体"/>
          <w:sz w:val="30"/>
          <w:szCs w:val="30"/>
        </w:rPr>
        <w:t>保证金</w:t>
      </w:r>
      <w:r>
        <w:rPr>
          <w:rFonts w:ascii="宋体" w:hAnsi="宋体"/>
          <w:sz w:val="30"/>
          <w:szCs w:val="30"/>
        </w:rPr>
        <w:t>采用以下</w:t>
      </w:r>
      <w:r>
        <w:rPr>
          <w:rFonts w:hint="eastAsia" w:ascii="宋体" w:hAnsi="宋体"/>
          <w:sz w:val="30"/>
          <w:szCs w:val="30"/>
        </w:rPr>
        <w:t>第</w:t>
      </w:r>
      <w:r>
        <w:rPr>
          <w:rFonts w:ascii="宋体" w:hAnsi="宋体"/>
          <w:sz w:val="30"/>
          <w:szCs w:val="30"/>
        </w:rPr>
        <w:t xml:space="preserve">        </w:t>
      </w:r>
      <w:r>
        <w:rPr>
          <w:rFonts w:hint="eastAsia" w:ascii="宋体" w:hAnsi="宋体"/>
          <w:sz w:val="30"/>
          <w:szCs w:val="30"/>
        </w:rPr>
        <w:t>种</w:t>
      </w:r>
      <w:r>
        <w:rPr>
          <w:rFonts w:ascii="宋体" w:hAnsi="宋体"/>
          <w:sz w:val="30"/>
          <w:szCs w:val="30"/>
        </w:rPr>
        <w:t>方式：</w:t>
      </w:r>
    </w:p>
    <w:p w14:paraId="6CB92E8F">
      <w:pPr>
        <w:rPr>
          <w:rFonts w:ascii="宋体" w:hAnsi="宋体"/>
          <w:sz w:val="30"/>
          <w:szCs w:val="30"/>
        </w:rPr>
      </w:pPr>
      <w:r>
        <w:rPr>
          <w:rFonts w:ascii="宋体" w:hAnsi="宋体"/>
          <w:sz w:val="30"/>
          <w:szCs w:val="30"/>
        </w:rPr>
        <w:t xml:space="preserve">(1) </w:t>
      </w:r>
      <w:r>
        <w:rPr>
          <w:rFonts w:hint="eastAsia" w:ascii="宋体" w:hAnsi="宋体"/>
          <w:sz w:val="30"/>
          <w:szCs w:val="30"/>
        </w:rPr>
        <w:t>工程质量保证担保</w:t>
      </w:r>
      <w:r>
        <w:rPr>
          <w:rFonts w:ascii="宋体" w:hAnsi="宋体"/>
          <w:sz w:val="30"/>
          <w:szCs w:val="30"/>
        </w:rPr>
        <w:t xml:space="preserve">，保证金额为：                </w:t>
      </w:r>
      <w:r>
        <w:rPr>
          <w:rFonts w:hint="eastAsia" w:ascii="宋体" w:hAnsi="宋体"/>
          <w:sz w:val="30"/>
          <w:szCs w:val="30"/>
        </w:rPr>
        <w:t>；</w:t>
      </w:r>
    </w:p>
    <w:p w14:paraId="09BEB0B3">
      <w:pPr>
        <w:rPr>
          <w:rFonts w:ascii="宋体" w:hAnsi="宋体"/>
          <w:sz w:val="30"/>
          <w:szCs w:val="30"/>
        </w:rPr>
      </w:pPr>
      <w:r>
        <w:rPr>
          <w:rFonts w:ascii="宋体" w:hAnsi="宋体"/>
          <w:sz w:val="30"/>
          <w:szCs w:val="30"/>
        </w:rPr>
        <w:t>(2)        %的工程款；</w:t>
      </w:r>
    </w:p>
    <w:p w14:paraId="3151E798">
      <w:pPr>
        <w:rPr>
          <w:rFonts w:ascii="宋体" w:hAnsi="宋体"/>
          <w:sz w:val="30"/>
          <w:szCs w:val="30"/>
        </w:rPr>
      </w:pPr>
      <w:r>
        <w:rPr>
          <w:rFonts w:ascii="宋体" w:hAnsi="宋体"/>
          <w:sz w:val="30"/>
          <w:szCs w:val="30"/>
        </w:rPr>
        <w:t xml:space="preserve">(3) </w:t>
      </w:r>
      <w:r>
        <w:rPr>
          <w:rFonts w:hint="eastAsia" w:ascii="宋体" w:hAnsi="宋体"/>
          <w:sz w:val="30"/>
          <w:szCs w:val="30"/>
        </w:rPr>
        <w:t>其他方式：</w:t>
      </w:r>
      <w:r>
        <w:rPr>
          <w:rFonts w:ascii="宋体" w:hAnsi="宋体"/>
          <w:sz w:val="30"/>
          <w:szCs w:val="30"/>
        </w:rPr>
        <w:t xml:space="preserve">                                    </w:t>
      </w:r>
      <w:r>
        <w:rPr>
          <w:rFonts w:hint="eastAsia" w:ascii="宋体" w:hAnsi="宋体"/>
          <w:sz w:val="30"/>
          <w:szCs w:val="30"/>
        </w:rPr>
        <w:t>。</w:t>
      </w:r>
    </w:p>
    <w:p w14:paraId="78513B21">
      <w:pPr>
        <w:rPr>
          <w:rFonts w:ascii="宋体" w:hAnsi="宋体"/>
          <w:sz w:val="30"/>
          <w:szCs w:val="30"/>
        </w:rPr>
      </w:pPr>
      <w:r>
        <w:rPr>
          <w:rFonts w:ascii="宋体" w:hAnsi="宋体"/>
          <w:sz w:val="30"/>
          <w:szCs w:val="30"/>
        </w:rPr>
        <w:t xml:space="preserve">14.6.2 </w:t>
      </w:r>
      <w:r>
        <w:rPr>
          <w:rFonts w:hint="eastAsia" w:ascii="宋体" w:hAnsi="宋体"/>
          <w:sz w:val="30"/>
          <w:szCs w:val="30"/>
        </w:rPr>
        <w:t>质量保证金的预留</w:t>
      </w:r>
    </w:p>
    <w:p w14:paraId="6AAA5323">
      <w:pPr>
        <w:rPr>
          <w:rFonts w:ascii="宋体" w:hAnsi="宋体"/>
          <w:sz w:val="30"/>
          <w:szCs w:val="30"/>
        </w:rPr>
      </w:pPr>
      <w:r>
        <w:rPr>
          <w:rFonts w:ascii="宋体" w:hAnsi="宋体"/>
          <w:sz w:val="30"/>
          <w:szCs w:val="30"/>
        </w:rPr>
        <w:t>质量</w:t>
      </w:r>
      <w:r>
        <w:rPr>
          <w:rFonts w:hint="eastAsia" w:ascii="宋体" w:hAnsi="宋体"/>
          <w:sz w:val="30"/>
          <w:szCs w:val="30"/>
        </w:rPr>
        <w:t>保证金</w:t>
      </w:r>
      <w:r>
        <w:rPr>
          <w:rFonts w:ascii="宋体" w:hAnsi="宋体"/>
          <w:sz w:val="30"/>
          <w:szCs w:val="30"/>
        </w:rPr>
        <w:t xml:space="preserve">的预留采取以下第      </w:t>
      </w:r>
      <w:r>
        <w:rPr>
          <w:rFonts w:hint="eastAsia" w:ascii="宋体" w:hAnsi="宋体"/>
          <w:sz w:val="30"/>
          <w:szCs w:val="30"/>
        </w:rPr>
        <w:t>种</w:t>
      </w:r>
      <w:r>
        <w:rPr>
          <w:rFonts w:ascii="宋体" w:hAnsi="宋体"/>
          <w:sz w:val="30"/>
          <w:szCs w:val="30"/>
        </w:rPr>
        <w:t>方式：</w:t>
      </w:r>
    </w:p>
    <w:p w14:paraId="774277C5">
      <w:pPr>
        <w:rPr>
          <w:rFonts w:ascii="宋体" w:hAnsi="宋体"/>
          <w:sz w:val="30"/>
          <w:szCs w:val="30"/>
        </w:rPr>
      </w:pPr>
      <w:r>
        <w:rPr>
          <w:rFonts w:ascii="宋体" w:hAnsi="宋体"/>
          <w:sz w:val="30"/>
          <w:szCs w:val="30"/>
        </w:rPr>
        <w:t>(1) 在支付工程进度款时逐次预留</w:t>
      </w:r>
      <w:r>
        <w:rPr>
          <w:rFonts w:hint="eastAsia" w:ascii="宋体" w:hAnsi="宋体"/>
          <w:sz w:val="30"/>
          <w:szCs w:val="30"/>
        </w:rPr>
        <w:t>的质量保证金的比例：</w:t>
      </w:r>
      <w:r>
        <w:rPr>
          <w:rFonts w:ascii="宋体" w:hAnsi="宋体"/>
          <w:sz w:val="30"/>
          <w:szCs w:val="30"/>
        </w:rPr>
        <w:t xml:space="preserve">            ，在此情形下，质量</w:t>
      </w:r>
      <w:r>
        <w:rPr>
          <w:rFonts w:hint="eastAsia" w:ascii="宋体" w:hAnsi="宋体"/>
          <w:sz w:val="30"/>
          <w:szCs w:val="30"/>
        </w:rPr>
        <w:t>保证金</w:t>
      </w:r>
      <w:r>
        <w:rPr>
          <w:rFonts w:ascii="宋体" w:hAnsi="宋体"/>
          <w:sz w:val="30"/>
          <w:szCs w:val="30"/>
        </w:rPr>
        <w:t>的计算基数不包括预付款的支付、扣回以及价格调整的金额；</w:t>
      </w:r>
    </w:p>
    <w:p w14:paraId="407B166F">
      <w:pPr>
        <w:rPr>
          <w:rFonts w:ascii="宋体" w:hAnsi="宋体"/>
          <w:sz w:val="30"/>
          <w:szCs w:val="30"/>
        </w:rPr>
      </w:pPr>
      <w:r>
        <w:rPr>
          <w:rFonts w:ascii="宋体" w:hAnsi="宋体"/>
          <w:sz w:val="30"/>
          <w:szCs w:val="30"/>
        </w:rPr>
        <w:t>(2) 工程竣工结算时一次性预留</w:t>
      </w:r>
      <w:r>
        <w:rPr>
          <w:rFonts w:hint="eastAsia" w:ascii="宋体" w:hAnsi="宋体"/>
          <w:sz w:val="30"/>
          <w:szCs w:val="30"/>
        </w:rPr>
        <w:t>专用合同条件第</w:t>
      </w:r>
      <w:r>
        <w:rPr>
          <w:rFonts w:ascii="宋体" w:hAnsi="宋体"/>
          <w:sz w:val="30"/>
          <w:szCs w:val="30"/>
        </w:rPr>
        <w:t>14.6.1</w:t>
      </w:r>
      <w:r>
        <w:rPr>
          <w:rFonts w:hint="eastAsia" w:ascii="宋体" w:hAnsi="宋体"/>
          <w:sz w:val="30"/>
          <w:szCs w:val="30"/>
        </w:rPr>
        <w:t>项第</w:t>
      </w:r>
      <w:r>
        <w:rPr>
          <w:rFonts w:ascii="宋体" w:hAnsi="宋体"/>
          <w:sz w:val="30"/>
          <w:szCs w:val="30"/>
        </w:rPr>
        <w:t>(2)</w:t>
      </w:r>
      <w:r>
        <w:rPr>
          <w:rFonts w:hint="eastAsia" w:ascii="宋体" w:hAnsi="宋体"/>
          <w:sz w:val="30"/>
          <w:szCs w:val="30"/>
        </w:rPr>
        <w:t>目约定的工程款预留比例的</w:t>
      </w:r>
      <w:r>
        <w:rPr>
          <w:rFonts w:ascii="宋体" w:hAnsi="宋体"/>
          <w:sz w:val="30"/>
          <w:szCs w:val="30"/>
        </w:rPr>
        <w:t>质量</w:t>
      </w:r>
      <w:r>
        <w:rPr>
          <w:rFonts w:hint="eastAsia" w:ascii="宋体" w:hAnsi="宋体"/>
          <w:sz w:val="30"/>
          <w:szCs w:val="30"/>
        </w:rPr>
        <w:t>保证金</w:t>
      </w:r>
      <w:r>
        <w:rPr>
          <w:rFonts w:ascii="宋体" w:hAnsi="宋体"/>
          <w:sz w:val="30"/>
          <w:szCs w:val="30"/>
        </w:rPr>
        <w:t>；</w:t>
      </w:r>
    </w:p>
    <w:p w14:paraId="040967EA">
      <w:pPr>
        <w:rPr>
          <w:rFonts w:ascii="宋体" w:hAnsi="宋体"/>
          <w:sz w:val="30"/>
          <w:szCs w:val="30"/>
        </w:rPr>
      </w:pPr>
      <w:r>
        <w:rPr>
          <w:rFonts w:ascii="宋体" w:hAnsi="宋体"/>
          <w:sz w:val="30"/>
          <w:szCs w:val="30"/>
        </w:rPr>
        <w:t>(3) 其他预留方式:</w:t>
      </w:r>
      <w:r>
        <w:rPr>
          <w:rFonts w:hint="eastAsia" w:ascii="宋体" w:hAnsi="宋体"/>
          <w:sz w:val="30"/>
          <w:szCs w:val="30"/>
        </w:rPr>
        <w:t xml:space="preserve"> </w:t>
      </w:r>
      <w:r>
        <w:rPr>
          <w:rFonts w:ascii="宋体" w:hAnsi="宋体"/>
          <w:sz w:val="30"/>
          <w:szCs w:val="30"/>
        </w:rPr>
        <w:t xml:space="preserve">                                </w:t>
      </w:r>
      <w:r>
        <w:rPr>
          <w:rFonts w:hint="eastAsia" w:ascii="宋体" w:hAnsi="宋体"/>
          <w:sz w:val="30"/>
          <w:szCs w:val="30"/>
        </w:rPr>
        <w:t>。</w:t>
      </w:r>
    </w:p>
    <w:p w14:paraId="447212E1">
      <w:pPr>
        <w:rPr>
          <w:rFonts w:ascii="宋体" w:hAnsi="宋体"/>
          <w:sz w:val="30"/>
          <w:szCs w:val="30"/>
        </w:rPr>
      </w:pPr>
      <w:r>
        <w:rPr>
          <w:rFonts w:hint="eastAsia" w:ascii="宋体" w:hAnsi="宋体"/>
          <w:sz w:val="30"/>
          <w:szCs w:val="30"/>
        </w:rPr>
        <w:t>关于质量保证金的补充约定：</w:t>
      </w:r>
      <w:r>
        <w:rPr>
          <w:rFonts w:ascii="宋体" w:hAnsi="宋体"/>
          <w:sz w:val="30"/>
          <w:szCs w:val="30"/>
        </w:rPr>
        <w:t xml:space="preserve">                         </w:t>
      </w:r>
      <w:r>
        <w:rPr>
          <w:rFonts w:hint="eastAsia" w:ascii="宋体" w:hAnsi="宋体"/>
          <w:sz w:val="30"/>
          <w:szCs w:val="30"/>
        </w:rPr>
        <w:t>。</w:t>
      </w:r>
    </w:p>
    <w:p w14:paraId="6EC387CB">
      <w:pPr>
        <w:rPr>
          <w:rFonts w:ascii="宋体" w:hAnsi="宋体"/>
          <w:sz w:val="30"/>
          <w:szCs w:val="30"/>
        </w:rPr>
      </w:pPr>
      <w:r>
        <w:rPr>
          <w:rFonts w:ascii="宋体" w:hAnsi="宋体"/>
          <w:sz w:val="30"/>
          <w:szCs w:val="30"/>
        </w:rPr>
        <w:t xml:space="preserve">14.7 </w:t>
      </w:r>
      <w:r>
        <w:rPr>
          <w:rFonts w:hint="eastAsia" w:ascii="宋体" w:hAnsi="宋体"/>
          <w:sz w:val="30"/>
          <w:szCs w:val="30"/>
        </w:rPr>
        <w:t>最终结清</w:t>
      </w:r>
    </w:p>
    <w:p w14:paraId="24946E6B">
      <w:pPr>
        <w:rPr>
          <w:rFonts w:ascii="宋体" w:hAnsi="宋体"/>
          <w:sz w:val="30"/>
          <w:szCs w:val="30"/>
        </w:rPr>
      </w:pPr>
      <w:r>
        <w:rPr>
          <w:rFonts w:ascii="宋体" w:hAnsi="宋体"/>
          <w:sz w:val="30"/>
          <w:szCs w:val="30"/>
        </w:rPr>
        <w:t xml:space="preserve">14.7.1 </w:t>
      </w:r>
      <w:r>
        <w:rPr>
          <w:rFonts w:hint="eastAsia" w:ascii="宋体" w:hAnsi="宋体"/>
          <w:sz w:val="30"/>
          <w:szCs w:val="30"/>
        </w:rPr>
        <w:t>最终结清申请单</w:t>
      </w:r>
    </w:p>
    <w:p w14:paraId="185B3CD5">
      <w:pPr>
        <w:rPr>
          <w:rFonts w:ascii="宋体" w:hAnsi="宋体"/>
          <w:sz w:val="30"/>
          <w:szCs w:val="30"/>
        </w:rPr>
      </w:pPr>
      <w:r>
        <w:rPr>
          <w:rFonts w:hint="eastAsia" w:ascii="宋体" w:hAnsi="宋体"/>
          <w:sz w:val="30"/>
          <w:szCs w:val="30"/>
        </w:rPr>
        <w:t>当事人双方关于最终结清申请的其他约定：</w:t>
      </w:r>
      <w:r>
        <w:rPr>
          <w:rFonts w:ascii="宋体" w:hAnsi="宋体"/>
          <w:sz w:val="30"/>
          <w:szCs w:val="30"/>
        </w:rPr>
        <w:t xml:space="preserve">            </w:t>
      </w:r>
      <w:r>
        <w:rPr>
          <w:rFonts w:hint="eastAsia" w:ascii="宋体" w:hAnsi="宋体"/>
          <w:sz w:val="30"/>
          <w:szCs w:val="30"/>
        </w:rPr>
        <w:t>。</w:t>
      </w:r>
    </w:p>
    <w:p w14:paraId="69EF0B94">
      <w:pPr>
        <w:rPr>
          <w:rFonts w:ascii="宋体" w:hAnsi="宋体"/>
          <w:sz w:val="30"/>
          <w:szCs w:val="30"/>
        </w:rPr>
      </w:pPr>
      <w:r>
        <w:rPr>
          <w:rFonts w:ascii="宋体" w:hAnsi="宋体"/>
          <w:sz w:val="30"/>
          <w:szCs w:val="30"/>
        </w:rPr>
        <w:t xml:space="preserve">14.7.2 </w:t>
      </w:r>
      <w:r>
        <w:rPr>
          <w:rFonts w:hint="eastAsia" w:ascii="宋体" w:hAnsi="宋体"/>
          <w:sz w:val="30"/>
          <w:szCs w:val="30"/>
        </w:rPr>
        <w:t>最终结清证书和支付</w:t>
      </w:r>
    </w:p>
    <w:p w14:paraId="12EB583A">
      <w:pPr>
        <w:rPr>
          <w:rFonts w:ascii="宋体" w:hAnsi="宋体"/>
          <w:sz w:val="30"/>
          <w:szCs w:val="30"/>
        </w:rPr>
      </w:pPr>
      <w:r>
        <w:rPr>
          <w:rFonts w:hint="eastAsia" w:ascii="宋体" w:hAnsi="宋体"/>
          <w:sz w:val="30"/>
          <w:szCs w:val="30"/>
        </w:rPr>
        <w:t>当事人双方关于最终结清支付的其他约定：</w:t>
      </w:r>
      <w:r>
        <w:rPr>
          <w:rFonts w:ascii="宋体" w:hAnsi="宋体"/>
          <w:sz w:val="30"/>
          <w:szCs w:val="30"/>
        </w:rPr>
        <w:t xml:space="preserve">             </w:t>
      </w:r>
      <w:r>
        <w:rPr>
          <w:rFonts w:hint="eastAsia" w:ascii="宋体" w:hAnsi="宋体"/>
          <w:sz w:val="30"/>
          <w:szCs w:val="30"/>
        </w:rPr>
        <w:t>。</w:t>
      </w:r>
    </w:p>
    <w:p w14:paraId="022A5E79">
      <w:pPr>
        <w:rPr>
          <w:rFonts w:ascii="宋体" w:hAnsi="宋体"/>
          <w:sz w:val="30"/>
          <w:szCs w:val="30"/>
        </w:rPr>
      </w:pPr>
      <w:bookmarkStart w:id="749" w:name="_Toc54862346"/>
      <w:r>
        <w:rPr>
          <w:rFonts w:hint="eastAsia" w:ascii="宋体" w:hAnsi="宋体"/>
          <w:sz w:val="30"/>
          <w:szCs w:val="30"/>
        </w:rPr>
        <w:t>第</w:t>
      </w:r>
      <w:r>
        <w:rPr>
          <w:rFonts w:ascii="宋体" w:hAnsi="宋体"/>
          <w:sz w:val="30"/>
          <w:szCs w:val="30"/>
        </w:rPr>
        <w:t>15条</w:t>
      </w:r>
      <w:r>
        <w:rPr>
          <w:rFonts w:hint="eastAsia" w:ascii="宋体" w:hAnsi="宋体"/>
          <w:sz w:val="30"/>
          <w:szCs w:val="30"/>
        </w:rPr>
        <w:t xml:space="preserve"> 违约</w:t>
      </w:r>
      <w:bookmarkEnd w:id="749"/>
    </w:p>
    <w:p w14:paraId="4CC34ADF">
      <w:pPr>
        <w:rPr>
          <w:rFonts w:ascii="宋体" w:hAnsi="宋体"/>
          <w:sz w:val="30"/>
          <w:szCs w:val="30"/>
        </w:rPr>
      </w:pPr>
      <w:r>
        <w:rPr>
          <w:rFonts w:ascii="宋体" w:hAnsi="宋体"/>
          <w:sz w:val="30"/>
          <w:szCs w:val="30"/>
        </w:rPr>
        <w:t xml:space="preserve">15.1 </w:t>
      </w:r>
      <w:r>
        <w:rPr>
          <w:rFonts w:hint="eastAsia" w:ascii="宋体" w:hAnsi="宋体"/>
          <w:sz w:val="30"/>
          <w:szCs w:val="30"/>
        </w:rPr>
        <w:t>发包人违约</w:t>
      </w:r>
    </w:p>
    <w:p w14:paraId="49B09684">
      <w:pPr>
        <w:rPr>
          <w:rFonts w:ascii="宋体" w:hAnsi="宋体"/>
          <w:sz w:val="30"/>
          <w:szCs w:val="30"/>
        </w:rPr>
      </w:pPr>
      <w:r>
        <w:rPr>
          <w:rFonts w:ascii="宋体" w:hAnsi="宋体"/>
          <w:sz w:val="30"/>
          <w:szCs w:val="30"/>
        </w:rPr>
        <w:t xml:space="preserve">15.1.1 </w:t>
      </w:r>
      <w:r>
        <w:rPr>
          <w:rFonts w:hint="eastAsia" w:ascii="宋体" w:hAnsi="宋体"/>
          <w:sz w:val="30"/>
          <w:szCs w:val="30"/>
        </w:rPr>
        <w:t>发包人违约的情形</w:t>
      </w:r>
    </w:p>
    <w:p w14:paraId="36AD6F04">
      <w:pPr>
        <w:rPr>
          <w:rFonts w:ascii="宋体" w:hAnsi="宋体"/>
          <w:sz w:val="30"/>
          <w:szCs w:val="30"/>
        </w:rPr>
      </w:pPr>
      <w:r>
        <w:rPr>
          <w:rFonts w:hint="eastAsia" w:ascii="宋体" w:hAnsi="宋体"/>
          <w:sz w:val="30"/>
          <w:szCs w:val="30"/>
        </w:rPr>
        <w:t>发包人违约的其他情形</w:t>
      </w:r>
      <w:r>
        <w:rPr>
          <w:rFonts w:ascii="宋体" w:hAnsi="宋体"/>
          <w:sz w:val="30"/>
          <w:szCs w:val="30"/>
        </w:rPr>
        <w:t xml:space="preserve">                              </w:t>
      </w:r>
      <w:r>
        <w:rPr>
          <w:rFonts w:hint="eastAsia" w:ascii="宋体" w:hAnsi="宋体"/>
          <w:sz w:val="30"/>
          <w:szCs w:val="30"/>
        </w:rPr>
        <w:t>。</w:t>
      </w:r>
    </w:p>
    <w:p w14:paraId="3D499B06">
      <w:pPr>
        <w:rPr>
          <w:rFonts w:ascii="宋体" w:hAnsi="宋体"/>
          <w:sz w:val="30"/>
          <w:szCs w:val="30"/>
        </w:rPr>
      </w:pPr>
      <w:r>
        <w:rPr>
          <w:rFonts w:ascii="宋体" w:hAnsi="宋体"/>
          <w:sz w:val="30"/>
          <w:szCs w:val="30"/>
        </w:rPr>
        <w:t xml:space="preserve">15.1.3 </w:t>
      </w:r>
      <w:r>
        <w:rPr>
          <w:rFonts w:hint="eastAsia" w:ascii="宋体" w:hAnsi="宋体"/>
          <w:sz w:val="30"/>
          <w:szCs w:val="30"/>
        </w:rPr>
        <w:t>发包人违约的责任</w:t>
      </w:r>
    </w:p>
    <w:p w14:paraId="3F8F6A72">
      <w:pPr>
        <w:rPr>
          <w:rFonts w:ascii="宋体" w:hAnsi="宋体"/>
          <w:sz w:val="30"/>
          <w:szCs w:val="30"/>
        </w:rPr>
      </w:pPr>
      <w:r>
        <w:rPr>
          <w:rFonts w:hint="eastAsia" w:ascii="宋体" w:hAnsi="宋体"/>
          <w:sz w:val="30"/>
          <w:szCs w:val="30"/>
        </w:rPr>
        <w:t>发包人违约</w:t>
      </w:r>
      <w:r>
        <w:rPr>
          <w:rFonts w:ascii="宋体" w:hAnsi="宋体"/>
          <w:sz w:val="30"/>
          <w:szCs w:val="30"/>
        </w:rPr>
        <w:t>责任</w:t>
      </w:r>
      <w:r>
        <w:rPr>
          <w:rFonts w:hint="eastAsia" w:ascii="宋体" w:hAnsi="宋体"/>
          <w:sz w:val="30"/>
          <w:szCs w:val="30"/>
        </w:rPr>
        <w:t>的</w:t>
      </w:r>
      <w:r>
        <w:rPr>
          <w:rFonts w:ascii="宋体" w:hAnsi="宋体"/>
          <w:sz w:val="30"/>
          <w:szCs w:val="30"/>
        </w:rPr>
        <w:t>承担方式</w:t>
      </w:r>
      <w:r>
        <w:rPr>
          <w:rFonts w:hint="eastAsia" w:ascii="宋体" w:hAnsi="宋体"/>
          <w:sz w:val="30"/>
          <w:szCs w:val="30"/>
        </w:rPr>
        <w:t>和</w:t>
      </w:r>
      <w:r>
        <w:rPr>
          <w:rFonts w:ascii="宋体" w:hAnsi="宋体"/>
          <w:sz w:val="30"/>
          <w:szCs w:val="30"/>
        </w:rPr>
        <w:t>计算方法</w:t>
      </w:r>
      <w:r>
        <w:rPr>
          <w:rFonts w:hint="eastAsia" w:ascii="宋体" w:hAnsi="宋体"/>
          <w:sz w:val="30"/>
          <w:szCs w:val="30"/>
        </w:rPr>
        <w:t>：</w:t>
      </w:r>
      <w:r>
        <w:rPr>
          <w:rFonts w:ascii="宋体" w:hAnsi="宋体"/>
          <w:sz w:val="30"/>
          <w:szCs w:val="30"/>
        </w:rPr>
        <w:t xml:space="preserve">              </w:t>
      </w:r>
      <w:r>
        <w:rPr>
          <w:rFonts w:hint="eastAsia" w:ascii="宋体" w:hAnsi="宋体"/>
          <w:sz w:val="30"/>
          <w:szCs w:val="30"/>
        </w:rPr>
        <w:t>。</w:t>
      </w:r>
    </w:p>
    <w:p w14:paraId="302C4D0D">
      <w:pPr>
        <w:rPr>
          <w:rFonts w:ascii="宋体" w:hAnsi="宋体"/>
          <w:sz w:val="30"/>
          <w:szCs w:val="30"/>
        </w:rPr>
      </w:pPr>
      <w:r>
        <w:rPr>
          <w:rFonts w:ascii="宋体" w:hAnsi="宋体"/>
          <w:sz w:val="30"/>
          <w:szCs w:val="30"/>
        </w:rPr>
        <w:t xml:space="preserve">15.2 </w:t>
      </w:r>
      <w:r>
        <w:rPr>
          <w:rFonts w:hint="eastAsia" w:ascii="宋体" w:hAnsi="宋体"/>
          <w:sz w:val="30"/>
          <w:szCs w:val="30"/>
        </w:rPr>
        <w:t>承包人违约</w:t>
      </w:r>
    </w:p>
    <w:p w14:paraId="22B54748">
      <w:pPr>
        <w:rPr>
          <w:rFonts w:ascii="宋体" w:hAnsi="宋体"/>
          <w:sz w:val="30"/>
          <w:szCs w:val="30"/>
        </w:rPr>
      </w:pPr>
      <w:r>
        <w:rPr>
          <w:rFonts w:ascii="宋体" w:hAnsi="宋体"/>
          <w:sz w:val="30"/>
          <w:szCs w:val="30"/>
        </w:rPr>
        <w:t xml:space="preserve">15.2.1 </w:t>
      </w:r>
      <w:r>
        <w:rPr>
          <w:rFonts w:hint="eastAsia" w:ascii="宋体" w:hAnsi="宋体"/>
          <w:sz w:val="30"/>
          <w:szCs w:val="30"/>
        </w:rPr>
        <w:t>承包人违约的情形</w:t>
      </w:r>
    </w:p>
    <w:p w14:paraId="7C71B25C">
      <w:pPr>
        <w:rPr>
          <w:rFonts w:ascii="宋体" w:hAnsi="宋体"/>
          <w:sz w:val="30"/>
          <w:szCs w:val="30"/>
        </w:rPr>
      </w:pPr>
      <w:r>
        <w:rPr>
          <w:rFonts w:hint="eastAsia" w:ascii="宋体" w:hAnsi="宋体"/>
          <w:sz w:val="30"/>
          <w:szCs w:val="30"/>
        </w:rPr>
        <w:t>承包人违约的其他情形：</w:t>
      </w:r>
      <w:r>
        <w:rPr>
          <w:rFonts w:ascii="宋体" w:hAnsi="宋体"/>
          <w:sz w:val="30"/>
          <w:szCs w:val="30"/>
        </w:rPr>
        <w:t xml:space="preserve">                             </w:t>
      </w:r>
      <w:r>
        <w:rPr>
          <w:rFonts w:hint="eastAsia" w:ascii="宋体" w:hAnsi="宋体"/>
          <w:sz w:val="30"/>
          <w:szCs w:val="30"/>
        </w:rPr>
        <w:t>。</w:t>
      </w:r>
    </w:p>
    <w:p w14:paraId="5DFDF24B">
      <w:pPr>
        <w:rPr>
          <w:rFonts w:ascii="宋体" w:hAnsi="宋体"/>
          <w:sz w:val="30"/>
          <w:szCs w:val="30"/>
        </w:rPr>
      </w:pPr>
      <w:r>
        <w:rPr>
          <w:rFonts w:ascii="宋体" w:hAnsi="宋体"/>
          <w:sz w:val="30"/>
          <w:szCs w:val="30"/>
        </w:rPr>
        <w:t xml:space="preserve">15.2.2 </w:t>
      </w:r>
      <w:r>
        <w:rPr>
          <w:rFonts w:hint="eastAsia" w:ascii="宋体" w:hAnsi="宋体"/>
          <w:sz w:val="30"/>
          <w:szCs w:val="30"/>
        </w:rPr>
        <w:t>通知改正</w:t>
      </w:r>
    </w:p>
    <w:p w14:paraId="2602B125">
      <w:pPr>
        <w:rPr>
          <w:rFonts w:ascii="宋体" w:hAnsi="宋体"/>
          <w:sz w:val="30"/>
          <w:szCs w:val="30"/>
        </w:rPr>
      </w:pPr>
      <w:r>
        <w:rPr>
          <w:rFonts w:hint="eastAsia" w:ascii="宋体" w:hAnsi="宋体"/>
          <w:sz w:val="30"/>
          <w:szCs w:val="30"/>
        </w:rPr>
        <w:t>工程师通知承包人改正的合理期限是：</w:t>
      </w:r>
      <w:r>
        <w:rPr>
          <w:rFonts w:ascii="宋体" w:hAnsi="宋体"/>
          <w:sz w:val="30"/>
          <w:szCs w:val="30"/>
        </w:rPr>
        <w:t xml:space="preserve">                 </w:t>
      </w:r>
      <w:r>
        <w:rPr>
          <w:rFonts w:hint="eastAsia" w:ascii="宋体" w:hAnsi="宋体"/>
          <w:sz w:val="30"/>
          <w:szCs w:val="30"/>
        </w:rPr>
        <w:t>。</w:t>
      </w:r>
    </w:p>
    <w:p w14:paraId="1192B977">
      <w:pPr>
        <w:rPr>
          <w:rFonts w:ascii="宋体" w:hAnsi="宋体"/>
          <w:sz w:val="30"/>
          <w:szCs w:val="30"/>
        </w:rPr>
      </w:pPr>
      <w:r>
        <w:rPr>
          <w:rFonts w:ascii="宋体" w:hAnsi="宋体"/>
          <w:sz w:val="30"/>
          <w:szCs w:val="30"/>
        </w:rPr>
        <w:t xml:space="preserve">15.2.3 </w:t>
      </w:r>
      <w:r>
        <w:rPr>
          <w:rFonts w:hint="eastAsia" w:ascii="宋体" w:hAnsi="宋体"/>
          <w:sz w:val="30"/>
          <w:szCs w:val="30"/>
        </w:rPr>
        <w:t>承包人违约的责任</w:t>
      </w:r>
    </w:p>
    <w:p w14:paraId="47E79212">
      <w:pPr>
        <w:rPr>
          <w:rFonts w:ascii="宋体" w:hAnsi="宋体"/>
          <w:sz w:val="30"/>
          <w:szCs w:val="30"/>
        </w:rPr>
      </w:pPr>
      <w:r>
        <w:rPr>
          <w:rFonts w:hint="eastAsia" w:ascii="宋体" w:hAnsi="宋体"/>
          <w:sz w:val="30"/>
          <w:szCs w:val="30"/>
        </w:rPr>
        <w:t>承包人违约</w:t>
      </w:r>
      <w:r>
        <w:rPr>
          <w:rFonts w:ascii="宋体" w:hAnsi="宋体"/>
          <w:sz w:val="30"/>
          <w:szCs w:val="30"/>
        </w:rPr>
        <w:t>责任</w:t>
      </w:r>
      <w:r>
        <w:rPr>
          <w:rFonts w:hint="eastAsia" w:ascii="宋体" w:hAnsi="宋体"/>
          <w:sz w:val="30"/>
          <w:szCs w:val="30"/>
        </w:rPr>
        <w:t>的</w:t>
      </w:r>
      <w:r>
        <w:rPr>
          <w:rFonts w:ascii="宋体" w:hAnsi="宋体"/>
          <w:sz w:val="30"/>
          <w:szCs w:val="30"/>
        </w:rPr>
        <w:t>承担方式</w:t>
      </w:r>
      <w:r>
        <w:rPr>
          <w:rFonts w:hint="eastAsia" w:ascii="宋体" w:hAnsi="宋体"/>
          <w:sz w:val="30"/>
          <w:szCs w:val="30"/>
        </w:rPr>
        <w:t>和</w:t>
      </w:r>
      <w:r>
        <w:rPr>
          <w:rFonts w:ascii="宋体" w:hAnsi="宋体"/>
          <w:sz w:val="30"/>
          <w:szCs w:val="30"/>
        </w:rPr>
        <w:t>计算方法</w:t>
      </w:r>
      <w:r>
        <w:rPr>
          <w:rFonts w:hint="eastAsia" w:ascii="宋体" w:hAnsi="宋体"/>
          <w:sz w:val="30"/>
          <w:szCs w:val="30"/>
        </w:rPr>
        <w:t>：</w:t>
      </w:r>
      <w:r>
        <w:rPr>
          <w:rFonts w:ascii="宋体" w:hAnsi="宋体"/>
          <w:sz w:val="30"/>
          <w:szCs w:val="30"/>
        </w:rPr>
        <w:t xml:space="preserve">              </w:t>
      </w:r>
      <w:r>
        <w:rPr>
          <w:rFonts w:hint="eastAsia" w:ascii="宋体" w:hAnsi="宋体"/>
          <w:sz w:val="30"/>
          <w:szCs w:val="30"/>
        </w:rPr>
        <w:t>。</w:t>
      </w:r>
    </w:p>
    <w:p w14:paraId="6ADFB8E1">
      <w:pPr>
        <w:rPr>
          <w:rFonts w:ascii="宋体" w:hAnsi="宋体"/>
          <w:sz w:val="30"/>
          <w:szCs w:val="30"/>
        </w:rPr>
      </w:pPr>
      <w:bookmarkStart w:id="750" w:name="_Toc54862347"/>
      <w:r>
        <w:rPr>
          <w:rFonts w:hint="eastAsia" w:ascii="宋体" w:hAnsi="宋体"/>
          <w:sz w:val="30"/>
          <w:szCs w:val="30"/>
        </w:rPr>
        <w:t>第</w:t>
      </w:r>
      <w:r>
        <w:rPr>
          <w:rFonts w:ascii="宋体" w:hAnsi="宋体"/>
          <w:sz w:val="30"/>
          <w:szCs w:val="30"/>
        </w:rPr>
        <w:t>16条</w:t>
      </w:r>
      <w:r>
        <w:rPr>
          <w:rFonts w:hint="eastAsia" w:ascii="宋体" w:hAnsi="宋体"/>
          <w:sz w:val="30"/>
          <w:szCs w:val="30"/>
        </w:rPr>
        <w:t xml:space="preserve"> 合同解除</w:t>
      </w:r>
      <w:bookmarkEnd w:id="750"/>
    </w:p>
    <w:p w14:paraId="3D7C071D">
      <w:pPr>
        <w:rPr>
          <w:rFonts w:ascii="宋体" w:hAnsi="宋体"/>
          <w:sz w:val="30"/>
          <w:szCs w:val="30"/>
        </w:rPr>
      </w:pPr>
      <w:r>
        <w:rPr>
          <w:rFonts w:ascii="宋体" w:hAnsi="宋体"/>
          <w:sz w:val="30"/>
          <w:szCs w:val="30"/>
        </w:rPr>
        <w:t xml:space="preserve">16.1 </w:t>
      </w:r>
      <w:r>
        <w:rPr>
          <w:rFonts w:hint="eastAsia" w:ascii="宋体" w:hAnsi="宋体"/>
          <w:sz w:val="30"/>
          <w:szCs w:val="30"/>
        </w:rPr>
        <w:t>由发包人解除合同</w:t>
      </w:r>
    </w:p>
    <w:p w14:paraId="043CF0D2">
      <w:pPr>
        <w:rPr>
          <w:rFonts w:ascii="宋体" w:hAnsi="宋体"/>
          <w:sz w:val="30"/>
          <w:szCs w:val="30"/>
        </w:rPr>
      </w:pPr>
      <w:r>
        <w:rPr>
          <w:rFonts w:ascii="宋体" w:hAnsi="宋体"/>
          <w:sz w:val="30"/>
          <w:szCs w:val="30"/>
        </w:rPr>
        <w:t xml:space="preserve">16.1.1 </w:t>
      </w:r>
      <w:r>
        <w:rPr>
          <w:rFonts w:hint="eastAsia" w:ascii="宋体" w:hAnsi="宋体"/>
          <w:sz w:val="30"/>
          <w:szCs w:val="30"/>
        </w:rPr>
        <w:t>因承包人违约解除合同</w:t>
      </w:r>
    </w:p>
    <w:p w14:paraId="6364796D">
      <w:pPr>
        <w:rPr>
          <w:rFonts w:ascii="宋体" w:hAnsi="宋体"/>
          <w:sz w:val="30"/>
          <w:szCs w:val="30"/>
        </w:rPr>
      </w:pPr>
      <w:r>
        <w:rPr>
          <w:rFonts w:hint="eastAsia" w:ascii="宋体" w:hAnsi="宋体"/>
          <w:sz w:val="30"/>
          <w:szCs w:val="30"/>
        </w:rPr>
        <w:t>双方约定可由发包人解除合同的其他事由：</w:t>
      </w:r>
      <w:r>
        <w:rPr>
          <w:rFonts w:ascii="宋体" w:hAnsi="宋体"/>
          <w:sz w:val="30"/>
          <w:szCs w:val="30"/>
        </w:rPr>
        <w:t xml:space="preserve">             </w:t>
      </w:r>
      <w:r>
        <w:rPr>
          <w:rFonts w:hint="eastAsia" w:ascii="宋体" w:hAnsi="宋体"/>
          <w:sz w:val="30"/>
          <w:szCs w:val="30"/>
        </w:rPr>
        <w:t>。</w:t>
      </w:r>
    </w:p>
    <w:p w14:paraId="1BBEF265">
      <w:pPr>
        <w:rPr>
          <w:rFonts w:ascii="宋体" w:hAnsi="宋体"/>
          <w:sz w:val="30"/>
          <w:szCs w:val="30"/>
        </w:rPr>
      </w:pPr>
      <w:r>
        <w:rPr>
          <w:rFonts w:ascii="宋体" w:hAnsi="宋体"/>
          <w:sz w:val="30"/>
          <w:szCs w:val="30"/>
        </w:rPr>
        <w:t xml:space="preserve">16.2 </w:t>
      </w:r>
      <w:r>
        <w:rPr>
          <w:rFonts w:hint="eastAsia" w:ascii="宋体" w:hAnsi="宋体"/>
          <w:sz w:val="30"/>
          <w:szCs w:val="30"/>
        </w:rPr>
        <w:t>由承包人解除合同</w:t>
      </w:r>
    </w:p>
    <w:p w14:paraId="5EC0FD6A">
      <w:pPr>
        <w:rPr>
          <w:rFonts w:ascii="宋体" w:hAnsi="宋体"/>
          <w:sz w:val="30"/>
          <w:szCs w:val="30"/>
        </w:rPr>
      </w:pPr>
      <w:r>
        <w:rPr>
          <w:rFonts w:ascii="宋体" w:hAnsi="宋体"/>
          <w:sz w:val="30"/>
          <w:szCs w:val="30"/>
        </w:rPr>
        <w:t xml:space="preserve">16.2.1 </w:t>
      </w:r>
      <w:r>
        <w:rPr>
          <w:rFonts w:hint="eastAsia" w:ascii="宋体" w:hAnsi="宋体"/>
          <w:sz w:val="30"/>
          <w:szCs w:val="30"/>
        </w:rPr>
        <w:t>因发包人违约解除合同</w:t>
      </w:r>
    </w:p>
    <w:p w14:paraId="0FE998CE">
      <w:pPr>
        <w:rPr>
          <w:rFonts w:ascii="宋体" w:hAnsi="宋体"/>
          <w:sz w:val="30"/>
          <w:szCs w:val="30"/>
        </w:rPr>
      </w:pPr>
      <w:r>
        <w:rPr>
          <w:rFonts w:hint="eastAsia" w:ascii="宋体" w:hAnsi="宋体"/>
          <w:sz w:val="30"/>
          <w:szCs w:val="30"/>
        </w:rPr>
        <w:t>双方约定可由承包人解除合同的其他事由：</w:t>
      </w:r>
      <w:r>
        <w:rPr>
          <w:rFonts w:ascii="宋体" w:hAnsi="宋体"/>
          <w:sz w:val="30"/>
          <w:szCs w:val="30"/>
        </w:rPr>
        <w:t xml:space="preserve">             </w:t>
      </w:r>
      <w:r>
        <w:rPr>
          <w:rFonts w:hint="eastAsia" w:ascii="宋体" w:hAnsi="宋体"/>
          <w:sz w:val="30"/>
          <w:szCs w:val="30"/>
        </w:rPr>
        <w:t>。</w:t>
      </w:r>
    </w:p>
    <w:p w14:paraId="428218AB">
      <w:pPr>
        <w:rPr>
          <w:rFonts w:ascii="宋体" w:hAnsi="宋体"/>
          <w:sz w:val="30"/>
          <w:szCs w:val="30"/>
        </w:rPr>
      </w:pPr>
      <w:bookmarkStart w:id="751" w:name="_Toc54862348"/>
      <w:r>
        <w:rPr>
          <w:rFonts w:hint="eastAsia" w:ascii="宋体" w:hAnsi="宋体"/>
          <w:sz w:val="30"/>
          <w:szCs w:val="30"/>
        </w:rPr>
        <w:t>第</w:t>
      </w:r>
      <w:r>
        <w:rPr>
          <w:rFonts w:ascii="宋体" w:hAnsi="宋体"/>
          <w:sz w:val="30"/>
          <w:szCs w:val="30"/>
        </w:rPr>
        <w:t>17条</w:t>
      </w:r>
      <w:r>
        <w:rPr>
          <w:rFonts w:hint="eastAsia" w:ascii="宋体" w:hAnsi="宋体"/>
          <w:sz w:val="30"/>
          <w:szCs w:val="30"/>
        </w:rPr>
        <w:t xml:space="preserve"> 不可抗力</w:t>
      </w:r>
      <w:bookmarkEnd w:id="751"/>
    </w:p>
    <w:p w14:paraId="47C3FBCD">
      <w:pPr>
        <w:rPr>
          <w:rFonts w:ascii="宋体" w:hAnsi="宋体"/>
          <w:sz w:val="30"/>
          <w:szCs w:val="30"/>
        </w:rPr>
      </w:pPr>
      <w:r>
        <w:rPr>
          <w:rFonts w:ascii="宋体" w:hAnsi="宋体"/>
          <w:sz w:val="30"/>
          <w:szCs w:val="30"/>
        </w:rPr>
        <w:t xml:space="preserve">17.1 </w:t>
      </w:r>
      <w:r>
        <w:rPr>
          <w:rFonts w:hint="eastAsia" w:ascii="宋体" w:hAnsi="宋体"/>
          <w:sz w:val="30"/>
          <w:szCs w:val="30"/>
        </w:rPr>
        <w:t>不可抗力的定义</w:t>
      </w:r>
    </w:p>
    <w:p w14:paraId="45867963">
      <w:pPr>
        <w:rPr>
          <w:rFonts w:ascii="宋体" w:hAnsi="宋体"/>
          <w:sz w:val="30"/>
          <w:szCs w:val="30"/>
        </w:rPr>
      </w:pPr>
      <w:r>
        <w:rPr>
          <w:rFonts w:ascii="宋体" w:hAnsi="宋体"/>
          <w:sz w:val="30"/>
          <w:szCs w:val="30"/>
        </w:rPr>
        <w:t xml:space="preserve">除通用合同条件约定的不可抗力事件之外，视为不可抗力的其他情形：                                            </w:t>
      </w:r>
      <w:r>
        <w:rPr>
          <w:rFonts w:hint="eastAsia" w:ascii="宋体" w:hAnsi="宋体"/>
          <w:sz w:val="30"/>
          <w:szCs w:val="30"/>
        </w:rPr>
        <w:t>。</w:t>
      </w:r>
    </w:p>
    <w:p w14:paraId="718A797A">
      <w:pPr>
        <w:rPr>
          <w:rFonts w:ascii="宋体" w:hAnsi="宋体"/>
          <w:sz w:val="30"/>
          <w:szCs w:val="30"/>
        </w:rPr>
      </w:pPr>
      <w:r>
        <w:rPr>
          <w:rFonts w:ascii="宋体" w:hAnsi="宋体"/>
          <w:sz w:val="30"/>
          <w:szCs w:val="30"/>
        </w:rPr>
        <w:t xml:space="preserve">17.6 </w:t>
      </w:r>
      <w:r>
        <w:rPr>
          <w:rFonts w:hint="eastAsia" w:ascii="宋体" w:hAnsi="宋体"/>
          <w:sz w:val="30"/>
          <w:szCs w:val="30"/>
        </w:rPr>
        <w:t>因不可抗力解除合同</w:t>
      </w:r>
    </w:p>
    <w:p w14:paraId="255D2B6E">
      <w:pPr>
        <w:rPr>
          <w:rFonts w:ascii="宋体" w:hAnsi="宋体"/>
          <w:sz w:val="30"/>
          <w:szCs w:val="30"/>
        </w:rPr>
      </w:pPr>
      <w:r>
        <w:rPr>
          <w:rFonts w:ascii="宋体" w:hAnsi="宋体"/>
          <w:sz w:val="30"/>
          <w:szCs w:val="30"/>
        </w:rPr>
        <w:t>合同解除后，发包人应</w:t>
      </w:r>
      <w:r>
        <w:rPr>
          <w:rFonts w:hint="eastAsia" w:ascii="宋体" w:hAnsi="宋体"/>
          <w:sz w:val="30"/>
          <w:szCs w:val="30"/>
        </w:rPr>
        <w:t>当</w:t>
      </w:r>
      <w:r>
        <w:rPr>
          <w:rFonts w:ascii="宋体" w:hAnsi="宋体"/>
          <w:sz w:val="30"/>
          <w:szCs w:val="30"/>
        </w:rPr>
        <w:t>在商定或确定发包人应支付款项后</w:t>
      </w:r>
      <w:r>
        <w:rPr>
          <w:rFonts w:hint="eastAsia" w:ascii="宋体" w:hAnsi="宋体"/>
          <w:sz w:val="30"/>
          <w:szCs w:val="30"/>
        </w:rPr>
        <w:t xml:space="preserve">的 </w:t>
      </w:r>
      <w:r>
        <w:rPr>
          <w:rFonts w:ascii="宋体" w:hAnsi="宋体"/>
          <w:sz w:val="30"/>
          <w:szCs w:val="30"/>
        </w:rPr>
        <w:t xml:space="preserve">      天内完成款项的支付。</w:t>
      </w:r>
    </w:p>
    <w:p w14:paraId="684822AE">
      <w:pPr>
        <w:rPr>
          <w:rFonts w:ascii="宋体" w:hAnsi="宋体"/>
          <w:sz w:val="30"/>
          <w:szCs w:val="30"/>
        </w:rPr>
      </w:pPr>
      <w:bookmarkStart w:id="752" w:name="_Toc4784277"/>
      <w:bookmarkEnd w:id="752"/>
      <w:bookmarkStart w:id="753" w:name="_Toc4784276"/>
      <w:bookmarkEnd w:id="753"/>
      <w:bookmarkStart w:id="754" w:name="_Toc54862349"/>
      <w:r>
        <w:rPr>
          <w:rFonts w:hint="eastAsia" w:ascii="宋体" w:hAnsi="宋体"/>
          <w:sz w:val="30"/>
          <w:szCs w:val="30"/>
        </w:rPr>
        <w:t>第1</w:t>
      </w:r>
      <w:r>
        <w:rPr>
          <w:rFonts w:ascii="宋体" w:hAnsi="宋体"/>
          <w:sz w:val="30"/>
          <w:szCs w:val="30"/>
        </w:rPr>
        <w:t>8</w:t>
      </w:r>
      <w:r>
        <w:rPr>
          <w:rFonts w:hint="eastAsia" w:ascii="宋体" w:hAnsi="宋体"/>
          <w:sz w:val="30"/>
          <w:szCs w:val="30"/>
        </w:rPr>
        <w:t>条</w:t>
      </w:r>
      <w:r>
        <w:rPr>
          <w:rFonts w:ascii="宋体" w:hAnsi="宋体"/>
          <w:sz w:val="30"/>
          <w:szCs w:val="30"/>
        </w:rPr>
        <w:t xml:space="preserve"> </w:t>
      </w:r>
      <w:r>
        <w:rPr>
          <w:rFonts w:hint="eastAsia" w:ascii="宋体" w:hAnsi="宋体"/>
          <w:sz w:val="30"/>
          <w:szCs w:val="30"/>
        </w:rPr>
        <w:t>保险</w:t>
      </w:r>
      <w:bookmarkEnd w:id="754"/>
    </w:p>
    <w:p w14:paraId="1DCFE52D">
      <w:pPr>
        <w:rPr>
          <w:rFonts w:ascii="宋体" w:hAnsi="宋体"/>
          <w:sz w:val="30"/>
          <w:szCs w:val="30"/>
        </w:rPr>
      </w:pPr>
      <w:r>
        <w:rPr>
          <w:rFonts w:ascii="宋体" w:hAnsi="宋体"/>
          <w:sz w:val="30"/>
          <w:szCs w:val="30"/>
        </w:rPr>
        <w:t xml:space="preserve">18.1 </w:t>
      </w:r>
      <w:r>
        <w:rPr>
          <w:rFonts w:hint="eastAsia" w:ascii="宋体" w:hAnsi="宋体"/>
          <w:sz w:val="30"/>
          <w:szCs w:val="30"/>
        </w:rPr>
        <w:t>设计和工程保险</w:t>
      </w:r>
    </w:p>
    <w:p w14:paraId="040E324A">
      <w:pPr>
        <w:rPr>
          <w:rFonts w:ascii="宋体" w:hAnsi="宋体"/>
          <w:sz w:val="30"/>
          <w:szCs w:val="30"/>
        </w:rPr>
      </w:pPr>
      <w:r>
        <w:rPr>
          <w:rFonts w:hint="eastAsia" w:ascii="宋体" w:hAnsi="宋体"/>
          <w:sz w:val="30"/>
          <w:szCs w:val="30"/>
        </w:rPr>
        <w:t>1</w:t>
      </w:r>
      <w:r>
        <w:rPr>
          <w:rFonts w:ascii="宋体" w:hAnsi="宋体"/>
          <w:sz w:val="30"/>
          <w:szCs w:val="30"/>
        </w:rPr>
        <w:t xml:space="preserve">8.1.1 </w:t>
      </w:r>
      <w:r>
        <w:rPr>
          <w:rFonts w:hint="eastAsia" w:ascii="宋体" w:hAnsi="宋体"/>
          <w:sz w:val="30"/>
          <w:szCs w:val="30"/>
        </w:rPr>
        <w:t>双方当事人</w:t>
      </w:r>
      <w:r>
        <w:rPr>
          <w:rFonts w:ascii="宋体" w:hAnsi="宋体"/>
          <w:sz w:val="30"/>
          <w:szCs w:val="30"/>
        </w:rPr>
        <w:t>关于</w:t>
      </w:r>
      <w:r>
        <w:rPr>
          <w:rFonts w:hint="eastAsia" w:ascii="宋体" w:hAnsi="宋体"/>
          <w:sz w:val="30"/>
          <w:szCs w:val="30"/>
        </w:rPr>
        <w:t>设计和工程保险</w:t>
      </w:r>
      <w:r>
        <w:rPr>
          <w:rFonts w:ascii="宋体" w:hAnsi="宋体"/>
          <w:sz w:val="30"/>
          <w:szCs w:val="30"/>
        </w:rPr>
        <w:t>的特别</w:t>
      </w:r>
      <w:r>
        <w:rPr>
          <w:rFonts w:hint="eastAsia" w:ascii="宋体" w:hAnsi="宋体"/>
          <w:sz w:val="30"/>
          <w:szCs w:val="30"/>
        </w:rPr>
        <w:t>约</w:t>
      </w:r>
      <w:r>
        <w:rPr>
          <w:rFonts w:ascii="宋体" w:hAnsi="宋体"/>
          <w:sz w:val="30"/>
          <w:szCs w:val="30"/>
        </w:rPr>
        <w:t>定</w:t>
      </w:r>
      <w:r>
        <w:rPr>
          <w:rFonts w:hint="eastAsia" w:ascii="宋体" w:hAnsi="宋体"/>
          <w:sz w:val="30"/>
          <w:szCs w:val="30"/>
        </w:rPr>
        <w:t>：</w:t>
      </w:r>
      <w:r>
        <w:rPr>
          <w:rFonts w:ascii="宋体" w:hAnsi="宋体"/>
          <w:sz w:val="30"/>
          <w:szCs w:val="30"/>
        </w:rPr>
        <w:t xml:space="preserve">                                                  </w:t>
      </w:r>
      <w:r>
        <w:rPr>
          <w:rFonts w:hint="eastAsia" w:ascii="宋体" w:hAnsi="宋体"/>
          <w:sz w:val="30"/>
          <w:szCs w:val="30"/>
        </w:rPr>
        <w:t>。</w:t>
      </w:r>
    </w:p>
    <w:p w14:paraId="4CDDD868">
      <w:pPr>
        <w:rPr>
          <w:rFonts w:ascii="宋体" w:hAnsi="宋体"/>
          <w:sz w:val="30"/>
          <w:szCs w:val="30"/>
        </w:rPr>
      </w:pPr>
      <w:r>
        <w:rPr>
          <w:rFonts w:hint="eastAsia" w:ascii="宋体" w:hAnsi="宋体"/>
          <w:sz w:val="30"/>
          <w:szCs w:val="30"/>
        </w:rPr>
        <w:t>1</w:t>
      </w:r>
      <w:r>
        <w:rPr>
          <w:rFonts w:ascii="宋体" w:hAnsi="宋体"/>
          <w:sz w:val="30"/>
          <w:szCs w:val="30"/>
        </w:rPr>
        <w:t xml:space="preserve">8.1.2 </w:t>
      </w:r>
      <w:r>
        <w:rPr>
          <w:rFonts w:hint="eastAsia" w:ascii="宋体" w:hAnsi="宋体"/>
          <w:sz w:val="30"/>
          <w:szCs w:val="30"/>
        </w:rPr>
        <w:t>双方当事人</w:t>
      </w:r>
      <w:r>
        <w:rPr>
          <w:rFonts w:ascii="宋体" w:hAnsi="宋体"/>
          <w:sz w:val="30"/>
          <w:szCs w:val="30"/>
        </w:rPr>
        <w:t>关于</w:t>
      </w:r>
      <w:r>
        <w:rPr>
          <w:rFonts w:hint="eastAsia" w:ascii="宋体" w:hAnsi="宋体"/>
          <w:sz w:val="30"/>
          <w:szCs w:val="30"/>
        </w:rPr>
        <w:t>第三方责任险</w:t>
      </w:r>
      <w:r>
        <w:rPr>
          <w:rFonts w:ascii="宋体" w:hAnsi="宋体"/>
          <w:sz w:val="30"/>
          <w:szCs w:val="30"/>
        </w:rPr>
        <w:t>的特别</w:t>
      </w:r>
      <w:r>
        <w:rPr>
          <w:rFonts w:hint="eastAsia" w:ascii="宋体" w:hAnsi="宋体"/>
          <w:sz w:val="30"/>
          <w:szCs w:val="30"/>
        </w:rPr>
        <w:t>约</w:t>
      </w:r>
      <w:r>
        <w:rPr>
          <w:rFonts w:ascii="宋体" w:hAnsi="宋体"/>
          <w:sz w:val="30"/>
          <w:szCs w:val="30"/>
        </w:rPr>
        <w:t xml:space="preserve">定：                                                  </w:t>
      </w:r>
      <w:r>
        <w:rPr>
          <w:rFonts w:hint="eastAsia" w:ascii="宋体" w:hAnsi="宋体"/>
          <w:sz w:val="30"/>
          <w:szCs w:val="30"/>
        </w:rPr>
        <w:t>。</w:t>
      </w:r>
    </w:p>
    <w:p w14:paraId="7D328EC6">
      <w:pPr>
        <w:rPr>
          <w:rFonts w:ascii="宋体" w:hAnsi="宋体"/>
          <w:sz w:val="30"/>
          <w:szCs w:val="30"/>
        </w:rPr>
      </w:pPr>
      <w:r>
        <w:rPr>
          <w:rFonts w:ascii="宋体" w:hAnsi="宋体"/>
          <w:sz w:val="30"/>
          <w:szCs w:val="30"/>
        </w:rPr>
        <w:t xml:space="preserve">18.2 </w:t>
      </w:r>
      <w:r>
        <w:rPr>
          <w:rFonts w:hint="eastAsia" w:ascii="宋体" w:hAnsi="宋体"/>
          <w:sz w:val="30"/>
          <w:szCs w:val="30"/>
        </w:rPr>
        <w:t>工伤和意外伤害保险</w:t>
      </w:r>
    </w:p>
    <w:p w14:paraId="7D503456">
      <w:pPr>
        <w:rPr>
          <w:rFonts w:ascii="宋体" w:hAnsi="宋体"/>
          <w:sz w:val="30"/>
          <w:szCs w:val="30"/>
        </w:rPr>
      </w:pPr>
      <w:r>
        <w:rPr>
          <w:rFonts w:hint="eastAsia" w:ascii="宋体" w:hAnsi="宋体"/>
          <w:sz w:val="30"/>
          <w:szCs w:val="30"/>
        </w:rPr>
        <w:t>1</w:t>
      </w:r>
      <w:r>
        <w:rPr>
          <w:rFonts w:ascii="宋体" w:hAnsi="宋体"/>
          <w:sz w:val="30"/>
          <w:szCs w:val="30"/>
        </w:rPr>
        <w:t>8.2.3 关于</w:t>
      </w:r>
      <w:r>
        <w:rPr>
          <w:rFonts w:hint="eastAsia" w:ascii="宋体" w:hAnsi="宋体"/>
          <w:sz w:val="30"/>
          <w:szCs w:val="30"/>
        </w:rPr>
        <w:t>工伤保险和意外伤害保险</w:t>
      </w:r>
      <w:r>
        <w:rPr>
          <w:rFonts w:ascii="宋体" w:hAnsi="宋体"/>
          <w:sz w:val="30"/>
          <w:szCs w:val="30"/>
        </w:rPr>
        <w:t>的特别</w:t>
      </w:r>
      <w:r>
        <w:rPr>
          <w:rFonts w:hint="eastAsia" w:ascii="宋体" w:hAnsi="宋体"/>
          <w:sz w:val="30"/>
          <w:szCs w:val="30"/>
        </w:rPr>
        <w:t>约</w:t>
      </w:r>
      <w:r>
        <w:rPr>
          <w:rFonts w:ascii="宋体" w:hAnsi="宋体"/>
          <w:sz w:val="30"/>
          <w:szCs w:val="30"/>
        </w:rPr>
        <w:t xml:space="preserve">定：                                                  </w:t>
      </w:r>
      <w:r>
        <w:rPr>
          <w:rFonts w:hint="eastAsia" w:ascii="宋体" w:hAnsi="宋体"/>
          <w:sz w:val="30"/>
          <w:szCs w:val="30"/>
        </w:rPr>
        <w:t>。</w:t>
      </w:r>
    </w:p>
    <w:p w14:paraId="027DE578">
      <w:pPr>
        <w:rPr>
          <w:rFonts w:ascii="宋体" w:hAnsi="宋体"/>
          <w:sz w:val="30"/>
          <w:szCs w:val="30"/>
        </w:rPr>
      </w:pPr>
      <w:r>
        <w:rPr>
          <w:rFonts w:ascii="宋体" w:hAnsi="宋体"/>
          <w:sz w:val="30"/>
          <w:szCs w:val="30"/>
        </w:rPr>
        <w:t xml:space="preserve">18.3 </w:t>
      </w:r>
      <w:r>
        <w:rPr>
          <w:rFonts w:hint="eastAsia" w:ascii="宋体" w:hAnsi="宋体"/>
          <w:sz w:val="30"/>
          <w:szCs w:val="30"/>
        </w:rPr>
        <w:t>货物保险</w:t>
      </w:r>
    </w:p>
    <w:p w14:paraId="399C90F6">
      <w:pPr>
        <w:rPr>
          <w:rFonts w:ascii="宋体" w:hAnsi="宋体"/>
          <w:sz w:val="30"/>
          <w:szCs w:val="30"/>
        </w:rPr>
      </w:pPr>
      <w:r>
        <w:rPr>
          <w:rFonts w:hint="eastAsia" w:ascii="宋体" w:hAnsi="宋体"/>
          <w:sz w:val="30"/>
          <w:szCs w:val="30"/>
        </w:rPr>
        <w:t>关于承包人应为其施工设备、材料、工程设备和临时工程等办理财产</w:t>
      </w:r>
      <w:r>
        <w:rPr>
          <w:rFonts w:ascii="宋体" w:hAnsi="宋体"/>
          <w:sz w:val="30"/>
          <w:szCs w:val="30"/>
        </w:rPr>
        <w:t>保险的特别</w:t>
      </w:r>
      <w:r>
        <w:rPr>
          <w:rFonts w:hint="eastAsia" w:ascii="宋体" w:hAnsi="宋体"/>
          <w:sz w:val="30"/>
          <w:szCs w:val="30"/>
        </w:rPr>
        <w:t>约</w:t>
      </w:r>
      <w:r>
        <w:rPr>
          <w:rFonts w:ascii="宋体" w:hAnsi="宋体"/>
          <w:sz w:val="30"/>
          <w:szCs w:val="30"/>
        </w:rPr>
        <w:t xml:space="preserve">定：                              </w:t>
      </w:r>
      <w:r>
        <w:rPr>
          <w:rFonts w:hint="eastAsia" w:ascii="宋体" w:hAnsi="宋体"/>
          <w:sz w:val="30"/>
          <w:szCs w:val="30"/>
        </w:rPr>
        <w:t>。</w:t>
      </w:r>
    </w:p>
    <w:p w14:paraId="174E498D">
      <w:pPr>
        <w:rPr>
          <w:rFonts w:ascii="宋体" w:hAnsi="宋体"/>
          <w:sz w:val="30"/>
          <w:szCs w:val="30"/>
        </w:rPr>
      </w:pPr>
      <w:r>
        <w:rPr>
          <w:rFonts w:ascii="宋体" w:hAnsi="宋体"/>
          <w:sz w:val="30"/>
          <w:szCs w:val="30"/>
        </w:rPr>
        <w:t xml:space="preserve">18.4 </w:t>
      </w:r>
      <w:r>
        <w:rPr>
          <w:rFonts w:hint="eastAsia" w:ascii="宋体" w:hAnsi="宋体"/>
          <w:sz w:val="30"/>
          <w:szCs w:val="30"/>
        </w:rPr>
        <w:t>其他保险</w:t>
      </w:r>
    </w:p>
    <w:p w14:paraId="17D86147">
      <w:pPr>
        <w:rPr>
          <w:rFonts w:ascii="宋体" w:hAnsi="宋体"/>
          <w:sz w:val="30"/>
          <w:szCs w:val="30"/>
        </w:rPr>
      </w:pPr>
      <w:r>
        <w:rPr>
          <w:rFonts w:hint="eastAsia" w:ascii="宋体" w:hAnsi="宋体"/>
          <w:sz w:val="30"/>
          <w:szCs w:val="30"/>
        </w:rPr>
        <w:t>关于其他保险的约定：</w:t>
      </w:r>
      <w:r>
        <w:rPr>
          <w:rFonts w:ascii="宋体" w:hAnsi="宋体"/>
          <w:sz w:val="30"/>
          <w:szCs w:val="30"/>
        </w:rPr>
        <w:t xml:space="preserve">                              </w:t>
      </w:r>
      <w:r>
        <w:rPr>
          <w:rFonts w:hint="eastAsia" w:ascii="宋体" w:hAnsi="宋体"/>
          <w:sz w:val="30"/>
          <w:szCs w:val="30"/>
        </w:rPr>
        <w:t>。</w:t>
      </w:r>
    </w:p>
    <w:p w14:paraId="45716117">
      <w:pPr>
        <w:rPr>
          <w:rFonts w:ascii="宋体" w:hAnsi="宋体"/>
          <w:sz w:val="30"/>
          <w:szCs w:val="30"/>
        </w:rPr>
      </w:pPr>
      <w:r>
        <w:rPr>
          <w:rFonts w:ascii="宋体" w:hAnsi="宋体"/>
          <w:sz w:val="30"/>
          <w:szCs w:val="30"/>
        </w:rPr>
        <w:t xml:space="preserve">18.5 </w:t>
      </w:r>
      <w:r>
        <w:rPr>
          <w:rFonts w:hint="eastAsia" w:ascii="宋体" w:hAnsi="宋体"/>
          <w:sz w:val="30"/>
          <w:szCs w:val="30"/>
        </w:rPr>
        <w:t>对各项保险的一般要求</w:t>
      </w:r>
    </w:p>
    <w:p w14:paraId="56CAF74A">
      <w:pPr>
        <w:rPr>
          <w:rFonts w:ascii="宋体" w:hAnsi="宋体"/>
          <w:sz w:val="30"/>
          <w:szCs w:val="30"/>
        </w:rPr>
      </w:pPr>
      <w:r>
        <w:rPr>
          <w:rFonts w:ascii="宋体" w:hAnsi="宋体"/>
          <w:sz w:val="30"/>
          <w:szCs w:val="30"/>
        </w:rPr>
        <w:t>18.5.2 保险凭证</w:t>
      </w:r>
    </w:p>
    <w:p w14:paraId="573978C9">
      <w:pPr>
        <w:rPr>
          <w:rFonts w:ascii="宋体" w:hAnsi="宋体"/>
          <w:sz w:val="30"/>
          <w:szCs w:val="30"/>
        </w:rPr>
      </w:pPr>
      <w:r>
        <w:rPr>
          <w:rFonts w:hint="eastAsia" w:ascii="宋体" w:hAnsi="宋体"/>
          <w:sz w:val="30"/>
          <w:szCs w:val="30"/>
        </w:rPr>
        <w:t>保险单的条件：</w:t>
      </w:r>
      <w:r>
        <w:rPr>
          <w:rFonts w:ascii="宋体" w:hAnsi="宋体"/>
          <w:sz w:val="30"/>
          <w:szCs w:val="30"/>
        </w:rPr>
        <w:t xml:space="preserve">                                    </w:t>
      </w:r>
      <w:r>
        <w:rPr>
          <w:rFonts w:hint="eastAsia" w:ascii="宋体" w:hAnsi="宋体"/>
          <w:sz w:val="30"/>
          <w:szCs w:val="30"/>
        </w:rPr>
        <w:t>。</w:t>
      </w:r>
    </w:p>
    <w:p w14:paraId="361C9FE0">
      <w:pPr>
        <w:rPr>
          <w:rFonts w:ascii="宋体" w:hAnsi="宋体"/>
          <w:sz w:val="30"/>
          <w:szCs w:val="30"/>
        </w:rPr>
      </w:pPr>
      <w:r>
        <w:rPr>
          <w:rFonts w:ascii="宋体" w:hAnsi="宋体"/>
          <w:sz w:val="30"/>
          <w:szCs w:val="30"/>
        </w:rPr>
        <w:t>18.5.4 通知义务</w:t>
      </w:r>
    </w:p>
    <w:p w14:paraId="2083CF9B">
      <w:pPr>
        <w:rPr>
          <w:rFonts w:ascii="宋体" w:hAnsi="宋体"/>
          <w:sz w:val="30"/>
          <w:szCs w:val="30"/>
        </w:rPr>
      </w:pPr>
      <w:r>
        <w:rPr>
          <w:rFonts w:hint="eastAsia" w:ascii="宋体" w:hAnsi="宋体"/>
          <w:sz w:val="30"/>
          <w:szCs w:val="30"/>
        </w:rPr>
        <w:t>关于变更保险合同时的通知义务的约定：</w:t>
      </w:r>
      <w:r>
        <w:rPr>
          <w:rFonts w:ascii="宋体" w:hAnsi="宋体"/>
          <w:sz w:val="30"/>
          <w:szCs w:val="30"/>
        </w:rPr>
        <w:t xml:space="preserve">               </w:t>
      </w:r>
      <w:r>
        <w:rPr>
          <w:rFonts w:hint="eastAsia" w:ascii="宋体" w:hAnsi="宋体"/>
          <w:sz w:val="30"/>
          <w:szCs w:val="30"/>
        </w:rPr>
        <w:t>。</w:t>
      </w:r>
    </w:p>
    <w:p w14:paraId="78F313E5">
      <w:pPr>
        <w:rPr>
          <w:rFonts w:ascii="宋体" w:hAnsi="宋体"/>
          <w:sz w:val="30"/>
          <w:szCs w:val="30"/>
        </w:rPr>
      </w:pPr>
      <w:bookmarkStart w:id="755" w:name="_Toc54862350"/>
      <w:r>
        <w:rPr>
          <w:rFonts w:hint="eastAsia" w:ascii="宋体" w:hAnsi="宋体"/>
          <w:sz w:val="30"/>
          <w:szCs w:val="30"/>
        </w:rPr>
        <w:t>第</w:t>
      </w:r>
      <w:r>
        <w:rPr>
          <w:rFonts w:ascii="宋体" w:hAnsi="宋体"/>
          <w:sz w:val="30"/>
          <w:szCs w:val="30"/>
        </w:rPr>
        <w:t>20条</w:t>
      </w:r>
      <w:r>
        <w:rPr>
          <w:rFonts w:hint="eastAsia" w:ascii="宋体" w:hAnsi="宋体"/>
          <w:sz w:val="30"/>
          <w:szCs w:val="30"/>
        </w:rPr>
        <w:t xml:space="preserve"> 争议解决</w:t>
      </w:r>
      <w:bookmarkEnd w:id="755"/>
    </w:p>
    <w:p w14:paraId="3A6832FD">
      <w:pPr>
        <w:rPr>
          <w:rFonts w:ascii="宋体" w:hAnsi="宋体"/>
          <w:sz w:val="30"/>
          <w:szCs w:val="30"/>
        </w:rPr>
      </w:pPr>
      <w:r>
        <w:rPr>
          <w:rFonts w:ascii="宋体" w:hAnsi="宋体"/>
          <w:sz w:val="30"/>
          <w:szCs w:val="30"/>
        </w:rPr>
        <w:t xml:space="preserve">20.3 </w:t>
      </w:r>
      <w:r>
        <w:rPr>
          <w:rFonts w:hint="eastAsia" w:ascii="宋体" w:hAnsi="宋体"/>
          <w:sz w:val="30"/>
          <w:szCs w:val="30"/>
        </w:rPr>
        <w:t>争议评审</w:t>
      </w:r>
    </w:p>
    <w:p w14:paraId="27FD2535">
      <w:pPr>
        <w:rPr>
          <w:rFonts w:ascii="宋体" w:hAnsi="宋体"/>
          <w:sz w:val="30"/>
          <w:szCs w:val="30"/>
        </w:rPr>
      </w:pPr>
      <w:r>
        <w:rPr>
          <w:rFonts w:hint="eastAsia" w:ascii="宋体" w:hAnsi="宋体"/>
          <w:sz w:val="30"/>
          <w:szCs w:val="30"/>
        </w:rPr>
        <w:t xml:space="preserve">合同当事人是否同意将工程争议提交争议评审小组决定： </w:t>
      </w:r>
      <w:r>
        <w:rPr>
          <w:rFonts w:ascii="宋体" w:hAnsi="宋体"/>
          <w:sz w:val="30"/>
          <w:szCs w:val="30"/>
        </w:rPr>
        <w:t xml:space="preserve">                                                 </w:t>
      </w:r>
      <w:r>
        <w:rPr>
          <w:rFonts w:hint="eastAsia" w:ascii="宋体" w:hAnsi="宋体"/>
          <w:sz w:val="30"/>
          <w:szCs w:val="30"/>
        </w:rPr>
        <w:t>。</w:t>
      </w:r>
    </w:p>
    <w:p w14:paraId="09AA2BD7">
      <w:pPr>
        <w:rPr>
          <w:rFonts w:ascii="宋体" w:hAnsi="宋体"/>
          <w:sz w:val="30"/>
          <w:szCs w:val="30"/>
        </w:rPr>
      </w:pPr>
      <w:r>
        <w:rPr>
          <w:rFonts w:ascii="宋体" w:hAnsi="宋体"/>
          <w:sz w:val="30"/>
          <w:szCs w:val="30"/>
        </w:rPr>
        <w:t>20.3.1</w:t>
      </w:r>
      <w:r>
        <w:rPr>
          <w:rFonts w:hint="eastAsia" w:ascii="宋体" w:hAnsi="宋体"/>
          <w:sz w:val="30"/>
          <w:szCs w:val="30"/>
        </w:rPr>
        <w:t xml:space="preserve"> 争议评审小组</w:t>
      </w:r>
      <w:r>
        <w:rPr>
          <w:rFonts w:ascii="宋体" w:hAnsi="宋体"/>
          <w:sz w:val="30"/>
          <w:szCs w:val="30"/>
        </w:rPr>
        <w:t>的确定</w:t>
      </w:r>
    </w:p>
    <w:p w14:paraId="3B4EB657">
      <w:pPr>
        <w:rPr>
          <w:rFonts w:ascii="宋体" w:hAnsi="宋体"/>
          <w:sz w:val="30"/>
          <w:szCs w:val="30"/>
        </w:rPr>
      </w:pPr>
      <w:r>
        <w:rPr>
          <w:rFonts w:hint="eastAsia" w:ascii="宋体" w:hAnsi="宋体"/>
          <w:sz w:val="30"/>
          <w:szCs w:val="30"/>
        </w:rPr>
        <w:t>争议评审小组成员的人数：</w:t>
      </w:r>
      <w:r>
        <w:rPr>
          <w:rFonts w:ascii="宋体" w:hAnsi="宋体"/>
          <w:sz w:val="30"/>
          <w:szCs w:val="30"/>
        </w:rPr>
        <w:t xml:space="preserve">                          。</w:t>
      </w:r>
    </w:p>
    <w:p w14:paraId="5388E808">
      <w:pPr>
        <w:rPr>
          <w:rFonts w:ascii="宋体" w:hAnsi="宋体"/>
          <w:sz w:val="30"/>
          <w:szCs w:val="30"/>
        </w:rPr>
      </w:pPr>
      <w:r>
        <w:rPr>
          <w:rFonts w:hint="eastAsia" w:ascii="宋体" w:hAnsi="宋体"/>
          <w:sz w:val="30"/>
          <w:szCs w:val="30"/>
        </w:rPr>
        <w:t>争议评审小组成员的确定：</w:t>
      </w:r>
      <w:r>
        <w:rPr>
          <w:rFonts w:ascii="宋体" w:hAnsi="宋体"/>
          <w:sz w:val="30"/>
          <w:szCs w:val="30"/>
        </w:rPr>
        <w:t xml:space="preserve">                          。</w:t>
      </w:r>
    </w:p>
    <w:p w14:paraId="0E5BD8C3">
      <w:pPr>
        <w:rPr>
          <w:rFonts w:ascii="宋体" w:hAnsi="宋体"/>
          <w:sz w:val="30"/>
          <w:szCs w:val="30"/>
        </w:rPr>
      </w:pPr>
      <w:r>
        <w:rPr>
          <w:rFonts w:hint="eastAsia" w:ascii="宋体" w:hAnsi="宋体"/>
          <w:sz w:val="30"/>
          <w:szCs w:val="30"/>
        </w:rPr>
        <w:t>选定争议避免/评审组的期限：</w:t>
      </w:r>
      <w:r>
        <w:rPr>
          <w:rFonts w:ascii="宋体" w:hAnsi="宋体"/>
          <w:sz w:val="30"/>
          <w:szCs w:val="30"/>
        </w:rPr>
        <w:t xml:space="preserve">                       。</w:t>
      </w:r>
    </w:p>
    <w:p w14:paraId="058029C8">
      <w:pPr>
        <w:rPr>
          <w:rFonts w:ascii="宋体" w:hAnsi="宋体"/>
          <w:sz w:val="30"/>
          <w:szCs w:val="30"/>
        </w:rPr>
      </w:pPr>
      <w:r>
        <w:rPr>
          <w:rFonts w:hint="eastAsia" w:ascii="宋体" w:hAnsi="宋体"/>
          <w:sz w:val="30"/>
          <w:szCs w:val="30"/>
        </w:rPr>
        <w:t>评审机构：</w:t>
      </w:r>
      <w:r>
        <w:rPr>
          <w:rFonts w:ascii="宋体" w:hAnsi="宋体"/>
          <w:sz w:val="30"/>
          <w:szCs w:val="30"/>
        </w:rPr>
        <w:t xml:space="preserve">                                        。</w:t>
      </w:r>
    </w:p>
    <w:p w14:paraId="1893E5EB">
      <w:pPr>
        <w:rPr>
          <w:rFonts w:ascii="宋体" w:hAnsi="宋体"/>
          <w:sz w:val="30"/>
          <w:szCs w:val="30"/>
        </w:rPr>
      </w:pPr>
      <w:r>
        <w:rPr>
          <w:rFonts w:hint="eastAsia" w:ascii="宋体" w:hAnsi="宋体"/>
          <w:sz w:val="30"/>
          <w:szCs w:val="30"/>
        </w:rPr>
        <w:t>其他事项的约定：</w:t>
      </w:r>
      <w:r>
        <w:rPr>
          <w:rFonts w:ascii="宋体" w:hAnsi="宋体"/>
          <w:sz w:val="30"/>
          <w:szCs w:val="30"/>
        </w:rPr>
        <w:t xml:space="preserve">                                  。</w:t>
      </w:r>
    </w:p>
    <w:p w14:paraId="2D651C5C">
      <w:pPr>
        <w:rPr>
          <w:rFonts w:ascii="宋体" w:hAnsi="宋体"/>
          <w:sz w:val="30"/>
          <w:szCs w:val="30"/>
        </w:rPr>
      </w:pPr>
      <w:r>
        <w:rPr>
          <w:rFonts w:ascii="宋体" w:hAnsi="宋体"/>
          <w:sz w:val="30"/>
          <w:szCs w:val="30"/>
        </w:rPr>
        <w:t>争议评审员报酬</w:t>
      </w:r>
      <w:r>
        <w:rPr>
          <w:rFonts w:hint="eastAsia" w:ascii="宋体" w:hAnsi="宋体"/>
          <w:sz w:val="30"/>
          <w:szCs w:val="30"/>
        </w:rPr>
        <w:t>的承担人：</w:t>
      </w:r>
      <w:r>
        <w:rPr>
          <w:rFonts w:ascii="宋体" w:hAnsi="宋体"/>
          <w:sz w:val="30"/>
          <w:szCs w:val="30"/>
        </w:rPr>
        <w:t xml:space="preserve">                          </w:t>
      </w:r>
      <w:r>
        <w:rPr>
          <w:rFonts w:hint="eastAsia" w:ascii="宋体" w:hAnsi="宋体"/>
          <w:sz w:val="30"/>
          <w:szCs w:val="30"/>
        </w:rPr>
        <w:t>。</w:t>
      </w:r>
    </w:p>
    <w:p w14:paraId="3311686F">
      <w:pPr>
        <w:rPr>
          <w:rFonts w:ascii="宋体" w:hAnsi="宋体"/>
          <w:sz w:val="30"/>
          <w:szCs w:val="30"/>
        </w:rPr>
      </w:pPr>
      <w:r>
        <w:rPr>
          <w:rFonts w:hint="eastAsia" w:ascii="宋体" w:hAnsi="宋体"/>
          <w:sz w:val="30"/>
          <w:szCs w:val="30"/>
        </w:rPr>
        <w:t>20.3.2 争议的避免</w:t>
      </w:r>
    </w:p>
    <w:p w14:paraId="0D52986B">
      <w:pPr>
        <w:rPr>
          <w:rFonts w:ascii="宋体" w:hAnsi="宋体"/>
          <w:sz w:val="30"/>
          <w:szCs w:val="30"/>
        </w:rPr>
      </w:pPr>
      <w:r>
        <w:rPr>
          <w:rFonts w:hint="eastAsia" w:ascii="宋体" w:hAnsi="宋体"/>
          <w:sz w:val="30"/>
          <w:szCs w:val="30"/>
        </w:rPr>
        <w:t>发包人和承包人是否均出席争议避免的非正式讨论：</w:t>
      </w:r>
      <w:r>
        <w:rPr>
          <w:rFonts w:ascii="宋体" w:hAnsi="宋体"/>
          <w:sz w:val="30"/>
          <w:szCs w:val="30"/>
        </w:rPr>
        <w:t xml:space="preserve">                                                  。</w:t>
      </w:r>
    </w:p>
    <w:p w14:paraId="19AE075D">
      <w:pPr>
        <w:rPr>
          <w:rFonts w:ascii="宋体" w:hAnsi="宋体"/>
          <w:sz w:val="30"/>
          <w:szCs w:val="30"/>
        </w:rPr>
      </w:pPr>
      <w:r>
        <w:rPr>
          <w:rFonts w:ascii="宋体" w:hAnsi="宋体"/>
          <w:sz w:val="30"/>
          <w:szCs w:val="30"/>
        </w:rPr>
        <w:t>20.3.3</w:t>
      </w:r>
      <w:r>
        <w:rPr>
          <w:rFonts w:hint="eastAsia" w:ascii="宋体" w:hAnsi="宋体"/>
          <w:sz w:val="30"/>
          <w:szCs w:val="30"/>
        </w:rPr>
        <w:t xml:space="preserve"> 争议评审小组的决定</w:t>
      </w:r>
    </w:p>
    <w:p w14:paraId="372D4418">
      <w:pPr>
        <w:rPr>
          <w:rFonts w:ascii="宋体" w:hAnsi="宋体"/>
          <w:sz w:val="30"/>
          <w:szCs w:val="30"/>
        </w:rPr>
      </w:pPr>
      <w:r>
        <w:rPr>
          <w:rFonts w:hint="eastAsia" w:ascii="宋体" w:hAnsi="宋体"/>
          <w:sz w:val="30"/>
          <w:szCs w:val="30"/>
        </w:rPr>
        <w:t>关于争议评审小组的决定的特别约定：</w:t>
      </w:r>
      <w:r>
        <w:rPr>
          <w:rFonts w:ascii="宋体" w:hAnsi="宋体"/>
          <w:sz w:val="30"/>
          <w:szCs w:val="30"/>
        </w:rPr>
        <w:t xml:space="preserve">                。</w:t>
      </w:r>
    </w:p>
    <w:p w14:paraId="093B6CEC">
      <w:pPr>
        <w:rPr>
          <w:rFonts w:ascii="宋体" w:hAnsi="宋体"/>
          <w:sz w:val="30"/>
          <w:szCs w:val="30"/>
        </w:rPr>
      </w:pPr>
      <w:r>
        <w:rPr>
          <w:rFonts w:ascii="宋体" w:hAnsi="宋体"/>
          <w:sz w:val="30"/>
          <w:szCs w:val="30"/>
        </w:rPr>
        <w:t xml:space="preserve">20.4 </w:t>
      </w:r>
      <w:r>
        <w:rPr>
          <w:rFonts w:hint="eastAsia" w:ascii="宋体" w:hAnsi="宋体"/>
          <w:sz w:val="30"/>
          <w:szCs w:val="30"/>
        </w:rPr>
        <w:t>仲裁或诉讼</w:t>
      </w:r>
    </w:p>
    <w:p w14:paraId="5E81DB1C">
      <w:pPr>
        <w:rPr>
          <w:rFonts w:ascii="宋体" w:hAnsi="宋体"/>
          <w:sz w:val="30"/>
          <w:szCs w:val="30"/>
        </w:rPr>
      </w:pPr>
      <w:r>
        <w:rPr>
          <w:rFonts w:hint="eastAsia" w:ascii="宋体" w:hAnsi="宋体"/>
          <w:sz w:val="30"/>
          <w:szCs w:val="30"/>
        </w:rPr>
        <w:t>因合同及合同有关事项发生的争议，按下列第</w:t>
      </w:r>
      <w:r>
        <w:rPr>
          <w:rFonts w:ascii="宋体" w:hAnsi="宋体"/>
          <w:sz w:val="30"/>
          <w:szCs w:val="30"/>
        </w:rPr>
        <w:t xml:space="preserve">    种方式解决：</w:t>
      </w:r>
    </w:p>
    <w:p w14:paraId="620FD01B">
      <w:pPr>
        <w:rPr>
          <w:rFonts w:ascii="宋体" w:hAnsi="宋体"/>
          <w:sz w:val="30"/>
          <w:szCs w:val="30"/>
        </w:rPr>
      </w:pPr>
      <w:r>
        <w:rPr>
          <w:rFonts w:hint="eastAsia" w:ascii="宋体" w:hAnsi="宋体"/>
          <w:sz w:val="30"/>
          <w:szCs w:val="30"/>
        </w:rPr>
        <w:t>（</w:t>
      </w:r>
      <w:r>
        <w:rPr>
          <w:rFonts w:ascii="宋体" w:hAnsi="宋体"/>
          <w:sz w:val="30"/>
          <w:szCs w:val="30"/>
        </w:rPr>
        <w:t>1）向                         仲裁委员会申请仲裁；</w:t>
      </w:r>
    </w:p>
    <w:p w14:paraId="67823A65">
      <w:pPr>
        <w:rPr>
          <w:rFonts w:ascii="宋体" w:hAnsi="宋体"/>
          <w:sz w:val="30"/>
          <w:szCs w:val="30"/>
        </w:rPr>
      </w:pPr>
      <w:r>
        <w:rPr>
          <w:rFonts w:hint="eastAsia" w:ascii="宋体" w:hAnsi="宋体"/>
          <w:sz w:val="30"/>
          <w:szCs w:val="30"/>
        </w:rPr>
        <w:t>（</w:t>
      </w:r>
      <w:r>
        <w:rPr>
          <w:rFonts w:ascii="宋体" w:hAnsi="宋体"/>
          <w:sz w:val="30"/>
          <w:szCs w:val="30"/>
        </w:rPr>
        <w:t>2）向                         人民法院起诉。</w:t>
      </w:r>
    </w:p>
    <w:p w14:paraId="181727E8">
      <w:pPr>
        <w:ind w:firstLine="600"/>
        <w:rPr>
          <w:rFonts w:ascii="宋体" w:hAnsi="宋体"/>
          <w:sz w:val="30"/>
          <w:szCs w:val="30"/>
        </w:rPr>
        <w:sectPr>
          <w:headerReference r:id="rId13" w:type="default"/>
          <w:pgSz w:w="11906" w:h="16838"/>
          <w:pgMar w:top="1440" w:right="1800" w:bottom="1440" w:left="1800" w:header="720" w:footer="998" w:gutter="0"/>
          <w:cols w:space="720" w:num="1"/>
          <w:docGrid w:linePitch="326" w:charSpace="0"/>
        </w:sectPr>
      </w:pPr>
    </w:p>
    <w:p w14:paraId="33C7C90E">
      <w:pPr>
        <w:ind w:firstLine="600"/>
        <w:rPr>
          <w:rFonts w:ascii="宋体" w:hAnsi="宋体"/>
          <w:sz w:val="30"/>
          <w:szCs w:val="30"/>
        </w:rPr>
      </w:pPr>
      <w:bookmarkStart w:id="756" w:name="_Toc54862351"/>
      <w:r>
        <w:rPr>
          <w:rFonts w:hint="eastAsia" w:ascii="宋体" w:hAnsi="宋体"/>
          <w:sz w:val="30"/>
          <w:szCs w:val="30"/>
        </w:rPr>
        <w:t>专用合同条件附件</w:t>
      </w:r>
      <w:bookmarkEnd w:id="756"/>
    </w:p>
    <w:p w14:paraId="4B159BD1">
      <w:pPr>
        <w:ind w:firstLine="600"/>
        <w:rPr>
          <w:rFonts w:ascii="宋体" w:hAnsi="宋体"/>
          <w:sz w:val="30"/>
          <w:szCs w:val="30"/>
        </w:rPr>
      </w:pPr>
    </w:p>
    <w:p w14:paraId="35FFAA04">
      <w:pPr>
        <w:ind w:firstLine="600"/>
        <w:rPr>
          <w:rFonts w:ascii="宋体" w:hAnsi="宋体"/>
          <w:sz w:val="30"/>
          <w:szCs w:val="30"/>
        </w:rPr>
      </w:pPr>
      <w:r>
        <w:rPr>
          <w:rFonts w:hint="eastAsia" w:ascii="宋体" w:hAnsi="宋体"/>
          <w:sz w:val="30"/>
          <w:szCs w:val="30"/>
        </w:rPr>
        <w:t>附件1：发包人要求</w:t>
      </w:r>
    </w:p>
    <w:p w14:paraId="2C511CE5">
      <w:pPr>
        <w:ind w:firstLine="600"/>
        <w:rPr>
          <w:rFonts w:ascii="宋体" w:hAnsi="宋体"/>
          <w:sz w:val="30"/>
          <w:szCs w:val="30"/>
        </w:rPr>
      </w:pPr>
      <w:r>
        <w:rPr>
          <w:rFonts w:hint="eastAsia" w:ascii="宋体" w:hAnsi="宋体"/>
          <w:sz w:val="30"/>
          <w:szCs w:val="30"/>
        </w:rPr>
        <w:t>附件2：发包人供应材料设备一览表</w:t>
      </w:r>
    </w:p>
    <w:p w14:paraId="3F903E7D">
      <w:pPr>
        <w:ind w:firstLine="600"/>
        <w:rPr>
          <w:rFonts w:ascii="宋体" w:hAnsi="宋体"/>
          <w:sz w:val="30"/>
          <w:szCs w:val="30"/>
        </w:rPr>
      </w:pPr>
      <w:r>
        <w:rPr>
          <w:rFonts w:hint="eastAsia" w:ascii="宋体" w:hAnsi="宋体"/>
          <w:sz w:val="30"/>
          <w:szCs w:val="30"/>
        </w:rPr>
        <w:t>附件3：工程质量保修书</w:t>
      </w:r>
    </w:p>
    <w:p w14:paraId="349E0B38">
      <w:pPr>
        <w:ind w:firstLine="600"/>
        <w:rPr>
          <w:rFonts w:ascii="宋体" w:hAnsi="宋体"/>
          <w:sz w:val="30"/>
          <w:szCs w:val="30"/>
        </w:rPr>
      </w:pPr>
      <w:r>
        <w:rPr>
          <w:rFonts w:hint="eastAsia" w:ascii="宋体" w:hAnsi="宋体"/>
          <w:sz w:val="30"/>
          <w:szCs w:val="30"/>
        </w:rPr>
        <w:t>附件4：主要建设工程文件目录</w:t>
      </w:r>
    </w:p>
    <w:p w14:paraId="489163EE">
      <w:pPr>
        <w:ind w:firstLine="600"/>
        <w:rPr>
          <w:rFonts w:ascii="宋体" w:hAnsi="宋体"/>
          <w:sz w:val="30"/>
          <w:szCs w:val="30"/>
        </w:rPr>
      </w:pPr>
      <w:r>
        <w:rPr>
          <w:rFonts w:hint="eastAsia" w:ascii="宋体" w:hAnsi="宋体"/>
          <w:sz w:val="30"/>
          <w:szCs w:val="30"/>
        </w:rPr>
        <w:t>附件5：承包人主要管理人员表</w:t>
      </w:r>
    </w:p>
    <w:p w14:paraId="22911551">
      <w:pPr>
        <w:ind w:firstLine="600"/>
        <w:rPr>
          <w:rFonts w:ascii="宋体" w:hAnsi="宋体"/>
          <w:sz w:val="30"/>
          <w:szCs w:val="30"/>
        </w:rPr>
      </w:pPr>
      <w:r>
        <w:rPr>
          <w:rFonts w:hint="eastAsia" w:ascii="宋体" w:hAnsi="宋体"/>
          <w:sz w:val="30"/>
          <w:szCs w:val="30"/>
        </w:rPr>
        <w:t>附件</w:t>
      </w:r>
      <w:r>
        <w:rPr>
          <w:rFonts w:ascii="宋体" w:hAnsi="宋体"/>
          <w:sz w:val="30"/>
          <w:szCs w:val="30"/>
        </w:rPr>
        <w:t>6</w:t>
      </w:r>
      <w:r>
        <w:rPr>
          <w:rFonts w:hint="eastAsia" w:ascii="宋体" w:hAnsi="宋体"/>
          <w:sz w:val="30"/>
          <w:szCs w:val="30"/>
        </w:rPr>
        <w:t>：价格指数权重表</w:t>
      </w:r>
    </w:p>
    <w:p w14:paraId="0AA5CE91">
      <w:pPr>
        <w:ind w:firstLine="600"/>
        <w:rPr>
          <w:rFonts w:ascii="宋体" w:hAnsi="宋体"/>
          <w:sz w:val="30"/>
          <w:szCs w:val="30"/>
        </w:rPr>
      </w:pPr>
    </w:p>
    <w:p w14:paraId="05526219">
      <w:pPr>
        <w:ind w:firstLine="600"/>
        <w:rPr>
          <w:rFonts w:ascii="宋体" w:hAnsi="宋体"/>
          <w:sz w:val="30"/>
          <w:szCs w:val="30"/>
        </w:rPr>
      </w:pPr>
    </w:p>
    <w:p w14:paraId="4D438EDB">
      <w:pPr>
        <w:ind w:firstLine="600"/>
        <w:rPr>
          <w:rFonts w:ascii="宋体" w:hAnsi="宋体"/>
          <w:sz w:val="30"/>
          <w:szCs w:val="30"/>
        </w:rPr>
      </w:pPr>
    </w:p>
    <w:p w14:paraId="3C433854">
      <w:pPr>
        <w:ind w:firstLine="600"/>
        <w:rPr>
          <w:rFonts w:ascii="宋体" w:hAnsi="宋体"/>
          <w:sz w:val="30"/>
          <w:szCs w:val="30"/>
        </w:rPr>
      </w:pPr>
      <w:r>
        <w:rPr>
          <w:rFonts w:ascii="宋体" w:hAnsi="宋体"/>
          <w:sz w:val="30"/>
          <w:szCs w:val="30"/>
        </w:rPr>
        <w:br w:type="page"/>
      </w:r>
    </w:p>
    <w:p w14:paraId="49960E34">
      <w:pPr>
        <w:ind w:firstLine="600"/>
        <w:rPr>
          <w:rFonts w:ascii="宋体" w:hAnsi="宋体"/>
          <w:sz w:val="30"/>
          <w:szCs w:val="30"/>
        </w:rPr>
      </w:pPr>
      <w:bookmarkStart w:id="757" w:name="_Toc54862352"/>
      <w:bookmarkStart w:id="758" w:name="_Hlk38571789"/>
      <w:r>
        <w:rPr>
          <w:rFonts w:hint="eastAsia" w:ascii="宋体" w:hAnsi="宋体"/>
          <w:sz w:val="30"/>
          <w:szCs w:val="30"/>
        </w:rPr>
        <w:t>附件1</w:t>
      </w:r>
      <w:r>
        <w:rPr>
          <w:rFonts w:ascii="宋体" w:hAnsi="宋体"/>
          <w:sz w:val="30"/>
          <w:szCs w:val="30"/>
        </w:rPr>
        <w:t xml:space="preserve"> </w:t>
      </w:r>
      <w:r>
        <w:rPr>
          <w:rFonts w:hint="eastAsia" w:ascii="宋体" w:hAnsi="宋体"/>
          <w:sz w:val="30"/>
          <w:szCs w:val="30"/>
        </w:rPr>
        <w:t>《发包人要求》</w:t>
      </w:r>
      <w:bookmarkEnd w:id="757"/>
    </w:p>
    <w:bookmarkEnd w:id="758"/>
    <w:p w14:paraId="6A2EE655">
      <w:pPr>
        <w:ind w:firstLine="600"/>
        <w:rPr>
          <w:rFonts w:ascii="宋体" w:hAnsi="宋体"/>
          <w:sz w:val="30"/>
          <w:szCs w:val="30"/>
        </w:rPr>
      </w:pPr>
      <w:r>
        <w:rPr>
          <w:rFonts w:hint="eastAsia" w:ascii="宋体" w:hAnsi="宋体"/>
          <w:sz w:val="30"/>
          <w:szCs w:val="30"/>
        </w:rPr>
        <w:t>《发包人要求》应尽可能清晰准确，对于可以进行定量评估的工作，《发包人要求》不仅应明确规定其产能、功能、用途、质量、环境、安全，并且要规定偏离的范围和计算方法，以及检验、试验、试运行的具体要求。对于承包人负责提供的有关设备和服务，对发包人人员进行培训和提供一些消耗品等，在《发包人要求》中应一并明确规定。</w:t>
      </w:r>
    </w:p>
    <w:p w14:paraId="2F27094D">
      <w:pPr>
        <w:ind w:firstLine="600"/>
        <w:rPr>
          <w:rFonts w:ascii="宋体" w:hAnsi="宋体"/>
          <w:sz w:val="30"/>
          <w:szCs w:val="30"/>
        </w:rPr>
      </w:pPr>
      <w:r>
        <w:rPr>
          <w:rFonts w:hint="eastAsia" w:ascii="宋体" w:hAnsi="宋体"/>
          <w:sz w:val="30"/>
          <w:szCs w:val="30"/>
        </w:rPr>
        <w:t>《发包人要求》通常包括但不限于以下内容：</w:t>
      </w:r>
    </w:p>
    <w:p w14:paraId="334793F8">
      <w:pPr>
        <w:ind w:firstLine="600"/>
        <w:rPr>
          <w:rFonts w:ascii="宋体" w:hAnsi="宋体"/>
          <w:sz w:val="30"/>
          <w:szCs w:val="30"/>
        </w:rPr>
      </w:pPr>
      <w:r>
        <w:rPr>
          <w:rFonts w:hint="eastAsia" w:ascii="宋体" w:hAnsi="宋体"/>
          <w:sz w:val="30"/>
          <w:szCs w:val="30"/>
        </w:rPr>
        <w:t>一、功能要求</w:t>
      </w:r>
    </w:p>
    <w:p w14:paraId="1C8F9C91">
      <w:pPr>
        <w:ind w:firstLine="600"/>
        <w:rPr>
          <w:rFonts w:ascii="宋体" w:hAnsi="宋体"/>
          <w:sz w:val="30"/>
          <w:szCs w:val="30"/>
        </w:rPr>
      </w:pPr>
      <w:r>
        <w:rPr>
          <w:rFonts w:hint="eastAsia" w:ascii="宋体" w:hAnsi="宋体"/>
          <w:sz w:val="30"/>
          <w:szCs w:val="30"/>
        </w:rPr>
        <w:t>（一）工程目的。</w:t>
      </w:r>
    </w:p>
    <w:p w14:paraId="5FA2833E">
      <w:pPr>
        <w:ind w:firstLine="600"/>
        <w:rPr>
          <w:rFonts w:ascii="宋体" w:hAnsi="宋体"/>
          <w:sz w:val="30"/>
          <w:szCs w:val="30"/>
        </w:rPr>
      </w:pPr>
      <w:r>
        <w:rPr>
          <w:rFonts w:hint="eastAsia" w:ascii="宋体" w:hAnsi="宋体"/>
          <w:sz w:val="30"/>
          <w:szCs w:val="30"/>
        </w:rPr>
        <w:t>（二）工程规模。</w:t>
      </w:r>
    </w:p>
    <w:p w14:paraId="507F0734">
      <w:pPr>
        <w:ind w:firstLine="600"/>
        <w:rPr>
          <w:rFonts w:ascii="宋体" w:hAnsi="宋体"/>
          <w:sz w:val="30"/>
          <w:szCs w:val="30"/>
        </w:rPr>
      </w:pPr>
      <w:r>
        <w:rPr>
          <w:rFonts w:hint="eastAsia" w:ascii="宋体" w:hAnsi="宋体"/>
          <w:sz w:val="30"/>
          <w:szCs w:val="30"/>
        </w:rPr>
        <w:t>（三）性能保证指标（性能保证表）。</w:t>
      </w:r>
    </w:p>
    <w:p w14:paraId="5357DF35">
      <w:pPr>
        <w:ind w:firstLine="600"/>
        <w:rPr>
          <w:rFonts w:ascii="宋体" w:hAnsi="宋体"/>
          <w:sz w:val="30"/>
          <w:szCs w:val="30"/>
        </w:rPr>
      </w:pPr>
      <w:r>
        <w:rPr>
          <w:rFonts w:hint="eastAsia" w:ascii="宋体" w:hAnsi="宋体"/>
          <w:sz w:val="30"/>
          <w:szCs w:val="30"/>
        </w:rPr>
        <w:t>（四）产能保证指标。</w:t>
      </w:r>
    </w:p>
    <w:p w14:paraId="6F6109E4">
      <w:pPr>
        <w:ind w:firstLine="600"/>
        <w:rPr>
          <w:rFonts w:ascii="宋体" w:hAnsi="宋体"/>
          <w:sz w:val="30"/>
          <w:szCs w:val="30"/>
        </w:rPr>
      </w:pPr>
      <w:r>
        <w:rPr>
          <w:rFonts w:hint="eastAsia" w:ascii="宋体" w:hAnsi="宋体"/>
          <w:sz w:val="30"/>
          <w:szCs w:val="30"/>
        </w:rPr>
        <w:t>二、工程范围</w:t>
      </w:r>
    </w:p>
    <w:p w14:paraId="698FB574">
      <w:pPr>
        <w:ind w:firstLine="600"/>
        <w:rPr>
          <w:rFonts w:ascii="宋体" w:hAnsi="宋体"/>
          <w:sz w:val="30"/>
          <w:szCs w:val="30"/>
        </w:rPr>
      </w:pPr>
      <w:r>
        <w:rPr>
          <w:rFonts w:hint="eastAsia" w:ascii="宋体" w:hAnsi="宋体"/>
          <w:sz w:val="30"/>
          <w:szCs w:val="30"/>
        </w:rPr>
        <w:t>（一）概述</w:t>
      </w:r>
    </w:p>
    <w:p w14:paraId="33D328BF">
      <w:pPr>
        <w:ind w:firstLine="600"/>
        <w:rPr>
          <w:rFonts w:ascii="宋体" w:hAnsi="宋体"/>
          <w:sz w:val="30"/>
          <w:szCs w:val="30"/>
        </w:rPr>
      </w:pPr>
      <w:r>
        <w:rPr>
          <w:rFonts w:hint="eastAsia" w:ascii="宋体" w:hAnsi="宋体"/>
          <w:sz w:val="30"/>
          <w:szCs w:val="30"/>
        </w:rPr>
        <w:t>（二）包括的工作</w:t>
      </w:r>
    </w:p>
    <w:p w14:paraId="0F57C35F">
      <w:pPr>
        <w:ind w:firstLine="600"/>
        <w:rPr>
          <w:rFonts w:ascii="宋体" w:hAnsi="宋体"/>
          <w:sz w:val="30"/>
          <w:szCs w:val="30"/>
        </w:rPr>
      </w:pPr>
      <w:r>
        <w:rPr>
          <w:rFonts w:hint="eastAsia" w:ascii="宋体" w:hAnsi="宋体"/>
          <w:sz w:val="30"/>
          <w:szCs w:val="30"/>
        </w:rPr>
        <w:t>1. 永久工程的设计、采购、施工范围。</w:t>
      </w:r>
    </w:p>
    <w:p w14:paraId="4A397E1A">
      <w:pPr>
        <w:ind w:firstLine="600"/>
        <w:rPr>
          <w:rFonts w:ascii="宋体" w:hAnsi="宋体"/>
          <w:sz w:val="30"/>
          <w:szCs w:val="30"/>
        </w:rPr>
      </w:pPr>
      <w:r>
        <w:rPr>
          <w:rFonts w:hint="eastAsia" w:ascii="宋体" w:hAnsi="宋体"/>
          <w:sz w:val="30"/>
          <w:szCs w:val="30"/>
        </w:rPr>
        <w:t>2. 临时工程的设计与施工范围。</w:t>
      </w:r>
    </w:p>
    <w:p w14:paraId="22ED01EE">
      <w:pPr>
        <w:ind w:firstLine="600"/>
        <w:rPr>
          <w:rFonts w:ascii="宋体" w:hAnsi="宋体"/>
          <w:sz w:val="30"/>
          <w:szCs w:val="30"/>
        </w:rPr>
      </w:pPr>
      <w:r>
        <w:rPr>
          <w:rFonts w:hint="eastAsia" w:ascii="宋体" w:hAnsi="宋体"/>
          <w:sz w:val="30"/>
          <w:szCs w:val="30"/>
        </w:rPr>
        <w:t>3. 竣工验收工作范围。</w:t>
      </w:r>
    </w:p>
    <w:p w14:paraId="31296452">
      <w:pPr>
        <w:ind w:firstLine="600"/>
        <w:rPr>
          <w:rFonts w:ascii="宋体" w:hAnsi="宋体"/>
          <w:sz w:val="30"/>
          <w:szCs w:val="30"/>
        </w:rPr>
      </w:pPr>
      <w:r>
        <w:rPr>
          <w:rFonts w:hint="eastAsia" w:ascii="宋体" w:hAnsi="宋体"/>
          <w:sz w:val="30"/>
          <w:szCs w:val="30"/>
        </w:rPr>
        <w:t>4. 技术服务工作范围。</w:t>
      </w:r>
    </w:p>
    <w:p w14:paraId="3B41E797">
      <w:pPr>
        <w:ind w:firstLine="600"/>
        <w:rPr>
          <w:rFonts w:ascii="宋体" w:hAnsi="宋体"/>
          <w:sz w:val="30"/>
          <w:szCs w:val="30"/>
        </w:rPr>
      </w:pPr>
      <w:r>
        <w:rPr>
          <w:rFonts w:hint="eastAsia" w:ascii="宋体" w:hAnsi="宋体"/>
          <w:sz w:val="30"/>
          <w:szCs w:val="30"/>
        </w:rPr>
        <w:t>5. 培训工作范围。</w:t>
      </w:r>
    </w:p>
    <w:p w14:paraId="77BA1409">
      <w:pPr>
        <w:ind w:firstLine="600"/>
        <w:rPr>
          <w:rFonts w:ascii="宋体" w:hAnsi="宋体"/>
          <w:sz w:val="30"/>
          <w:szCs w:val="30"/>
        </w:rPr>
      </w:pPr>
      <w:r>
        <w:rPr>
          <w:rFonts w:hint="eastAsia" w:ascii="宋体" w:hAnsi="宋体"/>
          <w:sz w:val="30"/>
          <w:szCs w:val="30"/>
        </w:rPr>
        <w:t>6. 保修工作范围。</w:t>
      </w:r>
    </w:p>
    <w:p w14:paraId="47206BF3">
      <w:pPr>
        <w:ind w:firstLine="600"/>
        <w:rPr>
          <w:rFonts w:ascii="宋体" w:hAnsi="宋体"/>
          <w:sz w:val="30"/>
          <w:szCs w:val="30"/>
        </w:rPr>
      </w:pPr>
      <w:r>
        <w:rPr>
          <w:rFonts w:hint="eastAsia" w:ascii="宋体" w:hAnsi="宋体"/>
          <w:sz w:val="30"/>
          <w:szCs w:val="30"/>
        </w:rPr>
        <w:t>（三）工作界区</w:t>
      </w:r>
    </w:p>
    <w:p w14:paraId="4C484710">
      <w:pPr>
        <w:ind w:firstLine="600"/>
        <w:rPr>
          <w:rFonts w:ascii="宋体" w:hAnsi="宋体"/>
          <w:sz w:val="30"/>
          <w:szCs w:val="30"/>
        </w:rPr>
      </w:pPr>
      <w:r>
        <w:rPr>
          <w:rFonts w:hint="eastAsia" w:ascii="宋体" w:hAnsi="宋体"/>
          <w:sz w:val="30"/>
          <w:szCs w:val="30"/>
        </w:rPr>
        <w:t>（四）发包人提供的现场条件</w:t>
      </w:r>
    </w:p>
    <w:p w14:paraId="715628C9">
      <w:pPr>
        <w:ind w:firstLine="600"/>
        <w:rPr>
          <w:rFonts w:ascii="宋体" w:hAnsi="宋体"/>
          <w:sz w:val="30"/>
          <w:szCs w:val="30"/>
        </w:rPr>
      </w:pPr>
      <w:r>
        <w:rPr>
          <w:rFonts w:hint="eastAsia" w:ascii="宋体" w:hAnsi="宋体"/>
          <w:sz w:val="30"/>
          <w:szCs w:val="30"/>
        </w:rPr>
        <w:t>1. 施工用电。</w:t>
      </w:r>
    </w:p>
    <w:p w14:paraId="2C479391">
      <w:pPr>
        <w:ind w:firstLine="600"/>
        <w:rPr>
          <w:rFonts w:ascii="宋体" w:hAnsi="宋体"/>
          <w:sz w:val="30"/>
          <w:szCs w:val="30"/>
        </w:rPr>
      </w:pPr>
      <w:r>
        <w:rPr>
          <w:rFonts w:hint="eastAsia" w:ascii="宋体" w:hAnsi="宋体"/>
          <w:sz w:val="30"/>
          <w:szCs w:val="30"/>
        </w:rPr>
        <w:t>2. 施工用水。</w:t>
      </w:r>
    </w:p>
    <w:p w14:paraId="7C530654">
      <w:pPr>
        <w:ind w:firstLine="600"/>
        <w:rPr>
          <w:rFonts w:ascii="宋体" w:hAnsi="宋体"/>
          <w:sz w:val="30"/>
          <w:szCs w:val="30"/>
        </w:rPr>
      </w:pPr>
      <w:r>
        <w:rPr>
          <w:rFonts w:hint="eastAsia" w:ascii="宋体" w:hAnsi="宋体"/>
          <w:sz w:val="30"/>
          <w:szCs w:val="30"/>
        </w:rPr>
        <w:t>3. 施工排水。</w:t>
      </w:r>
    </w:p>
    <w:p w14:paraId="0DA71A3A">
      <w:pPr>
        <w:ind w:firstLine="600"/>
        <w:rPr>
          <w:rFonts w:ascii="宋体" w:hAnsi="宋体"/>
          <w:sz w:val="30"/>
          <w:szCs w:val="30"/>
        </w:rPr>
      </w:pPr>
      <w:r>
        <w:rPr>
          <w:rFonts w:ascii="宋体" w:hAnsi="宋体"/>
          <w:sz w:val="30"/>
          <w:szCs w:val="30"/>
        </w:rPr>
        <w:t>4.</w:t>
      </w:r>
      <w:r>
        <w:rPr>
          <w:rFonts w:hint="eastAsia" w:ascii="宋体" w:hAnsi="宋体"/>
          <w:sz w:val="30"/>
          <w:szCs w:val="30"/>
        </w:rPr>
        <w:t xml:space="preserve"> 施工道路。</w:t>
      </w:r>
    </w:p>
    <w:p w14:paraId="730E9AB5">
      <w:pPr>
        <w:ind w:firstLine="600"/>
        <w:rPr>
          <w:rFonts w:ascii="宋体" w:hAnsi="宋体"/>
          <w:sz w:val="30"/>
          <w:szCs w:val="30"/>
        </w:rPr>
      </w:pPr>
      <w:r>
        <w:rPr>
          <w:rFonts w:hint="eastAsia" w:ascii="宋体" w:hAnsi="宋体"/>
          <w:sz w:val="30"/>
          <w:szCs w:val="30"/>
        </w:rPr>
        <w:t>（五）发包人提供的技术文件</w:t>
      </w:r>
    </w:p>
    <w:p w14:paraId="6B3AB553">
      <w:pPr>
        <w:ind w:firstLine="600"/>
        <w:rPr>
          <w:rFonts w:ascii="宋体" w:hAnsi="宋体"/>
          <w:sz w:val="30"/>
          <w:szCs w:val="30"/>
        </w:rPr>
      </w:pPr>
      <w:r>
        <w:rPr>
          <w:rFonts w:hint="eastAsia" w:ascii="宋体" w:hAnsi="宋体"/>
          <w:sz w:val="30"/>
          <w:szCs w:val="30"/>
        </w:rPr>
        <w:t>除另有批准外，承包人的工作需要遵照发包人的下列技术文件:</w:t>
      </w:r>
    </w:p>
    <w:p w14:paraId="6F3B73F8">
      <w:pPr>
        <w:ind w:firstLine="600"/>
        <w:rPr>
          <w:rFonts w:ascii="宋体" w:hAnsi="宋体"/>
          <w:sz w:val="30"/>
          <w:szCs w:val="30"/>
        </w:rPr>
      </w:pPr>
      <w:r>
        <w:rPr>
          <w:rFonts w:hint="eastAsia" w:ascii="宋体" w:hAnsi="宋体"/>
          <w:sz w:val="30"/>
          <w:szCs w:val="30"/>
        </w:rPr>
        <w:t>1. 发包人需求任务书。</w:t>
      </w:r>
    </w:p>
    <w:p w14:paraId="6204B1C3">
      <w:pPr>
        <w:ind w:firstLine="600"/>
        <w:rPr>
          <w:rFonts w:ascii="宋体" w:hAnsi="宋体"/>
          <w:sz w:val="30"/>
          <w:szCs w:val="30"/>
        </w:rPr>
      </w:pPr>
      <w:r>
        <w:rPr>
          <w:rFonts w:hint="eastAsia" w:ascii="宋体" w:hAnsi="宋体"/>
          <w:sz w:val="30"/>
          <w:szCs w:val="30"/>
        </w:rPr>
        <w:t>2. 发包人已完成的设计文件。</w:t>
      </w:r>
    </w:p>
    <w:p w14:paraId="265B066B">
      <w:pPr>
        <w:ind w:firstLine="600"/>
        <w:rPr>
          <w:rFonts w:ascii="宋体" w:hAnsi="宋体"/>
          <w:sz w:val="30"/>
          <w:szCs w:val="30"/>
        </w:rPr>
      </w:pPr>
      <w:r>
        <w:rPr>
          <w:rFonts w:hint="eastAsia" w:ascii="宋体" w:hAnsi="宋体"/>
          <w:sz w:val="30"/>
          <w:szCs w:val="30"/>
        </w:rPr>
        <w:t>三、工艺安排或要求（如有）</w:t>
      </w:r>
    </w:p>
    <w:p w14:paraId="15C01459">
      <w:pPr>
        <w:ind w:firstLine="600"/>
        <w:rPr>
          <w:rFonts w:ascii="宋体" w:hAnsi="宋体"/>
          <w:sz w:val="30"/>
          <w:szCs w:val="30"/>
        </w:rPr>
      </w:pPr>
      <w:r>
        <w:rPr>
          <w:rFonts w:hint="eastAsia" w:ascii="宋体" w:hAnsi="宋体"/>
          <w:sz w:val="30"/>
          <w:szCs w:val="30"/>
        </w:rPr>
        <w:t>四、时间要求</w:t>
      </w:r>
    </w:p>
    <w:p w14:paraId="5D4E0E57">
      <w:pPr>
        <w:ind w:firstLine="600"/>
        <w:rPr>
          <w:rFonts w:ascii="宋体" w:hAnsi="宋体"/>
          <w:sz w:val="30"/>
          <w:szCs w:val="30"/>
        </w:rPr>
      </w:pPr>
      <w:r>
        <w:rPr>
          <w:rFonts w:hint="eastAsia" w:ascii="宋体" w:hAnsi="宋体"/>
          <w:sz w:val="30"/>
          <w:szCs w:val="30"/>
        </w:rPr>
        <w:t>（一）开始工作时间。</w:t>
      </w:r>
    </w:p>
    <w:p w14:paraId="74337D7D">
      <w:pPr>
        <w:ind w:firstLine="600"/>
        <w:rPr>
          <w:rFonts w:ascii="宋体" w:hAnsi="宋体"/>
          <w:sz w:val="30"/>
          <w:szCs w:val="30"/>
        </w:rPr>
      </w:pPr>
      <w:r>
        <w:rPr>
          <w:rFonts w:hint="eastAsia" w:ascii="宋体" w:hAnsi="宋体"/>
          <w:sz w:val="30"/>
          <w:szCs w:val="30"/>
        </w:rPr>
        <w:t>（二）设计完成时间。</w:t>
      </w:r>
    </w:p>
    <w:p w14:paraId="23C01C1E">
      <w:pPr>
        <w:ind w:firstLine="600"/>
        <w:rPr>
          <w:rFonts w:ascii="宋体" w:hAnsi="宋体"/>
          <w:sz w:val="30"/>
          <w:szCs w:val="30"/>
        </w:rPr>
      </w:pPr>
      <w:r>
        <w:rPr>
          <w:rFonts w:hint="eastAsia" w:ascii="宋体" w:hAnsi="宋体"/>
          <w:sz w:val="30"/>
          <w:szCs w:val="30"/>
        </w:rPr>
        <w:t>（三）进度计划。</w:t>
      </w:r>
    </w:p>
    <w:p w14:paraId="6C2E9B0E">
      <w:pPr>
        <w:ind w:firstLine="600"/>
        <w:rPr>
          <w:rFonts w:ascii="宋体" w:hAnsi="宋体"/>
          <w:sz w:val="30"/>
          <w:szCs w:val="30"/>
        </w:rPr>
      </w:pPr>
      <w:r>
        <w:rPr>
          <w:rFonts w:hint="eastAsia" w:ascii="宋体" w:hAnsi="宋体"/>
          <w:sz w:val="30"/>
          <w:szCs w:val="30"/>
        </w:rPr>
        <w:t>（四）竣工时间。</w:t>
      </w:r>
    </w:p>
    <w:p w14:paraId="670F83AA">
      <w:pPr>
        <w:ind w:firstLine="600"/>
        <w:rPr>
          <w:rFonts w:ascii="宋体" w:hAnsi="宋体"/>
          <w:sz w:val="30"/>
          <w:szCs w:val="30"/>
        </w:rPr>
      </w:pPr>
      <w:r>
        <w:rPr>
          <w:rFonts w:hint="eastAsia" w:ascii="宋体" w:hAnsi="宋体"/>
          <w:sz w:val="30"/>
          <w:szCs w:val="30"/>
        </w:rPr>
        <w:t>（五）缺陷责任期。</w:t>
      </w:r>
    </w:p>
    <w:p w14:paraId="02FD60D3">
      <w:pPr>
        <w:ind w:firstLine="600"/>
        <w:rPr>
          <w:rFonts w:ascii="宋体" w:hAnsi="宋体"/>
          <w:sz w:val="30"/>
          <w:szCs w:val="30"/>
        </w:rPr>
      </w:pPr>
      <w:r>
        <w:rPr>
          <w:rFonts w:hint="eastAsia" w:ascii="宋体" w:hAnsi="宋体"/>
          <w:sz w:val="30"/>
          <w:szCs w:val="30"/>
        </w:rPr>
        <w:t>（六）其他时间要求。</w:t>
      </w:r>
    </w:p>
    <w:p w14:paraId="1FED177E">
      <w:pPr>
        <w:ind w:firstLine="600"/>
        <w:rPr>
          <w:rFonts w:ascii="宋体" w:hAnsi="宋体"/>
          <w:sz w:val="30"/>
          <w:szCs w:val="30"/>
        </w:rPr>
      </w:pPr>
      <w:r>
        <w:rPr>
          <w:rFonts w:hint="eastAsia" w:ascii="宋体" w:hAnsi="宋体"/>
          <w:sz w:val="30"/>
          <w:szCs w:val="30"/>
        </w:rPr>
        <w:t>五、技术要求</w:t>
      </w:r>
    </w:p>
    <w:p w14:paraId="749980FB">
      <w:pPr>
        <w:ind w:firstLine="600"/>
        <w:rPr>
          <w:rFonts w:ascii="宋体" w:hAnsi="宋体"/>
          <w:sz w:val="30"/>
          <w:szCs w:val="30"/>
        </w:rPr>
      </w:pPr>
      <w:r>
        <w:rPr>
          <w:rFonts w:hint="eastAsia" w:ascii="宋体" w:hAnsi="宋体"/>
          <w:sz w:val="30"/>
          <w:szCs w:val="30"/>
        </w:rPr>
        <w:t>（一）设计阶段和设计任务。</w:t>
      </w:r>
    </w:p>
    <w:p w14:paraId="65E1DBCA">
      <w:pPr>
        <w:ind w:firstLine="600"/>
        <w:rPr>
          <w:rFonts w:ascii="宋体" w:hAnsi="宋体"/>
          <w:sz w:val="30"/>
          <w:szCs w:val="30"/>
        </w:rPr>
      </w:pPr>
      <w:r>
        <w:rPr>
          <w:rFonts w:hint="eastAsia" w:ascii="宋体" w:hAnsi="宋体"/>
          <w:sz w:val="30"/>
          <w:szCs w:val="30"/>
        </w:rPr>
        <w:t>（二）设计标准和规范。</w:t>
      </w:r>
    </w:p>
    <w:p w14:paraId="52B9A27A">
      <w:pPr>
        <w:ind w:firstLine="600"/>
        <w:rPr>
          <w:rFonts w:ascii="宋体" w:hAnsi="宋体"/>
          <w:sz w:val="30"/>
          <w:szCs w:val="30"/>
        </w:rPr>
      </w:pPr>
      <w:r>
        <w:rPr>
          <w:rFonts w:hint="eastAsia" w:ascii="宋体" w:hAnsi="宋体"/>
          <w:sz w:val="30"/>
          <w:szCs w:val="30"/>
        </w:rPr>
        <w:t>（三）技术标准和要求。</w:t>
      </w:r>
    </w:p>
    <w:p w14:paraId="1206ED69">
      <w:pPr>
        <w:ind w:firstLine="600"/>
        <w:rPr>
          <w:rFonts w:ascii="宋体" w:hAnsi="宋体"/>
          <w:sz w:val="30"/>
          <w:szCs w:val="30"/>
        </w:rPr>
      </w:pPr>
      <w:r>
        <w:rPr>
          <w:rFonts w:hint="eastAsia" w:ascii="宋体" w:hAnsi="宋体"/>
          <w:sz w:val="30"/>
          <w:szCs w:val="30"/>
        </w:rPr>
        <w:t>（四）质量标准。</w:t>
      </w:r>
    </w:p>
    <w:p w14:paraId="74C7829F">
      <w:pPr>
        <w:ind w:firstLine="600"/>
        <w:rPr>
          <w:rFonts w:ascii="宋体" w:hAnsi="宋体"/>
          <w:sz w:val="30"/>
          <w:szCs w:val="30"/>
        </w:rPr>
      </w:pPr>
      <w:r>
        <w:rPr>
          <w:rFonts w:hint="eastAsia" w:ascii="宋体" w:hAnsi="宋体"/>
          <w:sz w:val="30"/>
          <w:szCs w:val="30"/>
        </w:rPr>
        <w:t>（五）设计、施工和设备监造、试验（如有）。</w:t>
      </w:r>
    </w:p>
    <w:p w14:paraId="44D73243">
      <w:pPr>
        <w:ind w:firstLine="600"/>
        <w:rPr>
          <w:rFonts w:ascii="宋体" w:hAnsi="宋体"/>
          <w:sz w:val="30"/>
          <w:szCs w:val="30"/>
        </w:rPr>
      </w:pPr>
      <w:r>
        <w:rPr>
          <w:rFonts w:hint="eastAsia" w:ascii="宋体" w:hAnsi="宋体"/>
          <w:sz w:val="30"/>
          <w:szCs w:val="30"/>
        </w:rPr>
        <w:t>（六）样品。</w:t>
      </w:r>
    </w:p>
    <w:p w14:paraId="72E5B5CA">
      <w:pPr>
        <w:ind w:firstLine="600"/>
        <w:rPr>
          <w:rFonts w:ascii="宋体" w:hAnsi="宋体"/>
          <w:sz w:val="30"/>
          <w:szCs w:val="30"/>
        </w:rPr>
      </w:pPr>
      <w:r>
        <w:rPr>
          <w:rFonts w:hint="eastAsia" w:ascii="宋体" w:hAnsi="宋体"/>
          <w:sz w:val="30"/>
          <w:szCs w:val="30"/>
        </w:rPr>
        <w:t>（七）发包人提供的其他条件，如发包人或其委托的第三人提供的设计、工艺包、用于试验检验的工器具等，以及据此对承包人提出的予以配套的要求。</w:t>
      </w:r>
    </w:p>
    <w:p w14:paraId="43AC7D0A">
      <w:pPr>
        <w:ind w:firstLine="600"/>
        <w:rPr>
          <w:rFonts w:ascii="宋体" w:hAnsi="宋体"/>
          <w:sz w:val="30"/>
          <w:szCs w:val="30"/>
        </w:rPr>
      </w:pPr>
      <w:r>
        <w:rPr>
          <w:rFonts w:hint="eastAsia" w:ascii="宋体" w:hAnsi="宋体"/>
          <w:sz w:val="30"/>
          <w:szCs w:val="30"/>
        </w:rPr>
        <w:t>六、竣工试验</w:t>
      </w:r>
    </w:p>
    <w:p w14:paraId="69520908">
      <w:pPr>
        <w:ind w:firstLine="600"/>
        <w:rPr>
          <w:rFonts w:ascii="宋体" w:hAnsi="宋体"/>
          <w:sz w:val="30"/>
          <w:szCs w:val="30"/>
        </w:rPr>
      </w:pPr>
      <w:r>
        <w:rPr>
          <w:rFonts w:hint="eastAsia" w:ascii="宋体" w:hAnsi="宋体"/>
          <w:sz w:val="30"/>
          <w:szCs w:val="30"/>
        </w:rPr>
        <w:t>（一）第一阶段，如对单车试验等的要求，包括试验前准备。</w:t>
      </w:r>
    </w:p>
    <w:p w14:paraId="1280B19D">
      <w:pPr>
        <w:ind w:firstLine="600"/>
        <w:rPr>
          <w:rFonts w:ascii="宋体" w:hAnsi="宋体"/>
          <w:sz w:val="30"/>
          <w:szCs w:val="30"/>
        </w:rPr>
      </w:pPr>
      <w:r>
        <w:rPr>
          <w:rFonts w:hint="eastAsia" w:ascii="宋体" w:hAnsi="宋体"/>
          <w:sz w:val="30"/>
          <w:szCs w:val="30"/>
        </w:rPr>
        <w:t>（二）第二阶段，如对联动试车、投料试车等的要求，包括人员、设备、材料、燃料、电力、消耗品、工具等必要条件。</w:t>
      </w:r>
    </w:p>
    <w:p w14:paraId="1582A9DA">
      <w:pPr>
        <w:ind w:firstLine="600"/>
        <w:rPr>
          <w:rFonts w:ascii="宋体" w:hAnsi="宋体"/>
          <w:sz w:val="30"/>
          <w:szCs w:val="30"/>
        </w:rPr>
      </w:pPr>
      <w:r>
        <w:rPr>
          <w:rFonts w:hint="eastAsia" w:ascii="宋体" w:hAnsi="宋体"/>
          <w:sz w:val="30"/>
          <w:szCs w:val="30"/>
        </w:rPr>
        <w:t>（三）第三阶段，如对性能测试及其他竣工试验的要求，包括产能指标、产品质量标准、运营指标、环保指标等。</w:t>
      </w:r>
    </w:p>
    <w:p w14:paraId="6DC5D21E">
      <w:pPr>
        <w:ind w:firstLine="600"/>
        <w:rPr>
          <w:rFonts w:ascii="宋体" w:hAnsi="宋体"/>
          <w:sz w:val="30"/>
          <w:szCs w:val="30"/>
        </w:rPr>
      </w:pPr>
      <w:r>
        <w:rPr>
          <w:rFonts w:hint="eastAsia" w:ascii="宋体" w:hAnsi="宋体"/>
          <w:sz w:val="30"/>
          <w:szCs w:val="30"/>
        </w:rPr>
        <w:t>七、竣工验收</w:t>
      </w:r>
    </w:p>
    <w:p w14:paraId="243F7AB2">
      <w:pPr>
        <w:ind w:firstLine="600"/>
        <w:rPr>
          <w:rFonts w:ascii="宋体" w:hAnsi="宋体"/>
          <w:sz w:val="30"/>
          <w:szCs w:val="30"/>
        </w:rPr>
      </w:pPr>
      <w:r>
        <w:rPr>
          <w:rFonts w:hint="eastAsia" w:ascii="宋体" w:hAnsi="宋体"/>
          <w:sz w:val="30"/>
          <w:szCs w:val="30"/>
        </w:rPr>
        <w:t>八、竣工后试验（如有）</w:t>
      </w:r>
    </w:p>
    <w:p w14:paraId="7E25E70C">
      <w:pPr>
        <w:ind w:firstLine="600"/>
        <w:rPr>
          <w:rFonts w:ascii="宋体" w:hAnsi="宋体"/>
          <w:sz w:val="30"/>
          <w:szCs w:val="30"/>
        </w:rPr>
      </w:pPr>
      <w:r>
        <w:rPr>
          <w:rFonts w:hint="eastAsia" w:ascii="宋体" w:hAnsi="宋体"/>
          <w:sz w:val="30"/>
          <w:szCs w:val="30"/>
        </w:rPr>
        <w:t>九、文件要求</w:t>
      </w:r>
    </w:p>
    <w:p w14:paraId="3A34D3A0">
      <w:pPr>
        <w:ind w:firstLine="600"/>
        <w:rPr>
          <w:rFonts w:ascii="宋体" w:hAnsi="宋体"/>
          <w:sz w:val="30"/>
          <w:szCs w:val="30"/>
        </w:rPr>
      </w:pPr>
      <w:r>
        <w:rPr>
          <w:rFonts w:hint="eastAsia" w:ascii="宋体" w:hAnsi="宋体"/>
          <w:sz w:val="30"/>
          <w:szCs w:val="30"/>
        </w:rPr>
        <w:t>（一）设计文件，及其相关审批、核准、备案要求。</w:t>
      </w:r>
    </w:p>
    <w:p w14:paraId="3E6017B4">
      <w:pPr>
        <w:ind w:firstLine="600"/>
        <w:rPr>
          <w:rFonts w:ascii="宋体" w:hAnsi="宋体"/>
          <w:sz w:val="30"/>
          <w:szCs w:val="30"/>
        </w:rPr>
      </w:pPr>
      <w:r>
        <w:rPr>
          <w:rFonts w:hint="eastAsia" w:ascii="宋体" w:hAnsi="宋体"/>
          <w:sz w:val="30"/>
          <w:szCs w:val="30"/>
        </w:rPr>
        <w:t>（二）沟通计划。</w:t>
      </w:r>
    </w:p>
    <w:p w14:paraId="23F67C8A">
      <w:pPr>
        <w:ind w:firstLine="600"/>
        <w:rPr>
          <w:rFonts w:ascii="宋体" w:hAnsi="宋体"/>
          <w:sz w:val="30"/>
          <w:szCs w:val="30"/>
        </w:rPr>
      </w:pPr>
      <w:r>
        <w:rPr>
          <w:rFonts w:hint="eastAsia" w:ascii="宋体" w:hAnsi="宋体"/>
          <w:sz w:val="30"/>
          <w:szCs w:val="30"/>
        </w:rPr>
        <w:t>（三）风险管理计划。</w:t>
      </w:r>
    </w:p>
    <w:p w14:paraId="000C6D92">
      <w:pPr>
        <w:ind w:firstLine="600"/>
        <w:rPr>
          <w:rFonts w:ascii="宋体" w:hAnsi="宋体"/>
          <w:sz w:val="30"/>
          <w:szCs w:val="30"/>
        </w:rPr>
      </w:pPr>
      <w:r>
        <w:rPr>
          <w:rFonts w:hint="eastAsia" w:ascii="宋体" w:hAnsi="宋体"/>
          <w:sz w:val="30"/>
          <w:szCs w:val="30"/>
        </w:rPr>
        <w:t>（四）竣工文件和工程的其他记录。</w:t>
      </w:r>
    </w:p>
    <w:p w14:paraId="78E77586">
      <w:pPr>
        <w:ind w:firstLine="600"/>
        <w:rPr>
          <w:rFonts w:ascii="宋体" w:hAnsi="宋体"/>
          <w:sz w:val="30"/>
          <w:szCs w:val="30"/>
        </w:rPr>
      </w:pPr>
      <w:r>
        <w:rPr>
          <w:rFonts w:hint="eastAsia" w:ascii="宋体" w:hAnsi="宋体"/>
          <w:sz w:val="30"/>
          <w:szCs w:val="30"/>
        </w:rPr>
        <w:t>（五）操作和维修手册。</w:t>
      </w:r>
    </w:p>
    <w:p w14:paraId="0302EC43">
      <w:pPr>
        <w:ind w:firstLine="600"/>
        <w:rPr>
          <w:rFonts w:ascii="宋体" w:hAnsi="宋体"/>
          <w:sz w:val="30"/>
          <w:szCs w:val="30"/>
        </w:rPr>
      </w:pPr>
      <w:r>
        <w:rPr>
          <w:rFonts w:hint="eastAsia" w:ascii="宋体" w:hAnsi="宋体"/>
          <w:sz w:val="30"/>
          <w:szCs w:val="30"/>
        </w:rPr>
        <w:t>（六）其他承包人文件。</w:t>
      </w:r>
    </w:p>
    <w:p w14:paraId="66EC7474">
      <w:pPr>
        <w:ind w:firstLine="600"/>
        <w:rPr>
          <w:rFonts w:ascii="宋体" w:hAnsi="宋体"/>
          <w:sz w:val="30"/>
          <w:szCs w:val="30"/>
        </w:rPr>
      </w:pPr>
      <w:r>
        <w:rPr>
          <w:rFonts w:hint="eastAsia" w:ascii="宋体" w:hAnsi="宋体"/>
          <w:sz w:val="30"/>
          <w:szCs w:val="30"/>
        </w:rPr>
        <w:t>十、工程项目管理规定</w:t>
      </w:r>
    </w:p>
    <w:p w14:paraId="50C7154C">
      <w:pPr>
        <w:ind w:firstLine="600"/>
        <w:rPr>
          <w:rFonts w:ascii="宋体" w:hAnsi="宋体"/>
          <w:sz w:val="30"/>
          <w:szCs w:val="30"/>
        </w:rPr>
      </w:pPr>
      <w:r>
        <w:rPr>
          <w:rFonts w:hint="eastAsia" w:ascii="宋体" w:hAnsi="宋体"/>
          <w:sz w:val="30"/>
          <w:szCs w:val="30"/>
        </w:rPr>
        <w:t>（一）质量。</w:t>
      </w:r>
    </w:p>
    <w:p w14:paraId="7F67FD87">
      <w:pPr>
        <w:ind w:firstLine="600"/>
        <w:rPr>
          <w:rFonts w:ascii="宋体" w:hAnsi="宋体"/>
          <w:sz w:val="30"/>
          <w:szCs w:val="30"/>
        </w:rPr>
      </w:pPr>
      <w:r>
        <w:rPr>
          <w:rFonts w:hint="eastAsia" w:ascii="宋体" w:hAnsi="宋体"/>
          <w:sz w:val="30"/>
          <w:szCs w:val="30"/>
        </w:rPr>
        <w:t>（二）进度，包括里程碑进度计划（如果有）。</w:t>
      </w:r>
    </w:p>
    <w:p w14:paraId="7C97A8F9">
      <w:pPr>
        <w:ind w:firstLine="600"/>
        <w:rPr>
          <w:rFonts w:ascii="宋体" w:hAnsi="宋体"/>
          <w:sz w:val="30"/>
          <w:szCs w:val="30"/>
        </w:rPr>
      </w:pPr>
      <w:r>
        <w:rPr>
          <w:rFonts w:hint="eastAsia" w:ascii="宋体" w:hAnsi="宋体"/>
          <w:sz w:val="30"/>
          <w:szCs w:val="30"/>
        </w:rPr>
        <w:t>（三）支付。</w:t>
      </w:r>
    </w:p>
    <w:p w14:paraId="01C207E4">
      <w:pPr>
        <w:ind w:firstLine="600"/>
        <w:rPr>
          <w:rFonts w:ascii="宋体" w:hAnsi="宋体"/>
          <w:sz w:val="30"/>
          <w:szCs w:val="30"/>
        </w:rPr>
      </w:pPr>
      <w:r>
        <w:rPr>
          <w:rFonts w:hint="eastAsia" w:ascii="宋体" w:hAnsi="宋体"/>
          <w:sz w:val="30"/>
          <w:szCs w:val="30"/>
        </w:rPr>
        <w:t>（四）HSE（健康、安全与环境管理体系）。</w:t>
      </w:r>
    </w:p>
    <w:p w14:paraId="3040F38A">
      <w:pPr>
        <w:ind w:firstLine="600"/>
        <w:rPr>
          <w:rFonts w:ascii="宋体" w:hAnsi="宋体"/>
          <w:sz w:val="30"/>
          <w:szCs w:val="30"/>
        </w:rPr>
      </w:pPr>
      <w:r>
        <w:rPr>
          <w:rFonts w:hint="eastAsia" w:ascii="宋体" w:hAnsi="宋体"/>
          <w:sz w:val="30"/>
          <w:szCs w:val="30"/>
        </w:rPr>
        <w:t>（五）沟通。</w:t>
      </w:r>
    </w:p>
    <w:p w14:paraId="3AEB4AC1">
      <w:pPr>
        <w:ind w:firstLine="600"/>
        <w:rPr>
          <w:rFonts w:ascii="宋体" w:hAnsi="宋体"/>
          <w:sz w:val="30"/>
          <w:szCs w:val="30"/>
        </w:rPr>
      </w:pPr>
      <w:r>
        <w:rPr>
          <w:rFonts w:hint="eastAsia" w:ascii="宋体" w:hAnsi="宋体"/>
          <w:sz w:val="30"/>
          <w:szCs w:val="30"/>
        </w:rPr>
        <w:t>（六）变更。</w:t>
      </w:r>
    </w:p>
    <w:p w14:paraId="48144398">
      <w:pPr>
        <w:ind w:firstLine="600"/>
        <w:rPr>
          <w:rFonts w:ascii="宋体" w:hAnsi="宋体"/>
          <w:sz w:val="30"/>
          <w:szCs w:val="30"/>
        </w:rPr>
      </w:pPr>
      <w:r>
        <w:rPr>
          <w:rFonts w:hint="eastAsia" w:ascii="宋体" w:hAnsi="宋体"/>
          <w:sz w:val="30"/>
          <w:szCs w:val="30"/>
        </w:rPr>
        <w:t>十一、其他要求</w:t>
      </w:r>
    </w:p>
    <w:p w14:paraId="2C9EEE39">
      <w:pPr>
        <w:ind w:firstLine="600"/>
        <w:rPr>
          <w:rFonts w:ascii="宋体" w:hAnsi="宋体"/>
          <w:sz w:val="30"/>
          <w:szCs w:val="30"/>
        </w:rPr>
      </w:pPr>
      <w:r>
        <w:rPr>
          <w:rFonts w:hint="eastAsia" w:ascii="宋体" w:hAnsi="宋体"/>
          <w:sz w:val="30"/>
          <w:szCs w:val="30"/>
        </w:rPr>
        <w:t>（一）对承包人的主要人员资格要求。</w:t>
      </w:r>
    </w:p>
    <w:p w14:paraId="7D3BDF99">
      <w:pPr>
        <w:ind w:firstLine="600"/>
        <w:rPr>
          <w:rFonts w:ascii="宋体" w:hAnsi="宋体"/>
          <w:sz w:val="30"/>
          <w:szCs w:val="30"/>
        </w:rPr>
      </w:pPr>
      <w:r>
        <w:rPr>
          <w:rFonts w:hint="eastAsia" w:ascii="宋体" w:hAnsi="宋体"/>
          <w:sz w:val="30"/>
          <w:szCs w:val="30"/>
        </w:rPr>
        <w:t>（二）相关审批、核准和备案手续的办理。</w:t>
      </w:r>
    </w:p>
    <w:p w14:paraId="3AC99B8B">
      <w:pPr>
        <w:ind w:firstLine="600"/>
        <w:rPr>
          <w:rFonts w:ascii="宋体" w:hAnsi="宋体"/>
          <w:sz w:val="30"/>
          <w:szCs w:val="30"/>
        </w:rPr>
      </w:pPr>
      <w:r>
        <w:rPr>
          <w:rFonts w:hint="eastAsia" w:ascii="宋体" w:hAnsi="宋体"/>
          <w:sz w:val="30"/>
          <w:szCs w:val="30"/>
        </w:rPr>
        <w:t>（三）对项目业主人员的操作培训。</w:t>
      </w:r>
    </w:p>
    <w:p w14:paraId="3E87D0B4">
      <w:pPr>
        <w:ind w:firstLine="600"/>
        <w:rPr>
          <w:rFonts w:ascii="宋体" w:hAnsi="宋体"/>
          <w:sz w:val="30"/>
          <w:szCs w:val="30"/>
        </w:rPr>
      </w:pPr>
      <w:r>
        <w:rPr>
          <w:rFonts w:hint="eastAsia" w:ascii="宋体" w:hAnsi="宋体"/>
          <w:sz w:val="30"/>
          <w:szCs w:val="30"/>
        </w:rPr>
        <w:t>（四）分包。</w:t>
      </w:r>
    </w:p>
    <w:p w14:paraId="666A004A">
      <w:pPr>
        <w:ind w:firstLine="600"/>
        <w:rPr>
          <w:rFonts w:ascii="宋体" w:hAnsi="宋体"/>
          <w:sz w:val="30"/>
          <w:szCs w:val="30"/>
        </w:rPr>
      </w:pPr>
      <w:r>
        <w:rPr>
          <w:rFonts w:hint="eastAsia" w:ascii="宋体" w:hAnsi="宋体"/>
          <w:sz w:val="30"/>
          <w:szCs w:val="30"/>
        </w:rPr>
        <w:t>（五）设备供应商。</w:t>
      </w:r>
    </w:p>
    <w:p w14:paraId="44137D8D">
      <w:pPr>
        <w:ind w:firstLine="600"/>
        <w:rPr>
          <w:rFonts w:ascii="宋体" w:hAnsi="宋体"/>
          <w:sz w:val="30"/>
          <w:szCs w:val="30"/>
        </w:rPr>
      </w:pPr>
      <w:r>
        <w:rPr>
          <w:rFonts w:hint="eastAsia" w:ascii="宋体" w:hAnsi="宋体"/>
          <w:sz w:val="30"/>
          <w:szCs w:val="30"/>
        </w:rPr>
        <w:t>（六）缺陷责任期的服务要求。</w:t>
      </w:r>
    </w:p>
    <w:p w14:paraId="455E8AEF">
      <w:pPr>
        <w:ind w:firstLine="600"/>
        <w:rPr>
          <w:rFonts w:ascii="宋体" w:hAnsi="宋体"/>
          <w:sz w:val="30"/>
          <w:szCs w:val="30"/>
        </w:rPr>
      </w:pPr>
    </w:p>
    <w:p w14:paraId="6DD89A56">
      <w:pPr>
        <w:ind w:firstLine="600"/>
        <w:rPr>
          <w:rFonts w:ascii="宋体" w:hAnsi="宋体"/>
          <w:sz w:val="30"/>
          <w:szCs w:val="30"/>
        </w:rPr>
      </w:pPr>
    </w:p>
    <w:p w14:paraId="2B390ECA">
      <w:pPr>
        <w:ind w:firstLine="600"/>
        <w:rPr>
          <w:rFonts w:ascii="宋体" w:hAnsi="宋体"/>
          <w:sz w:val="30"/>
          <w:szCs w:val="30"/>
        </w:rPr>
      </w:pPr>
      <w:bookmarkStart w:id="759" w:name="_Toc54862353"/>
      <w:bookmarkStart w:id="760" w:name="_Toc20171894"/>
    </w:p>
    <w:p w14:paraId="09C45467">
      <w:pPr>
        <w:ind w:firstLine="600"/>
        <w:rPr>
          <w:rFonts w:ascii="宋体" w:hAnsi="宋体"/>
          <w:sz w:val="30"/>
          <w:szCs w:val="30"/>
        </w:rPr>
      </w:pPr>
    </w:p>
    <w:p w14:paraId="6D1E1E13">
      <w:pPr>
        <w:ind w:firstLine="600"/>
        <w:rPr>
          <w:rFonts w:ascii="宋体" w:hAnsi="宋体"/>
          <w:sz w:val="30"/>
          <w:szCs w:val="30"/>
        </w:rPr>
      </w:pPr>
    </w:p>
    <w:p w14:paraId="2860B955">
      <w:pPr>
        <w:ind w:firstLine="600"/>
        <w:rPr>
          <w:rFonts w:ascii="宋体" w:hAnsi="宋体"/>
          <w:sz w:val="30"/>
          <w:szCs w:val="30"/>
        </w:rPr>
      </w:pPr>
    </w:p>
    <w:p w14:paraId="41D155BE">
      <w:pPr>
        <w:ind w:firstLine="600"/>
        <w:rPr>
          <w:rFonts w:ascii="宋体" w:hAnsi="宋体"/>
          <w:sz w:val="30"/>
          <w:szCs w:val="30"/>
        </w:rPr>
      </w:pPr>
    </w:p>
    <w:p w14:paraId="36C02419">
      <w:pPr>
        <w:ind w:firstLine="600"/>
        <w:rPr>
          <w:rFonts w:ascii="宋体" w:hAnsi="宋体"/>
          <w:sz w:val="30"/>
          <w:szCs w:val="30"/>
        </w:rPr>
      </w:pPr>
    </w:p>
    <w:p w14:paraId="5DF7875E">
      <w:pPr>
        <w:ind w:firstLine="600"/>
        <w:rPr>
          <w:rFonts w:ascii="宋体" w:hAnsi="宋体"/>
          <w:sz w:val="30"/>
          <w:szCs w:val="30"/>
        </w:rPr>
      </w:pPr>
    </w:p>
    <w:p w14:paraId="3B1C0D4C">
      <w:pPr>
        <w:ind w:firstLine="600"/>
        <w:rPr>
          <w:rFonts w:ascii="宋体" w:hAnsi="宋体"/>
          <w:sz w:val="30"/>
          <w:szCs w:val="30"/>
        </w:rPr>
      </w:pPr>
    </w:p>
    <w:p w14:paraId="6772111F">
      <w:pPr>
        <w:ind w:firstLine="600"/>
        <w:rPr>
          <w:rFonts w:ascii="宋体" w:hAnsi="宋体"/>
          <w:sz w:val="30"/>
          <w:szCs w:val="30"/>
        </w:rPr>
      </w:pPr>
    </w:p>
    <w:p w14:paraId="4C7EC2C2">
      <w:pPr>
        <w:ind w:firstLine="600"/>
        <w:rPr>
          <w:rFonts w:ascii="宋体" w:hAnsi="宋体"/>
          <w:sz w:val="30"/>
          <w:szCs w:val="30"/>
        </w:rPr>
      </w:pPr>
    </w:p>
    <w:p w14:paraId="0AC83656">
      <w:pPr>
        <w:ind w:firstLine="600"/>
        <w:rPr>
          <w:rFonts w:ascii="宋体" w:hAnsi="宋体"/>
          <w:sz w:val="30"/>
          <w:szCs w:val="30"/>
        </w:rPr>
      </w:pPr>
    </w:p>
    <w:p w14:paraId="127C3A56">
      <w:pPr>
        <w:ind w:firstLine="600"/>
        <w:rPr>
          <w:rFonts w:ascii="宋体" w:hAnsi="宋体"/>
          <w:sz w:val="30"/>
          <w:szCs w:val="30"/>
        </w:rPr>
      </w:pPr>
    </w:p>
    <w:p w14:paraId="109CC1DB">
      <w:pPr>
        <w:ind w:firstLine="600"/>
        <w:rPr>
          <w:rFonts w:ascii="宋体" w:hAnsi="宋体"/>
          <w:sz w:val="30"/>
          <w:szCs w:val="30"/>
        </w:rPr>
      </w:pPr>
    </w:p>
    <w:p w14:paraId="715A2235">
      <w:pPr>
        <w:ind w:firstLine="600"/>
        <w:rPr>
          <w:rFonts w:ascii="宋体" w:hAnsi="宋体"/>
          <w:sz w:val="30"/>
          <w:szCs w:val="30"/>
        </w:rPr>
      </w:pPr>
    </w:p>
    <w:p w14:paraId="312C331F">
      <w:pPr>
        <w:ind w:firstLine="600"/>
        <w:rPr>
          <w:rFonts w:ascii="宋体" w:hAnsi="宋体"/>
          <w:sz w:val="30"/>
          <w:szCs w:val="30"/>
        </w:rPr>
      </w:pPr>
    </w:p>
    <w:p w14:paraId="20CBD78E">
      <w:pPr>
        <w:ind w:firstLine="600"/>
        <w:rPr>
          <w:rFonts w:ascii="宋体" w:hAnsi="宋体"/>
          <w:sz w:val="30"/>
          <w:szCs w:val="30"/>
        </w:rPr>
      </w:pPr>
    </w:p>
    <w:p w14:paraId="48965157">
      <w:pPr>
        <w:ind w:firstLine="600"/>
        <w:rPr>
          <w:rFonts w:ascii="宋体" w:hAnsi="宋体"/>
          <w:sz w:val="30"/>
          <w:szCs w:val="30"/>
        </w:rPr>
      </w:pPr>
    </w:p>
    <w:p w14:paraId="78A1B57C">
      <w:pPr>
        <w:ind w:firstLine="600"/>
        <w:rPr>
          <w:rFonts w:ascii="宋体" w:hAnsi="宋体"/>
          <w:sz w:val="30"/>
          <w:szCs w:val="30"/>
        </w:rPr>
      </w:pPr>
    </w:p>
    <w:p w14:paraId="639DC222">
      <w:pPr>
        <w:ind w:firstLine="600"/>
        <w:rPr>
          <w:rFonts w:ascii="宋体" w:hAnsi="宋体"/>
          <w:sz w:val="30"/>
          <w:szCs w:val="30"/>
        </w:rPr>
      </w:pPr>
    </w:p>
    <w:p w14:paraId="31FA4DE7">
      <w:pPr>
        <w:ind w:firstLine="600"/>
        <w:rPr>
          <w:rFonts w:ascii="宋体" w:hAnsi="宋体"/>
          <w:sz w:val="30"/>
          <w:szCs w:val="30"/>
        </w:rPr>
      </w:pPr>
    </w:p>
    <w:p w14:paraId="1E8979C6">
      <w:pPr>
        <w:ind w:firstLine="600"/>
        <w:rPr>
          <w:rFonts w:ascii="宋体" w:hAnsi="宋体"/>
          <w:sz w:val="30"/>
          <w:szCs w:val="30"/>
        </w:rPr>
      </w:pPr>
      <w:r>
        <w:rPr>
          <w:rFonts w:hint="eastAsia" w:ascii="宋体" w:hAnsi="宋体"/>
          <w:sz w:val="30"/>
          <w:szCs w:val="30"/>
        </w:rPr>
        <w:t>附件2</w:t>
      </w:r>
      <w:r>
        <w:rPr>
          <w:rFonts w:ascii="宋体" w:hAnsi="宋体"/>
          <w:sz w:val="30"/>
          <w:szCs w:val="30"/>
        </w:rPr>
        <w:t xml:space="preserve"> 发包人供应材料设备一览表</w:t>
      </w:r>
      <w:bookmarkEnd w:id="759"/>
      <w:bookmarkEnd w:id="760"/>
    </w:p>
    <w:tbl>
      <w:tblPr>
        <w:tblStyle w:val="45"/>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552"/>
        <w:gridCol w:w="1165"/>
        <w:gridCol w:w="1126"/>
        <w:gridCol w:w="567"/>
        <w:gridCol w:w="686"/>
        <w:gridCol w:w="992"/>
        <w:gridCol w:w="1134"/>
        <w:gridCol w:w="1134"/>
        <w:gridCol w:w="1134"/>
        <w:gridCol w:w="709"/>
      </w:tblGrid>
      <w:tr w14:paraId="6E548D1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552" w:type="dxa"/>
            <w:tcBorders>
              <w:top w:val="single" w:color="auto" w:sz="12" w:space="0"/>
              <w:bottom w:val="double" w:color="auto" w:sz="6" w:space="0"/>
            </w:tcBorders>
            <w:vAlign w:val="center"/>
          </w:tcPr>
          <w:p w14:paraId="70AF3343">
            <w:pPr>
              <w:ind w:firstLine="600"/>
              <w:rPr>
                <w:rFonts w:ascii="宋体" w:hAnsi="宋体"/>
                <w:sz w:val="30"/>
                <w:szCs w:val="30"/>
              </w:rPr>
            </w:pPr>
            <w:r>
              <w:rPr>
                <w:rFonts w:hint="eastAsia" w:ascii="宋体" w:hAnsi="宋体"/>
                <w:sz w:val="30"/>
                <w:szCs w:val="30"/>
              </w:rPr>
              <w:t>序序号</w:t>
            </w:r>
          </w:p>
        </w:tc>
        <w:tc>
          <w:tcPr>
            <w:tcW w:w="1165" w:type="dxa"/>
            <w:tcBorders>
              <w:top w:val="single" w:color="auto" w:sz="12" w:space="0"/>
              <w:bottom w:val="double" w:color="auto" w:sz="6" w:space="0"/>
            </w:tcBorders>
            <w:vAlign w:val="center"/>
          </w:tcPr>
          <w:p w14:paraId="6780823B">
            <w:pPr>
              <w:rPr>
                <w:rFonts w:ascii="宋体" w:hAnsi="宋体"/>
                <w:sz w:val="30"/>
                <w:szCs w:val="30"/>
              </w:rPr>
            </w:pPr>
            <w:r>
              <w:rPr>
                <w:rFonts w:hint="eastAsia" w:ascii="宋体" w:hAnsi="宋体"/>
                <w:sz w:val="30"/>
                <w:szCs w:val="30"/>
              </w:rPr>
              <w:t>材料、设备品种</w:t>
            </w:r>
          </w:p>
        </w:tc>
        <w:tc>
          <w:tcPr>
            <w:tcW w:w="1126" w:type="dxa"/>
            <w:tcBorders>
              <w:top w:val="single" w:color="auto" w:sz="12" w:space="0"/>
              <w:bottom w:val="double" w:color="auto" w:sz="6" w:space="0"/>
            </w:tcBorders>
            <w:vAlign w:val="center"/>
          </w:tcPr>
          <w:p w14:paraId="648D4F03">
            <w:pPr>
              <w:rPr>
                <w:rFonts w:ascii="宋体" w:hAnsi="宋体"/>
                <w:sz w:val="30"/>
                <w:szCs w:val="30"/>
              </w:rPr>
            </w:pPr>
            <w:r>
              <w:rPr>
                <w:rFonts w:hint="eastAsia" w:ascii="宋体" w:hAnsi="宋体"/>
                <w:sz w:val="30"/>
                <w:szCs w:val="30"/>
              </w:rPr>
              <w:t>规格型号</w:t>
            </w:r>
          </w:p>
        </w:tc>
        <w:tc>
          <w:tcPr>
            <w:tcW w:w="567" w:type="dxa"/>
            <w:tcBorders>
              <w:top w:val="single" w:color="auto" w:sz="12" w:space="0"/>
              <w:bottom w:val="double" w:color="auto" w:sz="6" w:space="0"/>
            </w:tcBorders>
            <w:vAlign w:val="center"/>
          </w:tcPr>
          <w:p w14:paraId="13BCC6B5">
            <w:pPr>
              <w:ind w:firstLine="600"/>
              <w:rPr>
                <w:rFonts w:ascii="宋体" w:hAnsi="宋体"/>
                <w:sz w:val="30"/>
                <w:szCs w:val="30"/>
              </w:rPr>
            </w:pPr>
            <w:r>
              <w:rPr>
                <w:rFonts w:hint="eastAsia" w:ascii="宋体" w:hAnsi="宋体"/>
                <w:sz w:val="30"/>
                <w:szCs w:val="30"/>
              </w:rPr>
              <w:t>单单位</w:t>
            </w:r>
          </w:p>
        </w:tc>
        <w:tc>
          <w:tcPr>
            <w:tcW w:w="686" w:type="dxa"/>
            <w:tcBorders>
              <w:top w:val="single" w:color="auto" w:sz="12" w:space="0"/>
              <w:bottom w:val="double" w:color="auto" w:sz="6" w:space="0"/>
            </w:tcBorders>
            <w:vAlign w:val="center"/>
          </w:tcPr>
          <w:p w14:paraId="4447545D">
            <w:pPr>
              <w:rPr>
                <w:rFonts w:ascii="宋体" w:hAnsi="宋体"/>
                <w:sz w:val="30"/>
                <w:szCs w:val="30"/>
              </w:rPr>
            </w:pPr>
            <w:r>
              <w:rPr>
                <w:rFonts w:hint="eastAsia" w:ascii="宋体" w:hAnsi="宋体"/>
                <w:sz w:val="30"/>
                <w:szCs w:val="30"/>
              </w:rPr>
              <w:t>数量</w:t>
            </w:r>
          </w:p>
        </w:tc>
        <w:tc>
          <w:tcPr>
            <w:tcW w:w="992" w:type="dxa"/>
            <w:tcBorders>
              <w:top w:val="single" w:color="auto" w:sz="12" w:space="0"/>
              <w:bottom w:val="double" w:color="auto" w:sz="6" w:space="0"/>
            </w:tcBorders>
            <w:vAlign w:val="center"/>
          </w:tcPr>
          <w:p w14:paraId="68289A94">
            <w:pPr>
              <w:rPr>
                <w:rFonts w:ascii="宋体" w:hAnsi="宋体"/>
                <w:sz w:val="30"/>
                <w:szCs w:val="30"/>
              </w:rPr>
            </w:pPr>
            <w:r>
              <w:rPr>
                <w:rFonts w:hint="eastAsia" w:ascii="宋体" w:hAnsi="宋体"/>
                <w:sz w:val="30"/>
                <w:szCs w:val="30"/>
              </w:rPr>
              <w:t>单价（元）</w:t>
            </w:r>
          </w:p>
        </w:tc>
        <w:tc>
          <w:tcPr>
            <w:tcW w:w="1134" w:type="dxa"/>
            <w:tcBorders>
              <w:top w:val="single" w:color="auto" w:sz="12" w:space="0"/>
              <w:bottom w:val="double" w:color="auto" w:sz="6" w:space="0"/>
            </w:tcBorders>
            <w:vAlign w:val="center"/>
          </w:tcPr>
          <w:p w14:paraId="4AE186B9">
            <w:pPr>
              <w:rPr>
                <w:rFonts w:ascii="宋体" w:hAnsi="宋体"/>
                <w:sz w:val="30"/>
                <w:szCs w:val="30"/>
              </w:rPr>
            </w:pPr>
            <w:r>
              <w:rPr>
                <w:rFonts w:hint="eastAsia" w:ascii="宋体" w:hAnsi="宋体"/>
                <w:sz w:val="30"/>
                <w:szCs w:val="30"/>
              </w:rPr>
              <w:t>质量等级</w:t>
            </w:r>
          </w:p>
        </w:tc>
        <w:tc>
          <w:tcPr>
            <w:tcW w:w="1134" w:type="dxa"/>
            <w:tcBorders>
              <w:top w:val="single" w:color="auto" w:sz="12" w:space="0"/>
              <w:bottom w:val="double" w:color="auto" w:sz="6" w:space="0"/>
            </w:tcBorders>
            <w:vAlign w:val="center"/>
          </w:tcPr>
          <w:p w14:paraId="3132EFFF">
            <w:pPr>
              <w:rPr>
                <w:rFonts w:ascii="宋体" w:hAnsi="宋体"/>
                <w:sz w:val="30"/>
                <w:szCs w:val="30"/>
              </w:rPr>
            </w:pPr>
            <w:r>
              <w:rPr>
                <w:rFonts w:hint="eastAsia" w:ascii="宋体" w:hAnsi="宋体"/>
                <w:sz w:val="30"/>
                <w:szCs w:val="30"/>
              </w:rPr>
              <w:t>供应时间</w:t>
            </w:r>
          </w:p>
        </w:tc>
        <w:tc>
          <w:tcPr>
            <w:tcW w:w="1134" w:type="dxa"/>
            <w:tcBorders>
              <w:top w:val="single" w:color="auto" w:sz="12" w:space="0"/>
              <w:bottom w:val="double" w:color="auto" w:sz="6" w:space="0"/>
            </w:tcBorders>
            <w:vAlign w:val="center"/>
          </w:tcPr>
          <w:p w14:paraId="6C5863B0">
            <w:pPr>
              <w:rPr>
                <w:rFonts w:ascii="宋体" w:hAnsi="宋体"/>
                <w:sz w:val="30"/>
                <w:szCs w:val="30"/>
              </w:rPr>
            </w:pPr>
            <w:r>
              <w:rPr>
                <w:rFonts w:hint="eastAsia" w:ascii="宋体" w:hAnsi="宋体"/>
                <w:sz w:val="30"/>
                <w:szCs w:val="30"/>
              </w:rPr>
              <w:t>送达地点</w:t>
            </w:r>
          </w:p>
        </w:tc>
        <w:tc>
          <w:tcPr>
            <w:tcW w:w="709" w:type="dxa"/>
            <w:tcBorders>
              <w:top w:val="single" w:color="auto" w:sz="12" w:space="0"/>
              <w:bottom w:val="double" w:color="auto" w:sz="6" w:space="0"/>
            </w:tcBorders>
            <w:vAlign w:val="center"/>
          </w:tcPr>
          <w:p w14:paraId="5C3D480E">
            <w:pPr>
              <w:ind w:firstLine="600"/>
              <w:rPr>
                <w:rFonts w:ascii="宋体" w:hAnsi="宋体"/>
                <w:sz w:val="30"/>
                <w:szCs w:val="30"/>
              </w:rPr>
            </w:pPr>
            <w:r>
              <w:rPr>
                <w:rFonts w:hint="eastAsia" w:ascii="宋体" w:hAnsi="宋体"/>
                <w:sz w:val="30"/>
                <w:szCs w:val="30"/>
              </w:rPr>
              <w:t>备备注</w:t>
            </w:r>
          </w:p>
        </w:tc>
      </w:tr>
      <w:tr w14:paraId="58AF996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52" w:type="dxa"/>
            <w:tcBorders>
              <w:top w:val="double" w:color="auto" w:sz="6" w:space="0"/>
              <w:bottom w:val="single" w:color="auto" w:sz="6" w:space="0"/>
            </w:tcBorders>
            <w:vAlign w:val="center"/>
          </w:tcPr>
          <w:p w14:paraId="338F9C57">
            <w:pPr>
              <w:ind w:firstLine="600"/>
              <w:rPr>
                <w:rFonts w:ascii="宋体" w:hAnsi="宋体"/>
                <w:sz w:val="30"/>
                <w:szCs w:val="30"/>
              </w:rPr>
            </w:pPr>
          </w:p>
        </w:tc>
        <w:tc>
          <w:tcPr>
            <w:tcW w:w="1165" w:type="dxa"/>
            <w:tcBorders>
              <w:top w:val="double" w:color="auto" w:sz="6" w:space="0"/>
              <w:bottom w:val="single" w:color="auto" w:sz="6" w:space="0"/>
            </w:tcBorders>
            <w:vAlign w:val="center"/>
          </w:tcPr>
          <w:p w14:paraId="510B3096">
            <w:pPr>
              <w:ind w:firstLine="600"/>
              <w:rPr>
                <w:rFonts w:ascii="宋体" w:hAnsi="宋体"/>
                <w:sz w:val="30"/>
                <w:szCs w:val="30"/>
              </w:rPr>
            </w:pPr>
          </w:p>
        </w:tc>
        <w:tc>
          <w:tcPr>
            <w:tcW w:w="1126" w:type="dxa"/>
            <w:tcBorders>
              <w:top w:val="double" w:color="auto" w:sz="6" w:space="0"/>
              <w:bottom w:val="single" w:color="auto" w:sz="6" w:space="0"/>
            </w:tcBorders>
            <w:vAlign w:val="center"/>
          </w:tcPr>
          <w:p w14:paraId="38B6A067">
            <w:pPr>
              <w:ind w:firstLine="600"/>
              <w:rPr>
                <w:rFonts w:ascii="宋体" w:hAnsi="宋体"/>
                <w:sz w:val="30"/>
                <w:szCs w:val="30"/>
              </w:rPr>
            </w:pPr>
          </w:p>
        </w:tc>
        <w:tc>
          <w:tcPr>
            <w:tcW w:w="567" w:type="dxa"/>
            <w:tcBorders>
              <w:top w:val="double" w:color="auto" w:sz="6" w:space="0"/>
              <w:bottom w:val="single" w:color="auto" w:sz="6" w:space="0"/>
            </w:tcBorders>
            <w:vAlign w:val="center"/>
          </w:tcPr>
          <w:p w14:paraId="6367DCCF">
            <w:pPr>
              <w:ind w:firstLine="600"/>
              <w:rPr>
                <w:rFonts w:ascii="宋体" w:hAnsi="宋体"/>
                <w:sz w:val="30"/>
                <w:szCs w:val="30"/>
              </w:rPr>
            </w:pPr>
          </w:p>
        </w:tc>
        <w:tc>
          <w:tcPr>
            <w:tcW w:w="686" w:type="dxa"/>
            <w:tcBorders>
              <w:top w:val="double" w:color="auto" w:sz="6" w:space="0"/>
              <w:bottom w:val="single" w:color="auto" w:sz="6" w:space="0"/>
            </w:tcBorders>
            <w:vAlign w:val="center"/>
          </w:tcPr>
          <w:p w14:paraId="0E05C13E">
            <w:pPr>
              <w:ind w:firstLine="600"/>
              <w:rPr>
                <w:rFonts w:ascii="宋体" w:hAnsi="宋体"/>
                <w:sz w:val="30"/>
                <w:szCs w:val="30"/>
              </w:rPr>
            </w:pPr>
          </w:p>
        </w:tc>
        <w:tc>
          <w:tcPr>
            <w:tcW w:w="992" w:type="dxa"/>
            <w:tcBorders>
              <w:top w:val="double" w:color="auto" w:sz="6" w:space="0"/>
              <w:bottom w:val="single" w:color="auto" w:sz="6" w:space="0"/>
            </w:tcBorders>
          </w:tcPr>
          <w:p w14:paraId="140C58EC">
            <w:pPr>
              <w:ind w:firstLine="600"/>
              <w:rPr>
                <w:rFonts w:ascii="宋体" w:hAnsi="宋体"/>
                <w:sz w:val="30"/>
                <w:szCs w:val="30"/>
              </w:rPr>
            </w:pPr>
          </w:p>
        </w:tc>
        <w:tc>
          <w:tcPr>
            <w:tcW w:w="1134" w:type="dxa"/>
            <w:tcBorders>
              <w:top w:val="double" w:color="auto" w:sz="6" w:space="0"/>
              <w:bottom w:val="single" w:color="auto" w:sz="6" w:space="0"/>
            </w:tcBorders>
            <w:vAlign w:val="center"/>
          </w:tcPr>
          <w:p w14:paraId="104AEF29">
            <w:pPr>
              <w:ind w:firstLine="600"/>
              <w:rPr>
                <w:rFonts w:ascii="宋体" w:hAnsi="宋体"/>
                <w:sz w:val="30"/>
                <w:szCs w:val="30"/>
              </w:rPr>
            </w:pPr>
          </w:p>
        </w:tc>
        <w:tc>
          <w:tcPr>
            <w:tcW w:w="1134" w:type="dxa"/>
            <w:tcBorders>
              <w:top w:val="double" w:color="auto" w:sz="6" w:space="0"/>
              <w:bottom w:val="single" w:color="auto" w:sz="6" w:space="0"/>
            </w:tcBorders>
            <w:vAlign w:val="center"/>
          </w:tcPr>
          <w:p w14:paraId="66576420">
            <w:pPr>
              <w:ind w:firstLine="600"/>
              <w:rPr>
                <w:rFonts w:ascii="宋体" w:hAnsi="宋体"/>
                <w:sz w:val="30"/>
                <w:szCs w:val="30"/>
              </w:rPr>
            </w:pPr>
          </w:p>
        </w:tc>
        <w:tc>
          <w:tcPr>
            <w:tcW w:w="1134" w:type="dxa"/>
            <w:tcBorders>
              <w:top w:val="double" w:color="auto" w:sz="6" w:space="0"/>
              <w:bottom w:val="single" w:color="auto" w:sz="6" w:space="0"/>
            </w:tcBorders>
            <w:vAlign w:val="center"/>
          </w:tcPr>
          <w:p w14:paraId="42B1C972">
            <w:pPr>
              <w:ind w:firstLine="600"/>
              <w:rPr>
                <w:rFonts w:ascii="宋体" w:hAnsi="宋体"/>
                <w:sz w:val="30"/>
                <w:szCs w:val="30"/>
              </w:rPr>
            </w:pPr>
          </w:p>
        </w:tc>
        <w:tc>
          <w:tcPr>
            <w:tcW w:w="709" w:type="dxa"/>
            <w:tcBorders>
              <w:top w:val="double" w:color="auto" w:sz="6" w:space="0"/>
              <w:bottom w:val="single" w:color="auto" w:sz="6" w:space="0"/>
            </w:tcBorders>
            <w:vAlign w:val="center"/>
          </w:tcPr>
          <w:p w14:paraId="4633743D">
            <w:pPr>
              <w:ind w:firstLine="600"/>
              <w:rPr>
                <w:rFonts w:ascii="宋体" w:hAnsi="宋体"/>
                <w:sz w:val="30"/>
                <w:szCs w:val="30"/>
              </w:rPr>
            </w:pPr>
          </w:p>
        </w:tc>
      </w:tr>
      <w:tr w14:paraId="2742527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52" w:type="dxa"/>
            <w:tcBorders>
              <w:top w:val="nil"/>
            </w:tcBorders>
            <w:vAlign w:val="center"/>
          </w:tcPr>
          <w:p w14:paraId="46AB6480">
            <w:pPr>
              <w:ind w:firstLine="600"/>
              <w:rPr>
                <w:rFonts w:ascii="宋体" w:hAnsi="宋体"/>
                <w:sz w:val="30"/>
                <w:szCs w:val="30"/>
              </w:rPr>
            </w:pPr>
          </w:p>
        </w:tc>
        <w:tc>
          <w:tcPr>
            <w:tcW w:w="1165" w:type="dxa"/>
            <w:tcBorders>
              <w:top w:val="nil"/>
            </w:tcBorders>
            <w:vAlign w:val="center"/>
          </w:tcPr>
          <w:p w14:paraId="00F71D7A">
            <w:pPr>
              <w:ind w:firstLine="600"/>
              <w:rPr>
                <w:rFonts w:ascii="宋体" w:hAnsi="宋体"/>
                <w:sz w:val="30"/>
                <w:szCs w:val="30"/>
              </w:rPr>
            </w:pPr>
          </w:p>
        </w:tc>
        <w:tc>
          <w:tcPr>
            <w:tcW w:w="1126" w:type="dxa"/>
            <w:tcBorders>
              <w:top w:val="nil"/>
            </w:tcBorders>
            <w:vAlign w:val="center"/>
          </w:tcPr>
          <w:p w14:paraId="6D195338">
            <w:pPr>
              <w:ind w:firstLine="600"/>
              <w:rPr>
                <w:rFonts w:ascii="宋体" w:hAnsi="宋体"/>
                <w:sz w:val="30"/>
                <w:szCs w:val="30"/>
              </w:rPr>
            </w:pPr>
          </w:p>
        </w:tc>
        <w:tc>
          <w:tcPr>
            <w:tcW w:w="567" w:type="dxa"/>
            <w:tcBorders>
              <w:top w:val="nil"/>
            </w:tcBorders>
            <w:vAlign w:val="center"/>
          </w:tcPr>
          <w:p w14:paraId="0701DF39">
            <w:pPr>
              <w:ind w:firstLine="600"/>
              <w:rPr>
                <w:rFonts w:ascii="宋体" w:hAnsi="宋体"/>
                <w:sz w:val="30"/>
                <w:szCs w:val="30"/>
              </w:rPr>
            </w:pPr>
          </w:p>
        </w:tc>
        <w:tc>
          <w:tcPr>
            <w:tcW w:w="686" w:type="dxa"/>
            <w:tcBorders>
              <w:top w:val="nil"/>
            </w:tcBorders>
            <w:vAlign w:val="center"/>
          </w:tcPr>
          <w:p w14:paraId="00DF6661">
            <w:pPr>
              <w:ind w:firstLine="600"/>
              <w:rPr>
                <w:rFonts w:ascii="宋体" w:hAnsi="宋体"/>
                <w:sz w:val="30"/>
                <w:szCs w:val="30"/>
              </w:rPr>
            </w:pPr>
          </w:p>
        </w:tc>
        <w:tc>
          <w:tcPr>
            <w:tcW w:w="992" w:type="dxa"/>
            <w:tcBorders>
              <w:top w:val="nil"/>
            </w:tcBorders>
          </w:tcPr>
          <w:p w14:paraId="20A9E065">
            <w:pPr>
              <w:ind w:firstLine="600"/>
              <w:rPr>
                <w:rFonts w:ascii="宋体" w:hAnsi="宋体"/>
                <w:sz w:val="30"/>
                <w:szCs w:val="30"/>
              </w:rPr>
            </w:pPr>
          </w:p>
        </w:tc>
        <w:tc>
          <w:tcPr>
            <w:tcW w:w="1134" w:type="dxa"/>
            <w:tcBorders>
              <w:top w:val="nil"/>
            </w:tcBorders>
            <w:vAlign w:val="center"/>
          </w:tcPr>
          <w:p w14:paraId="6382CBF2">
            <w:pPr>
              <w:ind w:firstLine="600"/>
              <w:rPr>
                <w:rFonts w:ascii="宋体" w:hAnsi="宋体"/>
                <w:sz w:val="30"/>
                <w:szCs w:val="30"/>
              </w:rPr>
            </w:pPr>
          </w:p>
        </w:tc>
        <w:tc>
          <w:tcPr>
            <w:tcW w:w="1134" w:type="dxa"/>
            <w:tcBorders>
              <w:top w:val="nil"/>
            </w:tcBorders>
            <w:vAlign w:val="center"/>
          </w:tcPr>
          <w:p w14:paraId="4FB6B01F">
            <w:pPr>
              <w:ind w:firstLine="600"/>
              <w:rPr>
                <w:rFonts w:ascii="宋体" w:hAnsi="宋体"/>
                <w:sz w:val="30"/>
                <w:szCs w:val="30"/>
              </w:rPr>
            </w:pPr>
          </w:p>
        </w:tc>
        <w:tc>
          <w:tcPr>
            <w:tcW w:w="1134" w:type="dxa"/>
            <w:tcBorders>
              <w:top w:val="nil"/>
            </w:tcBorders>
            <w:vAlign w:val="center"/>
          </w:tcPr>
          <w:p w14:paraId="1D58EDC2">
            <w:pPr>
              <w:ind w:firstLine="600"/>
              <w:rPr>
                <w:rFonts w:ascii="宋体" w:hAnsi="宋体"/>
                <w:sz w:val="30"/>
                <w:szCs w:val="30"/>
              </w:rPr>
            </w:pPr>
          </w:p>
        </w:tc>
        <w:tc>
          <w:tcPr>
            <w:tcW w:w="709" w:type="dxa"/>
            <w:tcBorders>
              <w:top w:val="nil"/>
            </w:tcBorders>
            <w:vAlign w:val="center"/>
          </w:tcPr>
          <w:p w14:paraId="1C7F2294">
            <w:pPr>
              <w:ind w:firstLine="600"/>
              <w:rPr>
                <w:rFonts w:ascii="宋体" w:hAnsi="宋体"/>
                <w:sz w:val="30"/>
                <w:szCs w:val="30"/>
              </w:rPr>
            </w:pPr>
          </w:p>
        </w:tc>
      </w:tr>
      <w:tr w14:paraId="181F4E7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52" w:type="dxa"/>
            <w:vAlign w:val="center"/>
          </w:tcPr>
          <w:p w14:paraId="04FF7F20">
            <w:pPr>
              <w:ind w:firstLine="600"/>
              <w:rPr>
                <w:rFonts w:ascii="宋体" w:hAnsi="宋体"/>
                <w:sz w:val="30"/>
                <w:szCs w:val="30"/>
              </w:rPr>
            </w:pPr>
          </w:p>
        </w:tc>
        <w:tc>
          <w:tcPr>
            <w:tcW w:w="1165" w:type="dxa"/>
            <w:vAlign w:val="center"/>
          </w:tcPr>
          <w:p w14:paraId="244F38B8">
            <w:pPr>
              <w:ind w:firstLine="600"/>
              <w:rPr>
                <w:rFonts w:ascii="宋体" w:hAnsi="宋体"/>
                <w:sz w:val="30"/>
                <w:szCs w:val="30"/>
              </w:rPr>
            </w:pPr>
          </w:p>
        </w:tc>
        <w:tc>
          <w:tcPr>
            <w:tcW w:w="1126" w:type="dxa"/>
            <w:vAlign w:val="center"/>
          </w:tcPr>
          <w:p w14:paraId="795E0920">
            <w:pPr>
              <w:ind w:firstLine="600"/>
              <w:rPr>
                <w:rFonts w:ascii="宋体" w:hAnsi="宋体"/>
                <w:sz w:val="30"/>
                <w:szCs w:val="30"/>
              </w:rPr>
            </w:pPr>
          </w:p>
        </w:tc>
        <w:tc>
          <w:tcPr>
            <w:tcW w:w="567" w:type="dxa"/>
            <w:vAlign w:val="center"/>
          </w:tcPr>
          <w:p w14:paraId="48345677">
            <w:pPr>
              <w:ind w:firstLine="600"/>
              <w:rPr>
                <w:rFonts w:ascii="宋体" w:hAnsi="宋体"/>
                <w:sz w:val="30"/>
                <w:szCs w:val="30"/>
              </w:rPr>
            </w:pPr>
          </w:p>
        </w:tc>
        <w:tc>
          <w:tcPr>
            <w:tcW w:w="686" w:type="dxa"/>
            <w:vAlign w:val="center"/>
          </w:tcPr>
          <w:p w14:paraId="2176B6DD">
            <w:pPr>
              <w:ind w:firstLine="600"/>
              <w:rPr>
                <w:rFonts w:ascii="宋体" w:hAnsi="宋体"/>
                <w:sz w:val="30"/>
                <w:szCs w:val="30"/>
              </w:rPr>
            </w:pPr>
          </w:p>
        </w:tc>
        <w:tc>
          <w:tcPr>
            <w:tcW w:w="992" w:type="dxa"/>
          </w:tcPr>
          <w:p w14:paraId="2C3FD04B">
            <w:pPr>
              <w:ind w:firstLine="600"/>
              <w:rPr>
                <w:rFonts w:ascii="宋体" w:hAnsi="宋体"/>
                <w:sz w:val="30"/>
                <w:szCs w:val="30"/>
              </w:rPr>
            </w:pPr>
          </w:p>
        </w:tc>
        <w:tc>
          <w:tcPr>
            <w:tcW w:w="1134" w:type="dxa"/>
            <w:vAlign w:val="center"/>
          </w:tcPr>
          <w:p w14:paraId="03AD4AAD">
            <w:pPr>
              <w:ind w:firstLine="600"/>
              <w:rPr>
                <w:rFonts w:ascii="宋体" w:hAnsi="宋体"/>
                <w:sz w:val="30"/>
                <w:szCs w:val="30"/>
              </w:rPr>
            </w:pPr>
          </w:p>
        </w:tc>
        <w:tc>
          <w:tcPr>
            <w:tcW w:w="1134" w:type="dxa"/>
            <w:vAlign w:val="center"/>
          </w:tcPr>
          <w:p w14:paraId="55C6DD8E">
            <w:pPr>
              <w:ind w:firstLine="600"/>
              <w:rPr>
                <w:rFonts w:ascii="宋体" w:hAnsi="宋体"/>
                <w:sz w:val="30"/>
                <w:szCs w:val="30"/>
              </w:rPr>
            </w:pPr>
          </w:p>
        </w:tc>
        <w:tc>
          <w:tcPr>
            <w:tcW w:w="1134" w:type="dxa"/>
            <w:vAlign w:val="center"/>
          </w:tcPr>
          <w:p w14:paraId="157415FC">
            <w:pPr>
              <w:ind w:firstLine="600"/>
              <w:rPr>
                <w:rFonts w:ascii="宋体" w:hAnsi="宋体"/>
                <w:sz w:val="30"/>
                <w:szCs w:val="30"/>
              </w:rPr>
            </w:pPr>
          </w:p>
        </w:tc>
        <w:tc>
          <w:tcPr>
            <w:tcW w:w="709" w:type="dxa"/>
            <w:vAlign w:val="center"/>
          </w:tcPr>
          <w:p w14:paraId="7F44464E">
            <w:pPr>
              <w:ind w:firstLine="600"/>
              <w:rPr>
                <w:rFonts w:ascii="宋体" w:hAnsi="宋体"/>
                <w:sz w:val="30"/>
                <w:szCs w:val="30"/>
              </w:rPr>
            </w:pPr>
          </w:p>
        </w:tc>
      </w:tr>
      <w:tr w14:paraId="50EEE72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52" w:type="dxa"/>
            <w:vAlign w:val="center"/>
          </w:tcPr>
          <w:p w14:paraId="2FC1F939">
            <w:pPr>
              <w:ind w:firstLine="600"/>
              <w:rPr>
                <w:rFonts w:ascii="宋体" w:hAnsi="宋体"/>
                <w:sz w:val="30"/>
                <w:szCs w:val="30"/>
              </w:rPr>
            </w:pPr>
          </w:p>
        </w:tc>
        <w:tc>
          <w:tcPr>
            <w:tcW w:w="1165" w:type="dxa"/>
            <w:vAlign w:val="center"/>
          </w:tcPr>
          <w:p w14:paraId="370806CF">
            <w:pPr>
              <w:ind w:firstLine="600"/>
              <w:rPr>
                <w:rFonts w:ascii="宋体" w:hAnsi="宋体"/>
                <w:sz w:val="30"/>
                <w:szCs w:val="30"/>
              </w:rPr>
            </w:pPr>
          </w:p>
        </w:tc>
        <w:tc>
          <w:tcPr>
            <w:tcW w:w="1126" w:type="dxa"/>
            <w:vAlign w:val="center"/>
          </w:tcPr>
          <w:p w14:paraId="63098BBB">
            <w:pPr>
              <w:ind w:firstLine="600"/>
              <w:rPr>
                <w:rFonts w:ascii="宋体" w:hAnsi="宋体"/>
                <w:sz w:val="30"/>
                <w:szCs w:val="30"/>
              </w:rPr>
            </w:pPr>
          </w:p>
        </w:tc>
        <w:tc>
          <w:tcPr>
            <w:tcW w:w="567" w:type="dxa"/>
            <w:vAlign w:val="center"/>
          </w:tcPr>
          <w:p w14:paraId="165F0D8F">
            <w:pPr>
              <w:ind w:firstLine="600"/>
              <w:rPr>
                <w:rFonts w:ascii="宋体" w:hAnsi="宋体"/>
                <w:sz w:val="30"/>
                <w:szCs w:val="30"/>
              </w:rPr>
            </w:pPr>
          </w:p>
        </w:tc>
        <w:tc>
          <w:tcPr>
            <w:tcW w:w="686" w:type="dxa"/>
            <w:vAlign w:val="center"/>
          </w:tcPr>
          <w:p w14:paraId="4CFDB5D4">
            <w:pPr>
              <w:ind w:firstLine="600"/>
              <w:rPr>
                <w:rFonts w:ascii="宋体" w:hAnsi="宋体"/>
                <w:sz w:val="30"/>
                <w:szCs w:val="30"/>
              </w:rPr>
            </w:pPr>
          </w:p>
        </w:tc>
        <w:tc>
          <w:tcPr>
            <w:tcW w:w="992" w:type="dxa"/>
          </w:tcPr>
          <w:p w14:paraId="3A6447B8">
            <w:pPr>
              <w:ind w:firstLine="600"/>
              <w:rPr>
                <w:rFonts w:ascii="宋体" w:hAnsi="宋体"/>
                <w:sz w:val="30"/>
                <w:szCs w:val="30"/>
              </w:rPr>
            </w:pPr>
          </w:p>
        </w:tc>
        <w:tc>
          <w:tcPr>
            <w:tcW w:w="1134" w:type="dxa"/>
            <w:vAlign w:val="center"/>
          </w:tcPr>
          <w:p w14:paraId="240B5FE1">
            <w:pPr>
              <w:ind w:firstLine="600"/>
              <w:rPr>
                <w:rFonts w:ascii="宋体" w:hAnsi="宋体"/>
                <w:sz w:val="30"/>
                <w:szCs w:val="30"/>
              </w:rPr>
            </w:pPr>
          </w:p>
        </w:tc>
        <w:tc>
          <w:tcPr>
            <w:tcW w:w="1134" w:type="dxa"/>
            <w:vAlign w:val="center"/>
          </w:tcPr>
          <w:p w14:paraId="027CB025">
            <w:pPr>
              <w:ind w:firstLine="600"/>
              <w:rPr>
                <w:rFonts w:ascii="宋体" w:hAnsi="宋体"/>
                <w:sz w:val="30"/>
                <w:szCs w:val="30"/>
              </w:rPr>
            </w:pPr>
          </w:p>
        </w:tc>
        <w:tc>
          <w:tcPr>
            <w:tcW w:w="1134" w:type="dxa"/>
            <w:vAlign w:val="center"/>
          </w:tcPr>
          <w:p w14:paraId="079DC467">
            <w:pPr>
              <w:ind w:firstLine="600"/>
              <w:rPr>
                <w:rFonts w:ascii="宋体" w:hAnsi="宋体"/>
                <w:sz w:val="30"/>
                <w:szCs w:val="30"/>
              </w:rPr>
            </w:pPr>
          </w:p>
        </w:tc>
        <w:tc>
          <w:tcPr>
            <w:tcW w:w="709" w:type="dxa"/>
            <w:vAlign w:val="center"/>
          </w:tcPr>
          <w:p w14:paraId="1DA65AEA">
            <w:pPr>
              <w:ind w:firstLine="600"/>
              <w:rPr>
                <w:rFonts w:ascii="宋体" w:hAnsi="宋体"/>
                <w:sz w:val="30"/>
                <w:szCs w:val="30"/>
              </w:rPr>
            </w:pPr>
          </w:p>
        </w:tc>
      </w:tr>
      <w:tr w14:paraId="3FB747D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52" w:type="dxa"/>
            <w:vAlign w:val="center"/>
          </w:tcPr>
          <w:p w14:paraId="09116B0D">
            <w:pPr>
              <w:ind w:firstLine="600"/>
              <w:rPr>
                <w:rFonts w:ascii="宋体" w:hAnsi="宋体"/>
                <w:sz w:val="30"/>
                <w:szCs w:val="30"/>
              </w:rPr>
            </w:pPr>
          </w:p>
        </w:tc>
        <w:tc>
          <w:tcPr>
            <w:tcW w:w="1165" w:type="dxa"/>
            <w:vAlign w:val="center"/>
          </w:tcPr>
          <w:p w14:paraId="4AE47E4D">
            <w:pPr>
              <w:ind w:firstLine="600"/>
              <w:rPr>
                <w:rFonts w:ascii="宋体" w:hAnsi="宋体"/>
                <w:sz w:val="30"/>
                <w:szCs w:val="30"/>
              </w:rPr>
            </w:pPr>
          </w:p>
        </w:tc>
        <w:tc>
          <w:tcPr>
            <w:tcW w:w="1126" w:type="dxa"/>
            <w:vAlign w:val="center"/>
          </w:tcPr>
          <w:p w14:paraId="79232FC0">
            <w:pPr>
              <w:ind w:firstLine="600"/>
              <w:rPr>
                <w:rFonts w:ascii="宋体" w:hAnsi="宋体"/>
                <w:sz w:val="30"/>
                <w:szCs w:val="30"/>
              </w:rPr>
            </w:pPr>
          </w:p>
        </w:tc>
        <w:tc>
          <w:tcPr>
            <w:tcW w:w="567" w:type="dxa"/>
            <w:vAlign w:val="center"/>
          </w:tcPr>
          <w:p w14:paraId="5FE5E7EF">
            <w:pPr>
              <w:ind w:firstLine="600"/>
              <w:rPr>
                <w:rFonts w:ascii="宋体" w:hAnsi="宋体"/>
                <w:sz w:val="30"/>
                <w:szCs w:val="30"/>
              </w:rPr>
            </w:pPr>
          </w:p>
        </w:tc>
        <w:tc>
          <w:tcPr>
            <w:tcW w:w="686" w:type="dxa"/>
            <w:vAlign w:val="center"/>
          </w:tcPr>
          <w:p w14:paraId="330ECB74">
            <w:pPr>
              <w:ind w:firstLine="600"/>
              <w:rPr>
                <w:rFonts w:ascii="宋体" w:hAnsi="宋体"/>
                <w:sz w:val="30"/>
                <w:szCs w:val="30"/>
              </w:rPr>
            </w:pPr>
          </w:p>
        </w:tc>
        <w:tc>
          <w:tcPr>
            <w:tcW w:w="992" w:type="dxa"/>
          </w:tcPr>
          <w:p w14:paraId="650E1AEC">
            <w:pPr>
              <w:ind w:firstLine="600"/>
              <w:rPr>
                <w:rFonts w:ascii="宋体" w:hAnsi="宋体"/>
                <w:sz w:val="30"/>
                <w:szCs w:val="30"/>
              </w:rPr>
            </w:pPr>
          </w:p>
        </w:tc>
        <w:tc>
          <w:tcPr>
            <w:tcW w:w="1134" w:type="dxa"/>
            <w:vAlign w:val="center"/>
          </w:tcPr>
          <w:p w14:paraId="796D43E9">
            <w:pPr>
              <w:ind w:firstLine="600"/>
              <w:rPr>
                <w:rFonts w:ascii="宋体" w:hAnsi="宋体"/>
                <w:sz w:val="30"/>
                <w:szCs w:val="30"/>
              </w:rPr>
            </w:pPr>
          </w:p>
        </w:tc>
        <w:tc>
          <w:tcPr>
            <w:tcW w:w="1134" w:type="dxa"/>
            <w:vAlign w:val="center"/>
          </w:tcPr>
          <w:p w14:paraId="355F4A29">
            <w:pPr>
              <w:ind w:firstLine="600"/>
              <w:rPr>
                <w:rFonts w:ascii="宋体" w:hAnsi="宋体"/>
                <w:sz w:val="30"/>
                <w:szCs w:val="30"/>
              </w:rPr>
            </w:pPr>
          </w:p>
        </w:tc>
        <w:tc>
          <w:tcPr>
            <w:tcW w:w="1134" w:type="dxa"/>
            <w:vAlign w:val="center"/>
          </w:tcPr>
          <w:p w14:paraId="3FBA2471">
            <w:pPr>
              <w:ind w:firstLine="600"/>
              <w:rPr>
                <w:rFonts w:ascii="宋体" w:hAnsi="宋体"/>
                <w:sz w:val="30"/>
                <w:szCs w:val="30"/>
              </w:rPr>
            </w:pPr>
          </w:p>
        </w:tc>
        <w:tc>
          <w:tcPr>
            <w:tcW w:w="709" w:type="dxa"/>
            <w:vAlign w:val="center"/>
          </w:tcPr>
          <w:p w14:paraId="097B0550">
            <w:pPr>
              <w:ind w:firstLine="600"/>
              <w:rPr>
                <w:rFonts w:ascii="宋体" w:hAnsi="宋体"/>
                <w:sz w:val="30"/>
                <w:szCs w:val="30"/>
              </w:rPr>
            </w:pPr>
          </w:p>
        </w:tc>
      </w:tr>
      <w:tr w14:paraId="343BC9E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52" w:type="dxa"/>
            <w:vAlign w:val="center"/>
          </w:tcPr>
          <w:p w14:paraId="69929C12">
            <w:pPr>
              <w:ind w:firstLine="600"/>
              <w:rPr>
                <w:rFonts w:ascii="宋体" w:hAnsi="宋体"/>
                <w:sz w:val="30"/>
                <w:szCs w:val="30"/>
              </w:rPr>
            </w:pPr>
          </w:p>
        </w:tc>
        <w:tc>
          <w:tcPr>
            <w:tcW w:w="1165" w:type="dxa"/>
            <w:vAlign w:val="center"/>
          </w:tcPr>
          <w:p w14:paraId="3ABA6B2B">
            <w:pPr>
              <w:ind w:firstLine="600"/>
              <w:rPr>
                <w:rFonts w:ascii="宋体" w:hAnsi="宋体"/>
                <w:sz w:val="30"/>
                <w:szCs w:val="30"/>
              </w:rPr>
            </w:pPr>
          </w:p>
        </w:tc>
        <w:tc>
          <w:tcPr>
            <w:tcW w:w="1126" w:type="dxa"/>
            <w:vAlign w:val="center"/>
          </w:tcPr>
          <w:p w14:paraId="1492D4DC">
            <w:pPr>
              <w:ind w:firstLine="600"/>
              <w:rPr>
                <w:rFonts w:ascii="宋体" w:hAnsi="宋体"/>
                <w:sz w:val="30"/>
                <w:szCs w:val="30"/>
              </w:rPr>
            </w:pPr>
          </w:p>
        </w:tc>
        <w:tc>
          <w:tcPr>
            <w:tcW w:w="567" w:type="dxa"/>
            <w:vAlign w:val="center"/>
          </w:tcPr>
          <w:p w14:paraId="68CD7C13">
            <w:pPr>
              <w:ind w:firstLine="600"/>
              <w:rPr>
                <w:rFonts w:ascii="宋体" w:hAnsi="宋体"/>
                <w:sz w:val="30"/>
                <w:szCs w:val="30"/>
              </w:rPr>
            </w:pPr>
          </w:p>
        </w:tc>
        <w:tc>
          <w:tcPr>
            <w:tcW w:w="686" w:type="dxa"/>
            <w:vAlign w:val="center"/>
          </w:tcPr>
          <w:p w14:paraId="3F21FA18">
            <w:pPr>
              <w:ind w:firstLine="600"/>
              <w:rPr>
                <w:rFonts w:ascii="宋体" w:hAnsi="宋体"/>
                <w:sz w:val="30"/>
                <w:szCs w:val="30"/>
              </w:rPr>
            </w:pPr>
          </w:p>
        </w:tc>
        <w:tc>
          <w:tcPr>
            <w:tcW w:w="992" w:type="dxa"/>
          </w:tcPr>
          <w:p w14:paraId="06FF0C8E">
            <w:pPr>
              <w:ind w:firstLine="600"/>
              <w:rPr>
                <w:rFonts w:ascii="宋体" w:hAnsi="宋体"/>
                <w:sz w:val="30"/>
                <w:szCs w:val="30"/>
              </w:rPr>
            </w:pPr>
          </w:p>
        </w:tc>
        <w:tc>
          <w:tcPr>
            <w:tcW w:w="1134" w:type="dxa"/>
            <w:vAlign w:val="center"/>
          </w:tcPr>
          <w:p w14:paraId="4A0B83CC">
            <w:pPr>
              <w:ind w:firstLine="600"/>
              <w:rPr>
                <w:rFonts w:ascii="宋体" w:hAnsi="宋体"/>
                <w:sz w:val="30"/>
                <w:szCs w:val="30"/>
              </w:rPr>
            </w:pPr>
          </w:p>
        </w:tc>
        <w:tc>
          <w:tcPr>
            <w:tcW w:w="1134" w:type="dxa"/>
            <w:vAlign w:val="center"/>
          </w:tcPr>
          <w:p w14:paraId="3D6B9B25">
            <w:pPr>
              <w:ind w:firstLine="600"/>
              <w:rPr>
                <w:rFonts w:ascii="宋体" w:hAnsi="宋体"/>
                <w:sz w:val="30"/>
                <w:szCs w:val="30"/>
              </w:rPr>
            </w:pPr>
          </w:p>
        </w:tc>
        <w:tc>
          <w:tcPr>
            <w:tcW w:w="1134" w:type="dxa"/>
            <w:vAlign w:val="center"/>
          </w:tcPr>
          <w:p w14:paraId="1C22C067">
            <w:pPr>
              <w:ind w:firstLine="600"/>
              <w:rPr>
                <w:rFonts w:ascii="宋体" w:hAnsi="宋体"/>
                <w:sz w:val="30"/>
                <w:szCs w:val="30"/>
              </w:rPr>
            </w:pPr>
          </w:p>
        </w:tc>
        <w:tc>
          <w:tcPr>
            <w:tcW w:w="709" w:type="dxa"/>
            <w:vAlign w:val="center"/>
          </w:tcPr>
          <w:p w14:paraId="61AEA031">
            <w:pPr>
              <w:ind w:firstLine="600"/>
              <w:rPr>
                <w:rFonts w:ascii="宋体" w:hAnsi="宋体"/>
                <w:sz w:val="30"/>
                <w:szCs w:val="30"/>
              </w:rPr>
            </w:pPr>
          </w:p>
        </w:tc>
      </w:tr>
      <w:tr w14:paraId="18AD535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52" w:type="dxa"/>
            <w:vAlign w:val="center"/>
          </w:tcPr>
          <w:p w14:paraId="7EFDF4AD">
            <w:pPr>
              <w:ind w:firstLine="600"/>
              <w:rPr>
                <w:rFonts w:ascii="宋体" w:hAnsi="宋体"/>
                <w:sz w:val="30"/>
                <w:szCs w:val="30"/>
              </w:rPr>
            </w:pPr>
          </w:p>
        </w:tc>
        <w:tc>
          <w:tcPr>
            <w:tcW w:w="1165" w:type="dxa"/>
            <w:vAlign w:val="center"/>
          </w:tcPr>
          <w:p w14:paraId="721CCE71">
            <w:pPr>
              <w:ind w:firstLine="600"/>
              <w:rPr>
                <w:rFonts w:ascii="宋体" w:hAnsi="宋体"/>
                <w:sz w:val="30"/>
                <w:szCs w:val="30"/>
              </w:rPr>
            </w:pPr>
          </w:p>
        </w:tc>
        <w:tc>
          <w:tcPr>
            <w:tcW w:w="1126" w:type="dxa"/>
            <w:vAlign w:val="center"/>
          </w:tcPr>
          <w:p w14:paraId="3BB287C1">
            <w:pPr>
              <w:ind w:firstLine="600"/>
              <w:rPr>
                <w:rFonts w:ascii="宋体" w:hAnsi="宋体"/>
                <w:sz w:val="30"/>
                <w:szCs w:val="30"/>
              </w:rPr>
            </w:pPr>
          </w:p>
        </w:tc>
        <w:tc>
          <w:tcPr>
            <w:tcW w:w="567" w:type="dxa"/>
            <w:vAlign w:val="center"/>
          </w:tcPr>
          <w:p w14:paraId="7BDC2F1A">
            <w:pPr>
              <w:ind w:firstLine="600"/>
              <w:rPr>
                <w:rFonts w:ascii="宋体" w:hAnsi="宋体"/>
                <w:sz w:val="30"/>
                <w:szCs w:val="30"/>
              </w:rPr>
            </w:pPr>
          </w:p>
        </w:tc>
        <w:tc>
          <w:tcPr>
            <w:tcW w:w="686" w:type="dxa"/>
            <w:vAlign w:val="center"/>
          </w:tcPr>
          <w:p w14:paraId="0636B024">
            <w:pPr>
              <w:ind w:firstLine="600"/>
              <w:rPr>
                <w:rFonts w:ascii="宋体" w:hAnsi="宋体"/>
                <w:sz w:val="30"/>
                <w:szCs w:val="30"/>
              </w:rPr>
            </w:pPr>
          </w:p>
        </w:tc>
        <w:tc>
          <w:tcPr>
            <w:tcW w:w="992" w:type="dxa"/>
          </w:tcPr>
          <w:p w14:paraId="37273485">
            <w:pPr>
              <w:ind w:firstLine="600"/>
              <w:rPr>
                <w:rFonts w:ascii="宋体" w:hAnsi="宋体"/>
                <w:sz w:val="30"/>
                <w:szCs w:val="30"/>
              </w:rPr>
            </w:pPr>
          </w:p>
        </w:tc>
        <w:tc>
          <w:tcPr>
            <w:tcW w:w="1134" w:type="dxa"/>
            <w:vAlign w:val="center"/>
          </w:tcPr>
          <w:p w14:paraId="2C4DB800">
            <w:pPr>
              <w:ind w:firstLine="600"/>
              <w:rPr>
                <w:rFonts w:ascii="宋体" w:hAnsi="宋体"/>
                <w:sz w:val="30"/>
                <w:szCs w:val="30"/>
              </w:rPr>
            </w:pPr>
          </w:p>
        </w:tc>
        <w:tc>
          <w:tcPr>
            <w:tcW w:w="1134" w:type="dxa"/>
            <w:vAlign w:val="center"/>
          </w:tcPr>
          <w:p w14:paraId="3333B583">
            <w:pPr>
              <w:ind w:firstLine="600"/>
              <w:rPr>
                <w:rFonts w:ascii="宋体" w:hAnsi="宋体"/>
                <w:sz w:val="30"/>
                <w:szCs w:val="30"/>
              </w:rPr>
            </w:pPr>
          </w:p>
        </w:tc>
        <w:tc>
          <w:tcPr>
            <w:tcW w:w="1134" w:type="dxa"/>
            <w:vAlign w:val="center"/>
          </w:tcPr>
          <w:p w14:paraId="64F4F9E2">
            <w:pPr>
              <w:ind w:firstLine="600"/>
              <w:rPr>
                <w:rFonts w:ascii="宋体" w:hAnsi="宋体"/>
                <w:sz w:val="30"/>
                <w:szCs w:val="30"/>
              </w:rPr>
            </w:pPr>
          </w:p>
        </w:tc>
        <w:tc>
          <w:tcPr>
            <w:tcW w:w="709" w:type="dxa"/>
            <w:vAlign w:val="center"/>
          </w:tcPr>
          <w:p w14:paraId="0CAD710B">
            <w:pPr>
              <w:ind w:firstLine="600"/>
              <w:rPr>
                <w:rFonts w:ascii="宋体" w:hAnsi="宋体"/>
                <w:sz w:val="30"/>
                <w:szCs w:val="30"/>
              </w:rPr>
            </w:pPr>
          </w:p>
        </w:tc>
      </w:tr>
      <w:tr w14:paraId="7893D36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52" w:type="dxa"/>
            <w:vAlign w:val="center"/>
          </w:tcPr>
          <w:p w14:paraId="11839A04">
            <w:pPr>
              <w:ind w:firstLine="600"/>
              <w:rPr>
                <w:rFonts w:ascii="宋体" w:hAnsi="宋体"/>
                <w:sz w:val="30"/>
                <w:szCs w:val="30"/>
              </w:rPr>
            </w:pPr>
          </w:p>
        </w:tc>
        <w:tc>
          <w:tcPr>
            <w:tcW w:w="1165" w:type="dxa"/>
            <w:vAlign w:val="center"/>
          </w:tcPr>
          <w:p w14:paraId="55C0AD13">
            <w:pPr>
              <w:ind w:firstLine="600"/>
              <w:rPr>
                <w:rFonts w:ascii="宋体" w:hAnsi="宋体"/>
                <w:sz w:val="30"/>
                <w:szCs w:val="30"/>
              </w:rPr>
            </w:pPr>
          </w:p>
        </w:tc>
        <w:tc>
          <w:tcPr>
            <w:tcW w:w="1126" w:type="dxa"/>
            <w:vAlign w:val="center"/>
          </w:tcPr>
          <w:p w14:paraId="08384EC0">
            <w:pPr>
              <w:ind w:firstLine="600"/>
              <w:rPr>
                <w:rFonts w:ascii="宋体" w:hAnsi="宋体"/>
                <w:sz w:val="30"/>
                <w:szCs w:val="30"/>
              </w:rPr>
            </w:pPr>
          </w:p>
        </w:tc>
        <w:tc>
          <w:tcPr>
            <w:tcW w:w="567" w:type="dxa"/>
            <w:vAlign w:val="center"/>
          </w:tcPr>
          <w:p w14:paraId="05BBBAF4">
            <w:pPr>
              <w:ind w:firstLine="600"/>
              <w:rPr>
                <w:rFonts w:ascii="宋体" w:hAnsi="宋体"/>
                <w:sz w:val="30"/>
                <w:szCs w:val="30"/>
              </w:rPr>
            </w:pPr>
          </w:p>
        </w:tc>
        <w:tc>
          <w:tcPr>
            <w:tcW w:w="686" w:type="dxa"/>
            <w:vAlign w:val="center"/>
          </w:tcPr>
          <w:p w14:paraId="4B5EED32">
            <w:pPr>
              <w:ind w:firstLine="600"/>
              <w:rPr>
                <w:rFonts w:ascii="宋体" w:hAnsi="宋体"/>
                <w:sz w:val="30"/>
                <w:szCs w:val="30"/>
              </w:rPr>
            </w:pPr>
          </w:p>
        </w:tc>
        <w:tc>
          <w:tcPr>
            <w:tcW w:w="992" w:type="dxa"/>
          </w:tcPr>
          <w:p w14:paraId="4ACA0DA3">
            <w:pPr>
              <w:ind w:firstLine="600"/>
              <w:rPr>
                <w:rFonts w:ascii="宋体" w:hAnsi="宋体"/>
                <w:sz w:val="30"/>
                <w:szCs w:val="30"/>
              </w:rPr>
            </w:pPr>
          </w:p>
        </w:tc>
        <w:tc>
          <w:tcPr>
            <w:tcW w:w="1134" w:type="dxa"/>
            <w:vAlign w:val="center"/>
          </w:tcPr>
          <w:p w14:paraId="57632295">
            <w:pPr>
              <w:ind w:firstLine="600"/>
              <w:rPr>
                <w:rFonts w:ascii="宋体" w:hAnsi="宋体"/>
                <w:sz w:val="30"/>
                <w:szCs w:val="30"/>
              </w:rPr>
            </w:pPr>
          </w:p>
        </w:tc>
        <w:tc>
          <w:tcPr>
            <w:tcW w:w="1134" w:type="dxa"/>
            <w:vAlign w:val="center"/>
          </w:tcPr>
          <w:p w14:paraId="4362C223">
            <w:pPr>
              <w:ind w:firstLine="600"/>
              <w:rPr>
                <w:rFonts w:ascii="宋体" w:hAnsi="宋体"/>
                <w:sz w:val="30"/>
                <w:szCs w:val="30"/>
              </w:rPr>
            </w:pPr>
          </w:p>
        </w:tc>
        <w:tc>
          <w:tcPr>
            <w:tcW w:w="1134" w:type="dxa"/>
            <w:vAlign w:val="center"/>
          </w:tcPr>
          <w:p w14:paraId="552FF915">
            <w:pPr>
              <w:ind w:firstLine="600"/>
              <w:rPr>
                <w:rFonts w:ascii="宋体" w:hAnsi="宋体"/>
                <w:sz w:val="30"/>
                <w:szCs w:val="30"/>
              </w:rPr>
            </w:pPr>
          </w:p>
        </w:tc>
        <w:tc>
          <w:tcPr>
            <w:tcW w:w="709" w:type="dxa"/>
            <w:vAlign w:val="center"/>
          </w:tcPr>
          <w:p w14:paraId="08E80104">
            <w:pPr>
              <w:ind w:firstLine="600"/>
              <w:rPr>
                <w:rFonts w:ascii="宋体" w:hAnsi="宋体"/>
                <w:sz w:val="30"/>
                <w:szCs w:val="30"/>
              </w:rPr>
            </w:pPr>
          </w:p>
        </w:tc>
      </w:tr>
      <w:tr w14:paraId="6853796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52" w:type="dxa"/>
            <w:vAlign w:val="center"/>
          </w:tcPr>
          <w:p w14:paraId="68C22A17">
            <w:pPr>
              <w:ind w:firstLine="600"/>
              <w:rPr>
                <w:rFonts w:ascii="宋体" w:hAnsi="宋体"/>
                <w:sz w:val="30"/>
                <w:szCs w:val="30"/>
              </w:rPr>
            </w:pPr>
          </w:p>
        </w:tc>
        <w:tc>
          <w:tcPr>
            <w:tcW w:w="1165" w:type="dxa"/>
            <w:vAlign w:val="center"/>
          </w:tcPr>
          <w:p w14:paraId="01151D42">
            <w:pPr>
              <w:ind w:firstLine="600"/>
              <w:rPr>
                <w:rFonts w:ascii="宋体" w:hAnsi="宋体"/>
                <w:sz w:val="30"/>
                <w:szCs w:val="30"/>
              </w:rPr>
            </w:pPr>
          </w:p>
        </w:tc>
        <w:tc>
          <w:tcPr>
            <w:tcW w:w="1126" w:type="dxa"/>
            <w:vAlign w:val="center"/>
          </w:tcPr>
          <w:p w14:paraId="0D8EA6EB">
            <w:pPr>
              <w:ind w:firstLine="600"/>
              <w:rPr>
                <w:rFonts w:ascii="宋体" w:hAnsi="宋体"/>
                <w:sz w:val="30"/>
                <w:szCs w:val="30"/>
              </w:rPr>
            </w:pPr>
          </w:p>
        </w:tc>
        <w:tc>
          <w:tcPr>
            <w:tcW w:w="567" w:type="dxa"/>
            <w:vAlign w:val="center"/>
          </w:tcPr>
          <w:p w14:paraId="7432DBA3">
            <w:pPr>
              <w:ind w:firstLine="600"/>
              <w:rPr>
                <w:rFonts w:ascii="宋体" w:hAnsi="宋体"/>
                <w:sz w:val="30"/>
                <w:szCs w:val="30"/>
              </w:rPr>
            </w:pPr>
          </w:p>
        </w:tc>
        <w:tc>
          <w:tcPr>
            <w:tcW w:w="686" w:type="dxa"/>
            <w:vAlign w:val="center"/>
          </w:tcPr>
          <w:p w14:paraId="36A5B671">
            <w:pPr>
              <w:ind w:firstLine="600"/>
              <w:rPr>
                <w:rFonts w:ascii="宋体" w:hAnsi="宋体"/>
                <w:sz w:val="30"/>
                <w:szCs w:val="30"/>
              </w:rPr>
            </w:pPr>
          </w:p>
        </w:tc>
        <w:tc>
          <w:tcPr>
            <w:tcW w:w="992" w:type="dxa"/>
          </w:tcPr>
          <w:p w14:paraId="4AA015E6">
            <w:pPr>
              <w:ind w:firstLine="600"/>
              <w:rPr>
                <w:rFonts w:ascii="宋体" w:hAnsi="宋体"/>
                <w:sz w:val="30"/>
                <w:szCs w:val="30"/>
              </w:rPr>
            </w:pPr>
          </w:p>
        </w:tc>
        <w:tc>
          <w:tcPr>
            <w:tcW w:w="1134" w:type="dxa"/>
            <w:vAlign w:val="center"/>
          </w:tcPr>
          <w:p w14:paraId="7D0C60B0">
            <w:pPr>
              <w:ind w:firstLine="600"/>
              <w:rPr>
                <w:rFonts w:ascii="宋体" w:hAnsi="宋体"/>
                <w:sz w:val="30"/>
                <w:szCs w:val="30"/>
              </w:rPr>
            </w:pPr>
          </w:p>
        </w:tc>
        <w:tc>
          <w:tcPr>
            <w:tcW w:w="1134" w:type="dxa"/>
            <w:vAlign w:val="center"/>
          </w:tcPr>
          <w:p w14:paraId="09FA732C">
            <w:pPr>
              <w:ind w:firstLine="600"/>
              <w:rPr>
                <w:rFonts w:ascii="宋体" w:hAnsi="宋体"/>
                <w:sz w:val="30"/>
                <w:szCs w:val="30"/>
              </w:rPr>
            </w:pPr>
          </w:p>
        </w:tc>
        <w:tc>
          <w:tcPr>
            <w:tcW w:w="1134" w:type="dxa"/>
            <w:vAlign w:val="center"/>
          </w:tcPr>
          <w:p w14:paraId="5747E3C9">
            <w:pPr>
              <w:ind w:firstLine="600"/>
              <w:rPr>
                <w:rFonts w:ascii="宋体" w:hAnsi="宋体"/>
                <w:sz w:val="30"/>
                <w:szCs w:val="30"/>
              </w:rPr>
            </w:pPr>
          </w:p>
        </w:tc>
        <w:tc>
          <w:tcPr>
            <w:tcW w:w="709" w:type="dxa"/>
            <w:vAlign w:val="center"/>
          </w:tcPr>
          <w:p w14:paraId="7C0D7B4B">
            <w:pPr>
              <w:ind w:firstLine="600"/>
              <w:rPr>
                <w:rFonts w:ascii="宋体" w:hAnsi="宋体"/>
                <w:sz w:val="30"/>
                <w:szCs w:val="30"/>
              </w:rPr>
            </w:pPr>
          </w:p>
        </w:tc>
      </w:tr>
      <w:tr w14:paraId="0EC098C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52" w:type="dxa"/>
            <w:vAlign w:val="center"/>
          </w:tcPr>
          <w:p w14:paraId="34DFC0DC">
            <w:pPr>
              <w:ind w:firstLine="600"/>
              <w:rPr>
                <w:rFonts w:ascii="宋体" w:hAnsi="宋体"/>
                <w:sz w:val="30"/>
                <w:szCs w:val="30"/>
              </w:rPr>
            </w:pPr>
          </w:p>
        </w:tc>
        <w:tc>
          <w:tcPr>
            <w:tcW w:w="1165" w:type="dxa"/>
            <w:vAlign w:val="center"/>
          </w:tcPr>
          <w:p w14:paraId="514E3D2D">
            <w:pPr>
              <w:ind w:firstLine="600"/>
              <w:rPr>
                <w:rFonts w:ascii="宋体" w:hAnsi="宋体"/>
                <w:sz w:val="30"/>
                <w:szCs w:val="30"/>
              </w:rPr>
            </w:pPr>
          </w:p>
        </w:tc>
        <w:tc>
          <w:tcPr>
            <w:tcW w:w="1126" w:type="dxa"/>
            <w:vAlign w:val="center"/>
          </w:tcPr>
          <w:p w14:paraId="03067CD7">
            <w:pPr>
              <w:ind w:firstLine="600"/>
              <w:rPr>
                <w:rFonts w:ascii="宋体" w:hAnsi="宋体"/>
                <w:sz w:val="30"/>
                <w:szCs w:val="30"/>
              </w:rPr>
            </w:pPr>
          </w:p>
        </w:tc>
        <w:tc>
          <w:tcPr>
            <w:tcW w:w="567" w:type="dxa"/>
            <w:vAlign w:val="center"/>
          </w:tcPr>
          <w:p w14:paraId="78A2A51B">
            <w:pPr>
              <w:ind w:firstLine="600"/>
              <w:rPr>
                <w:rFonts w:ascii="宋体" w:hAnsi="宋体"/>
                <w:sz w:val="30"/>
                <w:szCs w:val="30"/>
              </w:rPr>
            </w:pPr>
          </w:p>
        </w:tc>
        <w:tc>
          <w:tcPr>
            <w:tcW w:w="686" w:type="dxa"/>
            <w:vAlign w:val="center"/>
          </w:tcPr>
          <w:p w14:paraId="62EA040D">
            <w:pPr>
              <w:ind w:firstLine="600"/>
              <w:rPr>
                <w:rFonts w:ascii="宋体" w:hAnsi="宋体"/>
                <w:sz w:val="30"/>
                <w:szCs w:val="30"/>
              </w:rPr>
            </w:pPr>
          </w:p>
        </w:tc>
        <w:tc>
          <w:tcPr>
            <w:tcW w:w="992" w:type="dxa"/>
          </w:tcPr>
          <w:p w14:paraId="65D996CD">
            <w:pPr>
              <w:ind w:firstLine="600"/>
              <w:rPr>
                <w:rFonts w:ascii="宋体" w:hAnsi="宋体"/>
                <w:sz w:val="30"/>
                <w:szCs w:val="30"/>
              </w:rPr>
            </w:pPr>
          </w:p>
        </w:tc>
        <w:tc>
          <w:tcPr>
            <w:tcW w:w="1134" w:type="dxa"/>
            <w:vAlign w:val="center"/>
          </w:tcPr>
          <w:p w14:paraId="361326ED">
            <w:pPr>
              <w:ind w:firstLine="600"/>
              <w:rPr>
                <w:rFonts w:ascii="宋体" w:hAnsi="宋体"/>
                <w:sz w:val="30"/>
                <w:szCs w:val="30"/>
              </w:rPr>
            </w:pPr>
          </w:p>
        </w:tc>
        <w:tc>
          <w:tcPr>
            <w:tcW w:w="1134" w:type="dxa"/>
            <w:vAlign w:val="center"/>
          </w:tcPr>
          <w:p w14:paraId="6F96D3B8">
            <w:pPr>
              <w:ind w:firstLine="600"/>
              <w:rPr>
                <w:rFonts w:ascii="宋体" w:hAnsi="宋体"/>
                <w:sz w:val="30"/>
                <w:szCs w:val="30"/>
              </w:rPr>
            </w:pPr>
          </w:p>
        </w:tc>
        <w:tc>
          <w:tcPr>
            <w:tcW w:w="1134" w:type="dxa"/>
            <w:vAlign w:val="center"/>
          </w:tcPr>
          <w:p w14:paraId="3953CF6B">
            <w:pPr>
              <w:ind w:firstLine="600"/>
              <w:rPr>
                <w:rFonts w:ascii="宋体" w:hAnsi="宋体"/>
                <w:sz w:val="30"/>
                <w:szCs w:val="30"/>
              </w:rPr>
            </w:pPr>
          </w:p>
        </w:tc>
        <w:tc>
          <w:tcPr>
            <w:tcW w:w="709" w:type="dxa"/>
            <w:vAlign w:val="center"/>
          </w:tcPr>
          <w:p w14:paraId="26A15488">
            <w:pPr>
              <w:ind w:firstLine="600"/>
              <w:rPr>
                <w:rFonts w:ascii="宋体" w:hAnsi="宋体"/>
                <w:sz w:val="30"/>
                <w:szCs w:val="30"/>
              </w:rPr>
            </w:pPr>
          </w:p>
        </w:tc>
      </w:tr>
      <w:tr w14:paraId="0E62FF1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52" w:type="dxa"/>
            <w:vAlign w:val="center"/>
          </w:tcPr>
          <w:p w14:paraId="59116D49">
            <w:pPr>
              <w:ind w:firstLine="600"/>
              <w:rPr>
                <w:rFonts w:ascii="宋体" w:hAnsi="宋体"/>
                <w:sz w:val="30"/>
                <w:szCs w:val="30"/>
              </w:rPr>
            </w:pPr>
          </w:p>
        </w:tc>
        <w:tc>
          <w:tcPr>
            <w:tcW w:w="1165" w:type="dxa"/>
            <w:vAlign w:val="center"/>
          </w:tcPr>
          <w:p w14:paraId="0844AE9B">
            <w:pPr>
              <w:ind w:firstLine="600"/>
              <w:rPr>
                <w:rFonts w:ascii="宋体" w:hAnsi="宋体"/>
                <w:sz w:val="30"/>
                <w:szCs w:val="30"/>
              </w:rPr>
            </w:pPr>
          </w:p>
        </w:tc>
        <w:tc>
          <w:tcPr>
            <w:tcW w:w="1126" w:type="dxa"/>
            <w:vAlign w:val="center"/>
          </w:tcPr>
          <w:p w14:paraId="479069B7">
            <w:pPr>
              <w:ind w:firstLine="600"/>
              <w:rPr>
                <w:rFonts w:ascii="宋体" w:hAnsi="宋体"/>
                <w:sz w:val="30"/>
                <w:szCs w:val="30"/>
              </w:rPr>
            </w:pPr>
          </w:p>
        </w:tc>
        <w:tc>
          <w:tcPr>
            <w:tcW w:w="567" w:type="dxa"/>
            <w:vAlign w:val="center"/>
          </w:tcPr>
          <w:p w14:paraId="0A6229F0">
            <w:pPr>
              <w:ind w:firstLine="600"/>
              <w:rPr>
                <w:rFonts w:ascii="宋体" w:hAnsi="宋体"/>
                <w:sz w:val="30"/>
                <w:szCs w:val="30"/>
              </w:rPr>
            </w:pPr>
          </w:p>
        </w:tc>
        <w:tc>
          <w:tcPr>
            <w:tcW w:w="686" w:type="dxa"/>
            <w:vAlign w:val="center"/>
          </w:tcPr>
          <w:p w14:paraId="43224AD1">
            <w:pPr>
              <w:ind w:firstLine="600"/>
              <w:rPr>
                <w:rFonts w:ascii="宋体" w:hAnsi="宋体"/>
                <w:sz w:val="30"/>
                <w:szCs w:val="30"/>
              </w:rPr>
            </w:pPr>
          </w:p>
        </w:tc>
        <w:tc>
          <w:tcPr>
            <w:tcW w:w="992" w:type="dxa"/>
          </w:tcPr>
          <w:p w14:paraId="485F3A37">
            <w:pPr>
              <w:ind w:firstLine="600"/>
              <w:rPr>
                <w:rFonts w:ascii="宋体" w:hAnsi="宋体"/>
                <w:sz w:val="30"/>
                <w:szCs w:val="30"/>
              </w:rPr>
            </w:pPr>
          </w:p>
        </w:tc>
        <w:tc>
          <w:tcPr>
            <w:tcW w:w="1134" w:type="dxa"/>
            <w:vAlign w:val="center"/>
          </w:tcPr>
          <w:p w14:paraId="7EBFF8E3">
            <w:pPr>
              <w:ind w:firstLine="600"/>
              <w:rPr>
                <w:rFonts w:ascii="宋体" w:hAnsi="宋体"/>
                <w:sz w:val="30"/>
                <w:szCs w:val="30"/>
              </w:rPr>
            </w:pPr>
          </w:p>
        </w:tc>
        <w:tc>
          <w:tcPr>
            <w:tcW w:w="1134" w:type="dxa"/>
            <w:vAlign w:val="center"/>
          </w:tcPr>
          <w:p w14:paraId="69BE55DF">
            <w:pPr>
              <w:ind w:firstLine="600"/>
              <w:rPr>
                <w:rFonts w:ascii="宋体" w:hAnsi="宋体"/>
                <w:sz w:val="30"/>
                <w:szCs w:val="30"/>
              </w:rPr>
            </w:pPr>
          </w:p>
        </w:tc>
        <w:tc>
          <w:tcPr>
            <w:tcW w:w="1134" w:type="dxa"/>
            <w:vAlign w:val="center"/>
          </w:tcPr>
          <w:p w14:paraId="60BA18FE">
            <w:pPr>
              <w:ind w:firstLine="600"/>
              <w:rPr>
                <w:rFonts w:ascii="宋体" w:hAnsi="宋体"/>
                <w:sz w:val="30"/>
                <w:szCs w:val="30"/>
              </w:rPr>
            </w:pPr>
          </w:p>
        </w:tc>
        <w:tc>
          <w:tcPr>
            <w:tcW w:w="709" w:type="dxa"/>
            <w:vAlign w:val="center"/>
          </w:tcPr>
          <w:p w14:paraId="72492B29">
            <w:pPr>
              <w:ind w:firstLine="600"/>
              <w:rPr>
                <w:rFonts w:ascii="宋体" w:hAnsi="宋体"/>
                <w:sz w:val="30"/>
                <w:szCs w:val="30"/>
              </w:rPr>
            </w:pPr>
          </w:p>
        </w:tc>
      </w:tr>
      <w:tr w14:paraId="1CDDD6C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52" w:type="dxa"/>
            <w:vAlign w:val="center"/>
          </w:tcPr>
          <w:p w14:paraId="7A827025">
            <w:pPr>
              <w:ind w:firstLine="600"/>
              <w:rPr>
                <w:rFonts w:ascii="宋体" w:hAnsi="宋体"/>
                <w:sz w:val="30"/>
                <w:szCs w:val="30"/>
              </w:rPr>
            </w:pPr>
          </w:p>
        </w:tc>
        <w:tc>
          <w:tcPr>
            <w:tcW w:w="1165" w:type="dxa"/>
            <w:vAlign w:val="center"/>
          </w:tcPr>
          <w:p w14:paraId="71B5F7E4">
            <w:pPr>
              <w:ind w:firstLine="600"/>
              <w:rPr>
                <w:rFonts w:ascii="宋体" w:hAnsi="宋体"/>
                <w:sz w:val="30"/>
                <w:szCs w:val="30"/>
              </w:rPr>
            </w:pPr>
          </w:p>
        </w:tc>
        <w:tc>
          <w:tcPr>
            <w:tcW w:w="1126" w:type="dxa"/>
            <w:vAlign w:val="center"/>
          </w:tcPr>
          <w:p w14:paraId="256DC498">
            <w:pPr>
              <w:ind w:firstLine="600"/>
              <w:rPr>
                <w:rFonts w:ascii="宋体" w:hAnsi="宋体"/>
                <w:sz w:val="30"/>
                <w:szCs w:val="30"/>
              </w:rPr>
            </w:pPr>
          </w:p>
        </w:tc>
        <w:tc>
          <w:tcPr>
            <w:tcW w:w="567" w:type="dxa"/>
            <w:vAlign w:val="center"/>
          </w:tcPr>
          <w:p w14:paraId="3D757897">
            <w:pPr>
              <w:ind w:firstLine="600"/>
              <w:rPr>
                <w:rFonts w:ascii="宋体" w:hAnsi="宋体"/>
                <w:sz w:val="30"/>
                <w:szCs w:val="30"/>
              </w:rPr>
            </w:pPr>
          </w:p>
        </w:tc>
        <w:tc>
          <w:tcPr>
            <w:tcW w:w="686" w:type="dxa"/>
            <w:vAlign w:val="center"/>
          </w:tcPr>
          <w:p w14:paraId="5C82CE27">
            <w:pPr>
              <w:ind w:firstLine="600"/>
              <w:rPr>
                <w:rFonts w:ascii="宋体" w:hAnsi="宋体"/>
                <w:sz w:val="30"/>
                <w:szCs w:val="30"/>
              </w:rPr>
            </w:pPr>
          </w:p>
        </w:tc>
        <w:tc>
          <w:tcPr>
            <w:tcW w:w="992" w:type="dxa"/>
          </w:tcPr>
          <w:p w14:paraId="53DC478E">
            <w:pPr>
              <w:ind w:firstLine="600"/>
              <w:rPr>
                <w:rFonts w:ascii="宋体" w:hAnsi="宋体"/>
                <w:sz w:val="30"/>
                <w:szCs w:val="30"/>
              </w:rPr>
            </w:pPr>
          </w:p>
        </w:tc>
        <w:tc>
          <w:tcPr>
            <w:tcW w:w="1134" w:type="dxa"/>
            <w:vAlign w:val="center"/>
          </w:tcPr>
          <w:p w14:paraId="0FDEC79B">
            <w:pPr>
              <w:ind w:firstLine="600"/>
              <w:rPr>
                <w:rFonts w:ascii="宋体" w:hAnsi="宋体"/>
                <w:sz w:val="30"/>
                <w:szCs w:val="30"/>
              </w:rPr>
            </w:pPr>
          </w:p>
        </w:tc>
        <w:tc>
          <w:tcPr>
            <w:tcW w:w="1134" w:type="dxa"/>
            <w:vAlign w:val="center"/>
          </w:tcPr>
          <w:p w14:paraId="4EEF7A9C">
            <w:pPr>
              <w:ind w:firstLine="600"/>
              <w:rPr>
                <w:rFonts w:ascii="宋体" w:hAnsi="宋体"/>
                <w:sz w:val="30"/>
                <w:szCs w:val="30"/>
              </w:rPr>
            </w:pPr>
          </w:p>
        </w:tc>
        <w:tc>
          <w:tcPr>
            <w:tcW w:w="1134" w:type="dxa"/>
            <w:vAlign w:val="center"/>
          </w:tcPr>
          <w:p w14:paraId="39B5CEC5">
            <w:pPr>
              <w:ind w:firstLine="600"/>
              <w:rPr>
                <w:rFonts w:ascii="宋体" w:hAnsi="宋体"/>
                <w:sz w:val="30"/>
                <w:szCs w:val="30"/>
              </w:rPr>
            </w:pPr>
          </w:p>
        </w:tc>
        <w:tc>
          <w:tcPr>
            <w:tcW w:w="709" w:type="dxa"/>
            <w:vAlign w:val="center"/>
          </w:tcPr>
          <w:p w14:paraId="3BA0FB62">
            <w:pPr>
              <w:ind w:firstLine="600"/>
              <w:rPr>
                <w:rFonts w:ascii="宋体" w:hAnsi="宋体"/>
                <w:sz w:val="30"/>
                <w:szCs w:val="30"/>
              </w:rPr>
            </w:pPr>
          </w:p>
        </w:tc>
      </w:tr>
      <w:tr w14:paraId="0481F53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52" w:type="dxa"/>
            <w:vAlign w:val="center"/>
          </w:tcPr>
          <w:p w14:paraId="6D21CA57">
            <w:pPr>
              <w:ind w:firstLine="600"/>
              <w:rPr>
                <w:rFonts w:ascii="宋体" w:hAnsi="宋体"/>
                <w:sz w:val="30"/>
                <w:szCs w:val="30"/>
              </w:rPr>
            </w:pPr>
          </w:p>
        </w:tc>
        <w:tc>
          <w:tcPr>
            <w:tcW w:w="1165" w:type="dxa"/>
            <w:vAlign w:val="center"/>
          </w:tcPr>
          <w:p w14:paraId="373FC96E">
            <w:pPr>
              <w:ind w:firstLine="600"/>
              <w:rPr>
                <w:rFonts w:ascii="宋体" w:hAnsi="宋体"/>
                <w:sz w:val="30"/>
                <w:szCs w:val="30"/>
              </w:rPr>
            </w:pPr>
          </w:p>
        </w:tc>
        <w:tc>
          <w:tcPr>
            <w:tcW w:w="1126" w:type="dxa"/>
            <w:vAlign w:val="center"/>
          </w:tcPr>
          <w:p w14:paraId="03E3EB3C">
            <w:pPr>
              <w:ind w:firstLine="600"/>
              <w:rPr>
                <w:rFonts w:ascii="宋体" w:hAnsi="宋体"/>
                <w:sz w:val="30"/>
                <w:szCs w:val="30"/>
              </w:rPr>
            </w:pPr>
          </w:p>
        </w:tc>
        <w:tc>
          <w:tcPr>
            <w:tcW w:w="567" w:type="dxa"/>
            <w:vAlign w:val="center"/>
          </w:tcPr>
          <w:p w14:paraId="229A8E77">
            <w:pPr>
              <w:ind w:firstLine="600"/>
              <w:rPr>
                <w:rFonts w:ascii="宋体" w:hAnsi="宋体"/>
                <w:sz w:val="30"/>
                <w:szCs w:val="30"/>
              </w:rPr>
            </w:pPr>
          </w:p>
        </w:tc>
        <w:tc>
          <w:tcPr>
            <w:tcW w:w="686" w:type="dxa"/>
            <w:vAlign w:val="center"/>
          </w:tcPr>
          <w:p w14:paraId="4C7516BE">
            <w:pPr>
              <w:ind w:firstLine="600"/>
              <w:rPr>
                <w:rFonts w:ascii="宋体" w:hAnsi="宋体"/>
                <w:sz w:val="30"/>
                <w:szCs w:val="30"/>
              </w:rPr>
            </w:pPr>
          </w:p>
        </w:tc>
        <w:tc>
          <w:tcPr>
            <w:tcW w:w="992" w:type="dxa"/>
          </w:tcPr>
          <w:p w14:paraId="6782AA57">
            <w:pPr>
              <w:ind w:firstLine="600"/>
              <w:rPr>
                <w:rFonts w:ascii="宋体" w:hAnsi="宋体"/>
                <w:sz w:val="30"/>
                <w:szCs w:val="30"/>
              </w:rPr>
            </w:pPr>
          </w:p>
        </w:tc>
        <w:tc>
          <w:tcPr>
            <w:tcW w:w="1134" w:type="dxa"/>
            <w:vAlign w:val="center"/>
          </w:tcPr>
          <w:p w14:paraId="3EA0C5CA">
            <w:pPr>
              <w:ind w:firstLine="600"/>
              <w:rPr>
                <w:rFonts w:ascii="宋体" w:hAnsi="宋体"/>
                <w:sz w:val="30"/>
                <w:szCs w:val="30"/>
              </w:rPr>
            </w:pPr>
          </w:p>
        </w:tc>
        <w:tc>
          <w:tcPr>
            <w:tcW w:w="1134" w:type="dxa"/>
            <w:vAlign w:val="center"/>
          </w:tcPr>
          <w:p w14:paraId="3F6950CA">
            <w:pPr>
              <w:ind w:firstLine="600"/>
              <w:rPr>
                <w:rFonts w:ascii="宋体" w:hAnsi="宋体"/>
                <w:sz w:val="30"/>
                <w:szCs w:val="30"/>
              </w:rPr>
            </w:pPr>
          </w:p>
        </w:tc>
        <w:tc>
          <w:tcPr>
            <w:tcW w:w="1134" w:type="dxa"/>
            <w:vAlign w:val="center"/>
          </w:tcPr>
          <w:p w14:paraId="78158F4A">
            <w:pPr>
              <w:ind w:firstLine="600"/>
              <w:rPr>
                <w:rFonts w:ascii="宋体" w:hAnsi="宋体"/>
                <w:sz w:val="30"/>
                <w:szCs w:val="30"/>
              </w:rPr>
            </w:pPr>
          </w:p>
        </w:tc>
        <w:tc>
          <w:tcPr>
            <w:tcW w:w="709" w:type="dxa"/>
            <w:vAlign w:val="center"/>
          </w:tcPr>
          <w:p w14:paraId="2422DC91">
            <w:pPr>
              <w:ind w:firstLine="600"/>
              <w:rPr>
                <w:rFonts w:ascii="宋体" w:hAnsi="宋体"/>
                <w:sz w:val="30"/>
                <w:szCs w:val="30"/>
              </w:rPr>
            </w:pPr>
          </w:p>
        </w:tc>
      </w:tr>
      <w:tr w14:paraId="153AF72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52" w:type="dxa"/>
            <w:vAlign w:val="center"/>
          </w:tcPr>
          <w:p w14:paraId="31105B90">
            <w:pPr>
              <w:ind w:firstLine="600"/>
              <w:rPr>
                <w:rFonts w:ascii="宋体" w:hAnsi="宋体"/>
                <w:sz w:val="30"/>
                <w:szCs w:val="30"/>
              </w:rPr>
            </w:pPr>
          </w:p>
        </w:tc>
        <w:tc>
          <w:tcPr>
            <w:tcW w:w="1165" w:type="dxa"/>
            <w:vAlign w:val="center"/>
          </w:tcPr>
          <w:p w14:paraId="4D0F87F8">
            <w:pPr>
              <w:ind w:firstLine="600"/>
              <w:rPr>
                <w:rFonts w:ascii="宋体" w:hAnsi="宋体"/>
                <w:sz w:val="30"/>
                <w:szCs w:val="30"/>
              </w:rPr>
            </w:pPr>
          </w:p>
        </w:tc>
        <w:tc>
          <w:tcPr>
            <w:tcW w:w="1126" w:type="dxa"/>
            <w:vAlign w:val="center"/>
          </w:tcPr>
          <w:p w14:paraId="4AA57217">
            <w:pPr>
              <w:ind w:firstLine="600"/>
              <w:rPr>
                <w:rFonts w:ascii="宋体" w:hAnsi="宋体"/>
                <w:sz w:val="30"/>
                <w:szCs w:val="30"/>
              </w:rPr>
            </w:pPr>
          </w:p>
        </w:tc>
        <w:tc>
          <w:tcPr>
            <w:tcW w:w="567" w:type="dxa"/>
            <w:vAlign w:val="center"/>
          </w:tcPr>
          <w:p w14:paraId="785DFA0E">
            <w:pPr>
              <w:ind w:firstLine="600"/>
              <w:rPr>
                <w:rFonts w:ascii="宋体" w:hAnsi="宋体"/>
                <w:sz w:val="30"/>
                <w:szCs w:val="30"/>
              </w:rPr>
            </w:pPr>
          </w:p>
        </w:tc>
        <w:tc>
          <w:tcPr>
            <w:tcW w:w="686" w:type="dxa"/>
            <w:vAlign w:val="center"/>
          </w:tcPr>
          <w:p w14:paraId="1C17E382">
            <w:pPr>
              <w:ind w:firstLine="600"/>
              <w:rPr>
                <w:rFonts w:ascii="宋体" w:hAnsi="宋体"/>
                <w:sz w:val="30"/>
                <w:szCs w:val="30"/>
              </w:rPr>
            </w:pPr>
          </w:p>
        </w:tc>
        <w:tc>
          <w:tcPr>
            <w:tcW w:w="992" w:type="dxa"/>
          </w:tcPr>
          <w:p w14:paraId="2B5E8B61">
            <w:pPr>
              <w:ind w:firstLine="600"/>
              <w:rPr>
                <w:rFonts w:ascii="宋体" w:hAnsi="宋体"/>
                <w:sz w:val="30"/>
                <w:szCs w:val="30"/>
              </w:rPr>
            </w:pPr>
          </w:p>
        </w:tc>
        <w:tc>
          <w:tcPr>
            <w:tcW w:w="1134" w:type="dxa"/>
            <w:vAlign w:val="center"/>
          </w:tcPr>
          <w:p w14:paraId="7227306A">
            <w:pPr>
              <w:ind w:firstLine="600"/>
              <w:rPr>
                <w:rFonts w:ascii="宋体" w:hAnsi="宋体"/>
                <w:sz w:val="30"/>
                <w:szCs w:val="30"/>
              </w:rPr>
            </w:pPr>
          </w:p>
        </w:tc>
        <w:tc>
          <w:tcPr>
            <w:tcW w:w="1134" w:type="dxa"/>
            <w:vAlign w:val="center"/>
          </w:tcPr>
          <w:p w14:paraId="6CCCC44F">
            <w:pPr>
              <w:ind w:firstLine="600"/>
              <w:rPr>
                <w:rFonts w:ascii="宋体" w:hAnsi="宋体"/>
                <w:sz w:val="30"/>
                <w:szCs w:val="30"/>
              </w:rPr>
            </w:pPr>
          </w:p>
        </w:tc>
        <w:tc>
          <w:tcPr>
            <w:tcW w:w="1134" w:type="dxa"/>
            <w:vAlign w:val="center"/>
          </w:tcPr>
          <w:p w14:paraId="667C0975">
            <w:pPr>
              <w:ind w:firstLine="600"/>
              <w:rPr>
                <w:rFonts w:ascii="宋体" w:hAnsi="宋体"/>
                <w:sz w:val="30"/>
                <w:szCs w:val="30"/>
              </w:rPr>
            </w:pPr>
          </w:p>
        </w:tc>
        <w:tc>
          <w:tcPr>
            <w:tcW w:w="709" w:type="dxa"/>
            <w:vAlign w:val="center"/>
          </w:tcPr>
          <w:p w14:paraId="35D794FD">
            <w:pPr>
              <w:ind w:firstLine="600"/>
              <w:rPr>
                <w:rFonts w:ascii="宋体" w:hAnsi="宋体"/>
                <w:sz w:val="30"/>
                <w:szCs w:val="30"/>
              </w:rPr>
            </w:pPr>
          </w:p>
        </w:tc>
      </w:tr>
      <w:tr w14:paraId="19E29EB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52" w:type="dxa"/>
            <w:vAlign w:val="center"/>
          </w:tcPr>
          <w:p w14:paraId="2CBA23DD">
            <w:pPr>
              <w:ind w:firstLine="600"/>
              <w:rPr>
                <w:rFonts w:ascii="宋体" w:hAnsi="宋体"/>
                <w:sz w:val="30"/>
                <w:szCs w:val="30"/>
              </w:rPr>
            </w:pPr>
          </w:p>
        </w:tc>
        <w:tc>
          <w:tcPr>
            <w:tcW w:w="1165" w:type="dxa"/>
            <w:vAlign w:val="center"/>
          </w:tcPr>
          <w:p w14:paraId="0D2FE84B">
            <w:pPr>
              <w:ind w:firstLine="600"/>
              <w:rPr>
                <w:rFonts w:ascii="宋体" w:hAnsi="宋体"/>
                <w:sz w:val="30"/>
                <w:szCs w:val="30"/>
              </w:rPr>
            </w:pPr>
          </w:p>
        </w:tc>
        <w:tc>
          <w:tcPr>
            <w:tcW w:w="1126" w:type="dxa"/>
            <w:vAlign w:val="center"/>
          </w:tcPr>
          <w:p w14:paraId="33FD112E">
            <w:pPr>
              <w:ind w:firstLine="600"/>
              <w:rPr>
                <w:rFonts w:ascii="宋体" w:hAnsi="宋体"/>
                <w:sz w:val="30"/>
                <w:szCs w:val="30"/>
              </w:rPr>
            </w:pPr>
          </w:p>
        </w:tc>
        <w:tc>
          <w:tcPr>
            <w:tcW w:w="567" w:type="dxa"/>
            <w:vAlign w:val="center"/>
          </w:tcPr>
          <w:p w14:paraId="6F0A06D8">
            <w:pPr>
              <w:ind w:firstLine="600"/>
              <w:rPr>
                <w:rFonts w:ascii="宋体" w:hAnsi="宋体"/>
                <w:sz w:val="30"/>
                <w:szCs w:val="30"/>
              </w:rPr>
            </w:pPr>
          </w:p>
        </w:tc>
        <w:tc>
          <w:tcPr>
            <w:tcW w:w="686" w:type="dxa"/>
            <w:vAlign w:val="center"/>
          </w:tcPr>
          <w:p w14:paraId="54144637">
            <w:pPr>
              <w:ind w:firstLine="600"/>
              <w:rPr>
                <w:rFonts w:ascii="宋体" w:hAnsi="宋体"/>
                <w:sz w:val="30"/>
                <w:szCs w:val="30"/>
              </w:rPr>
            </w:pPr>
          </w:p>
        </w:tc>
        <w:tc>
          <w:tcPr>
            <w:tcW w:w="992" w:type="dxa"/>
          </w:tcPr>
          <w:p w14:paraId="6CC51F3A">
            <w:pPr>
              <w:ind w:firstLine="600"/>
              <w:rPr>
                <w:rFonts w:ascii="宋体" w:hAnsi="宋体"/>
                <w:sz w:val="30"/>
                <w:szCs w:val="30"/>
              </w:rPr>
            </w:pPr>
          </w:p>
        </w:tc>
        <w:tc>
          <w:tcPr>
            <w:tcW w:w="1134" w:type="dxa"/>
            <w:vAlign w:val="center"/>
          </w:tcPr>
          <w:p w14:paraId="2939DA92">
            <w:pPr>
              <w:ind w:firstLine="600"/>
              <w:rPr>
                <w:rFonts w:ascii="宋体" w:hAnsi="宋体"/>
                <w:sz w:val="30"/>
                <w:szCs w:val="30"/>
              </w:rPr>
            </w:pPr>
          </w:p>
        </w:tc>
        <w:tc>
          <w:tcPr>
            <w:tcW w:w="1134" w:type="dxa"/>
            <w:vAlign w:val="center"/>
          </w:tcPr>
          <w:p w14:paraId="1700E93D">
            <w:pPr>
              <w:ind w:firstLine="600"/>
              <w:rPr>
                <w:rFonts w:ascii="宋体" w:hAnsi="宋体"/>
                <w:sz w:val="30"/>
                <w:szCs w:val="30"/>
              </w:rPr>
            </w:pPr>
          </w:p>
        </w:tc>
        <w:tc>
          <w:tcPr>
            <w:tcW w:w="1134" w:type="dxa"/>
            <w:vAlign w:val="center"/>
          </w:tcPr>
          <w:p w14:paraId="6B6071D1">
            <w:pPr>
              <w:ind w:firstLine="600"/>
              <w:rPr>
                <w:rFonts w:ascii="宋体" w:hAnsi="宋体"/>
                <w:sz w:val="30"/>
                <w:szCs w:val="30"/>
              </w:rPr>
            </w:pPr>
          </w:p>
        </w:tc>
        <w:tc>
          <w:tcPr>
            <w:tcW w:w="709" w:type="dxa"/>
            <w:vAlign w:val="center"/>
          </w:tcPr>
          <w:p w14:paraId="72C73BA7">
            <w:pPr>
              <w:ind w:firstLine="600"/>
              <w:rPr>
                <w:rFonts w:ascii="宋体" w:hAnsi="宋体"/>
                <w:sz w:val="30"/>
                <w:szCs w:val="30"/>
              </w:rPr>
            </w:pPr>
          </w:p>
        </w:tc>
      </w:tr>
      <w:tr w14:paraId="32A3DC5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52" w:type="dxa"/>
            <w:vAlign w:val="center"/>
          </w:tcPr>
          <w:p w14:paraId="2DF990BF">
            <w:pPr>
              <w:ind w:firstLine="600"/>
              <w:rPr>
                <w:rFonts w:ascii="宋体" w:hAnsi="宋体"/>
                <w:sz w:val="30"/>
                <w:szCs w:val="30"/>
              </w:rPr>
            </w:pPr>
          </w:p>
        </w:tc>
        <w:tc>
          <w:tcPr>
            <w:tcW w:w="1165" w:type="dxa"/>
            <w:vAlign w:val="center"/>
          </w:tcPr>
          <w:p w14:paraId="158FBB4E">
            <w:pPr>
              <w:ind w:firstLine="600"/>
              <w:rPr>
                <w:rFonts w:ascii="宋体" w:hAnsi="宋体"/>
                <w:sz w:val="30"/>
                <w:szCs w:val="30"/>
              </w:rPr>
            </w:pPr>
          </w:p>
        </w:tc>
        <w:tc>
          <w:tcPr>
            <w:tcW w:w="1126" w:type="dxa"/>
            <w:vAlign w:val="center"/>
          </w:tcPr>
          <w:p w14:paraId="0D0CBC9F">
            <w:pPr>
              <w:ind w:firstLine="600"/>
              <w:rPr>
                <w:rFonts w:ascii="宋体" w:hAnsi="宋体"/>
                <w:sz w:val="30"/>
                <w:szCs w:val="30"/>
              </w:rPr>
            </w:pPr>
          </w:p>
        </w:tc>
        <w:tc>
          <w:tcPr>
            <w:tcW w:w="567" w:type="dxa"/>
            <w:vAlign w:val="center"/>
          </w:tcPr>
          <w:p w14:paraId="71219A60">
            <w:pPr>
              <w:ind w:firstLine="600"/>
              <w:rPr>
                <w:rFonts w:ascii="宋体" w:hAnsi="宋体"/>
                <w:sz w:val="30"/>
                <w:szCs w:val="30"/>
              </w:rPr>
            </w:pPr>
          </w:p>
        </w:tc>
        <w:tc>
          <w:tcPr>
            <w:tcW w:w="686" w:type="dxa"/>
            <w:vAlign w:val="center"/>
          </w:tcPr>
          <w:p w14:paraId="5D1385DE">
            <w:pPr>
              <w:ind w:firstLine="600"/>
              <w:rPr>
                <w:rFonts w:ascii="宋体" w:hAnsi="宋体"/>
                <w:sz w:val="30"/>
                <w:szCs w:val="30"/>
              </w:rPr>
            </w:pPr>
          </w:p>
        </w:tc>
        <w:tc>
          <w:tcPr>
            <w:tcW w:w="992" w:type="dxa"/>
          </w:tcPr>
          <w:p w14:paraId="67ADA128">
            <w:pPr>
              <w:ind w:firstLine="600"/>
              <w:rPr>
                <w:rFonts w:ascii="宋体" w:hAnsi="宋体"/>
                <w:sz w:val="30"/>
                <w:szCs w:val="30"/>
              </w:rPr>
            </w:pPr>
          </w:p>
        </w:tc>
        <w:tc>
          <w:tcPr>
            <w:tcW w:w="1134" w:type="dxa"/>
            <w:vAlign w:val="center"/>
          </w:tcPr>
          <w:p w14:paraId="64059995">
            <w:pPr>
              <w:ind w:firstLine="600"/>
              <w:rPr>
                <w:rFonts w:ascii="宋体" w:hAnsi="宋体"/>
                <w:sz w:val="30"/>
                <w:szCs w:val="30"/>
              </w:rPr>
            </w:pPr>
          </w:p>
        </w:tc>
        <w:tc>
          <w:tcPr>
            <w:tcW w:w="1134" w:type="dxa"/>
            <w:vAlign w:val="center"/>
          </w:tcPr>
          <w:p w14:paraId="491237E0">
            <w:pPr>
              <w:ind w:firstLine="600"/>
              <w:rPr>
                <w:rFonts w:ascii="宋体" w:hAnsi="宋体"/>
                <w:sz w:val="30"/>
                <w:szCs w:val="30"/>
              </w:rPr>
            </w:pPr>
          </w:p>
        </w:tc>
        <w:tc>
          <w:tcPr>
            <w:tcW w:w="1134" w:type="dxa"/>
            <w:vAlign w:val="center"/>
          </w:tcPr>
          <w:p w14:paraId="0EE5A98E">
            <w:pPr>
              <w:ind w:firstLine="600"/>
              <w:rPr>
                <w:rFonts w:ascii="宋体" w:hAnsi="宋体"/>
                <w:sz w:val="30"/>
                <w:szCs w:val="30"/>
              </w:rPr>
            </w:pPr>
          </w:p>
        </w:tc>
        <w:tc>
          <w:tcPr>
            <w:tcW w:w="709" w:type="dxa"/>
            <w:vAlign w:val="center"/>
          </w:tcPr>
          <w:p w14:paraId="720F34F2">
            <w:pPr>
              <w:ind w:firstLine="600"/>
              <w:rPr>
                <w:rFonts w:ascii="宋体" w:hAnsi="宋体"/>
                <w:sz w:val="30"/>
                <w:szCs w:val="30"/>
              </w:rPr>
            </w:pPr>
          </w:p>
        </w:tc>
      </w:tr>
      <w:tr w14:paraId="5FC0EC6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52" w:type="dxa"/>
            <w:vAlign w:val="center"/>
          </w:tcPr>
          <w:p w14:paraId="5A2A519D">
            <w:pPr>
              <w:ind w:firstLine="600"/>
              <w:rPr>
                <w:rFonts w:ascii="宋体" w:hAnsi="宋体"/>
                <w:sz w:val="30"/>
                <w:szCs w:val="30"/>
              </w:rPr>
            </w:pPr>
          </w:p>
        </w:tc>
        <w:tc>
          <w:tcPr>
            <w:tcW w:w="1165" w:type="dxa"/>
            <w:vAlign w:val="center"/>
          </w:tcPr>
          <w:p w14:paraId="6EC5A0E2">
            <w:pPr>
              <w:ind w:firstLine="600"/>
              <w:rPr>
                <w:rFonts w:ascii="宋体" w:hAnsi="宋体"/>
                <w:sz w:val="30"/>
                <w:szCs w:val="30"/>
              </w:rPr>
            </w:pPr>
          </w:p>
        </w:tc>
        <w:tc>
          <w:tcPr>
            <w:tcW w:w="1126" w:type="dxa"/>
            <w:vAlign w:val="center"/>
          </w:tcPr>
          <w:p w14:paraId="2A2B8243">
            <w:pPr>
              <w:ind w:firstLine="600"/>
              <w:rPr>
                <w:rFonts w:ascii="宋体" w:hAnsi="宋体"/>
                <w:sz w:val="30"/>
                <w:szCs w:val="30"/>
              </w:rPr>
            </w:pPr>
          </w:p>
        </w:tc>
        <w:tc>
          <w:tcPr>
            <w:tcW w:w="567" w:type="dxa"/>
            <w:vAlign w:val="center"/>
          </w:tcPr>
          <w:p w14:paraId="6D4EE1F7">
            <w:pPr>
              <w:ind w:firstLine="600"/>
              <w:rPr>
                <w:rFonts w:ascii="宋体" w:hAnsi="宋体"/>
                <w:sz w:val="30"/>
                <w:szCs w:val="30"/>
              </w:rPr>
            </w:pPr>
          </w:p>
        </w:tc>
        <w:tc>
          <w:tcPr>
            <w:tcW w:w="686" w:type="dxa"/>
            <w:vAlign w:val="center"/>
          </w:tcPr>
          <w:p w14:paraId="3E535FBE">
            <w:pPr>
              <w:ind w:firstLine="600"/>
              <w:rPr>
                <w:rFonts w:ascii="宋体" w:hAnsi="宋体"/>
                <w:sz w:val="30"/>
                <w:szCs w:val="30"/>
              </w:rPr>
            </w:pPr>
          </w:p>
        </w:tc>
        <w:tc>
          <w:tcPr>
            <w:tcW w:w="992" w:type="dxa"/>
          </w:tcPr>
          <w:p w14:paraId="20A1514E">
            <w:pPr>
              <w:ind w:firstLine="600"/>
              <w:rPr>
                <w:rFonts w:ascii="宋体" w:hAnsi="宋体"/>
                <w:sz w:val="30"/>
                <w:szCs w:val="30"/>
              </w:rPr>
            </w:pPr>
          </w:p>
        </w:tc>
        <w:tc>
          <w:tcPr>
            <w:tcW w:w="1134" w:type="dxa"/>
            <w:vAlign w:val="center"/>
          </w:tcPr>
          <w:p w14:paraId="3A10D929">
            <w:pPr>
              <w:ind w:firstLine="600"/>
              <w:rPr>
                <w:rFonts w:ascii="宋体" w:hAnsi="宋体"/>
                <w:sz w:val="30"/>
                <w:szCs w:val="30"/>
              </w:rPr>
            </w:pPr>
          </w:p>
        </w:tc>
        <w:tc>
          <w:tcPr>
            <w:tcW w:w="1134" w:type="dxa"/>
            <w:vAlign w:val="center"/>
          </w:tcPr>
          <w:p w14:paraId="06D5B8E5">
            <w:pPr>
              <w:ind w:firstLine="600"/>
              <w:rPr>
                <w:rFonts w:ascii="宋体" w:hAnsi="宋体"/>
                <w:sz w:val="30"/>
                <w:szCs w:val="30"/>
              </w:rPr>
            </w:pPr>
          </w:p>
        </w:tc>
        <w:tc>
          <w:tcPr>
            <w:tcW w:w="1134" w:type="dxa"/>
            <w:vAlign w:val="center"/>
          </w:tcPr>
          <w:p w14:paraId="49F15F12">
            <w:pPr>
              <w:ind w:firstLine="600"/>
              <w:rPr>
                <w:rFonts w:ascii="宋体" w:hAnsi="宋体"/>
                <w:sz w:val="30"/>
                <w:szCs w:val="30"/>
              </w:rPr>
            </w:pPr>
          </w:p>
        </w:tc>
        <w:tc>
          <w:tcPr>
            <w:tcW w:w="709" w:type="dxa"/>
            <w:vAlign w:val="center"/>
          </w:tcPr>
          <w:p w14:paraId="0EC85823">
            <w:pPr>
              <w:ind w:firstLine="600"/>
              <w:rPr>
                <w:rFonts w:ascii="宋体" w:hAnsi="宋体"/>
                <w:sz w:val="30"/>
                <w:szCs w:val="30"/>
              </w:rPr>
            </w:pPr>
          </w:p>
        </w:tc>
      </w:tr>
      <w:tr w14:paraId="3586EF4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52" w:type="dxa"/>
            <w:vAlign w:val="center"/>
          </w:tcPr>
          <w:p w14:paraId="43514B57">
            <w:pPr>
              <w:ind w:firstLine="600"/>
              <w:rPr>
                <w:rFonts w:ascii="宋体" w:hAnsi="宋体"/>
                <w:sz w:val="30"/>
                <w:szCs w:val="30"/>
              </w:rPr>
            </w:pPr>
          </w:p>
        </w:tc>
        <w:tc>
          <w:tcPr>
            <w:tcW w:w="1165" w:type="dxa"/>
            <w:vAlign w:val="center"/>
          </w:tcPr>
          <w:p w14:paraId="59A7503F">
            <w:pPr>
              <w:ind w:firstLine="600"/>
              <w:rPr>
                <w:rFonts w:ascii="宋体" w:hAnsi="宋体"/>
                <w:sz w:val="30"/>
                <w:szCs w:val="30"/>
              </w:rPr>
            </w:pPr>
          </w:p>
        </w:tc>
        <w:tc>
          <w:tcPr>
            <w:tcW w:w="1126" w:type="dxa"/>
            <w:vAlign w:val="center"/>
          </w:tcPr>
          <w:p w14:paraId="540A2BE6">
            <w:pPr>
              <w:ind w:firstLine="600"/>
              <w:rPr>
                <w:rFonts w:ascii="宋体" w:hAnsi="宋体"/>
                <w:sz w:val="30"/>
                <w:szCs w:val="30"/>
              </w:rPr>
            </w:pPr>
          </w:p>
        </w:tc>
        <w:tc>
          <w:tcPr>
            <w:tcW w:w="567" w:type="dxa"/>
            <w:vAlign w:val="center"/>
          </w:tcPr>
          <w:p w14:paraId="10CBC96C">
            <w:pPr>
              <w:ind w:firstLine="600"/>
              <w:rPr>
                <w:rFonts w:ascii="宋体" w:hAnsi="宋体"/>
                <w:sz w:val="30"/>
                <w:szCs w:val="30"/>
              </w:rPr>
            </w:pPr>
          </w:p>
        </w:tc>
        <w:tc>
          <w:tcPr>
            <w:tcW w:w="686" w:type="dxa"/>
            <w:vAlign w:val="center"/>
          </w:tcPr>
          <w:p w14:paraId="7046C222">
            <w:pPr>
              <w:ind w:firstLine="600"/>
              <w:rPr>
                <w:rFonts w:ascii="宋体" w:hAnsi="宋体"/>
                <w:sz w:val="30"/>
                <w:szCs w:val="30"/>
              </w:rPr>
            </w:pPr>
          </w:p>
        </w:tc>
        <w:tc>
          <w:tcPr>
            <w:tcW w:w="992" w:type="dxa"/>
          </w:tcPr>
          <w:p w14:paraId="57D24188">
            <w:pPr>
              <w:ind w:firstLine="600"/>
              <w:rPr>
                <w:rFonts w:ascii="宋体" w:hAnsi="宋体"/>
                <w:sz w:val="30"/>
                <w:szCs w:val="30"/>
              </w:rPr>
            </w:pPr>
          </w:p>
        </w:tc>
        <w:tc>
          <w:tcPr>
            <w:tcW w:w="1134" w:type="dxa"/>
            <w:vAlign w:val="center"/>
          </w:tcPr>
          <w:p w14:paraId="6E3C4F8C">
            <w:pPr>
              <w:ind w:firstLine="600"/>
              <w:rPr>
                <w:rFonts w:ascii="宋体" w:hAnsi="宋体"/>
                <w:sz w:val="30"/>
                <w:szCs w:val="30"/>
              </w:rPr>
            </w:pPr>
          </w:p>
        </w:tc>
        <w:tc>
          <w:tcPr>
            <w:tcW w:w="1134" w:type="dxa"/>
            <w:vAlign w:val="center"/>
          </w:tcPr>
          <w:p w14:paraId="4CD38910">
            <w:pPr>
              <w:ind w:firstLine="600"/>
              <w:rPr>
                <w:rFonts w:ascii="宋体" w:hAnsi="宋体"/>
                <w:sz w:val="30"/>
                <w:szCs w:val="30"/>
              </w:rPr>
            </w:pPr>
          </w:p>
        </w:tc>
        <w:tc>
          <w:tcPr>
            <w:tcW w:w="1134" w:type="dxa"/>
            <w:vAlign w:val="center"/>
          </w:tcPr>
          <w:p w14:paraId="53BF8DE7">
            <w:pPr>
              <w:ind w:firstLine="600"/>
              <w:rPr>
                <w:rFonts w:ascii="宋体" w:hAnsi="宋体"/>
                <w:sz w:val="30"/>
                <w:szCs w:val="30"/>
              </w:rPr>
            </w:pPr>
          </w:p>
        </w:tc>
        <w:tc>
          <w:tcPr>
            <w:tcW w:w="709" w:type="dxa"/>
            <w:vAlign w:val="center"/>
          </w:tcPr>
          <w:p w14:paraId="511C7EC3">
            <w:pPr>
              <w:ind w:firstLine="600"/>
              <w:rPr>
                <w:rFonts w:ascii="宋体" w:hAnsi="宋体"/>
                <w:sz w:val="30"/>
                <w:szCs w:val="30"/>
              </w:rPr>
            </w:pPr>
          </w:p>
        </w:tc>
      </w:tr>
    </w:tbl>
    <w:p w14:paraId="6F0B02A0">
      <w:pPr>
        <w:ind w:firstLine="600"/>
        <w:rPr>
          <w:rFonts w:ascii="宋体" w:hAnsi="宋体"/>
          <w:sz w:val="30"/>
          <w:szCs w:val="30"/>
        </w:rPr>
      </w:pPr>
    </w:p>
    <w:p w14:paraId="73A1CB7B">
      <w:pPr>
        <w:ind w:firstLine="600"/>
        <w:rPr>
          <w:rFonts w:ascii="宋体" w:hAnsi="宋体"/>
          <w:sz w:val="30"/>
          <w:szCs w:val="30"/>
        </w:rPr>
      </w:pPr>
      <w:r>
        <w:rPr>
          <w:rFonts w:ascii="宋体" w:hAnsi="宋体"/>
          <w:sz w:val="30"/>
          <w:szCs w:val="30"/>
        </w:rPr>
        <w:br w:type="page"/>
      </w:r>
    </w:p>
    <w:p w14:paraId="6D53981B">
      <w:pPr>
        <w:ind w:firstLine="600"/>
        <w:rPr>
          <w:rFonts w:ascii="宋体" w:hAnsi="宋体"/>
          <w:sz w:val="30"/>
          <w:szCs w:val="30"/>
        </w:rPr>
      </w:pPr>
      <w:bookmarkStart w:id="761" w:name="_Toc20171895"/>
      <w:bookmarkStart w:id="762" w:name="_Toc54862354"/>
      <w:r>
        <w:rPr>
          <w:rFonts w:hint="eastAsia" w:ascii="宋体" w:hAnsi="宋体"/>
          <w:sz w:val="30"/>
          <w:szCs w:val="30"/>
        </w:rPr>
        <w:t>附件</w:t>
      </w:r>
      <w:r>
        <w:rPr>
          <w:rFonts w:ascii="宋体" w:hAnsi="宋体"/>
          <w:sz w:val="30"/>
          <w:szCs w:val="30"/>
        </w:rPr>
        <w:t>3 工程质量保修书</w:t>
      </w:r>
      <w:bookmarkEnd w:id="761"/>
      <w:bookmarkEnd w:id="762"/>
    </w:p>
    <w:p w14:paraId="2A1E854E">
      <w:pPr>
        <w:ind w:firstLine="600"/>
        <w:rPr>
          <w:rFonts w:ascii="宋体" w:hAnsi="宋体"/>
          <w:sz w:val="30"/>
          <w:szCs w:val="30"/>
        </w:rPr>
      </w:pPr>
      <w:r>
        <w:rPr>
          <w:rFonts w:hint="eastAsia" w:ascii="宋体" w:hAnsi="宋体"/>
          <w:sz w:val="30"/>
          <w:szCs w:val="30"/>
        </w:rPr>
        <w:t>发包人（全称）：</w:t>
      </w:r>
      <w:r>
        <w:rPr>
          <w:rFonts w:ascii="宋体" w:hAnsi="宋体"/>
          <w:sz w:val="30"/>
          <w:szCs w:val="30"/>
        </w:rPr>
        <w:t xml:space="preserve">                                  </w:t>
      </w:r>
    </w:p>
    <w:p w14:paraId="7D7F967B">
      <w:pPr>
        <w:ind w:firstLine="600"/>
        <w:rPr>
          <w:rFonts w:ascii="宋体" w:hAnsi="宋体"/>
          <w:sz w:val="30"/>
          <w:szCs w:val="30"/>
        </w:rPr>
      </w:pPr>
      <w:r>
        <w:rPr>
          <w:rFonts w:hint="eastAsia" w:ascii="宋体" w:hAnsi="宋体"/>
          <w:sz w:val="30"/>
          <w:szCs w:val="30"/>
        </w:rPr>
        <w:t>承包人（全称）：</w:t>
      </w:r>
      <w:r>
        <w:rPr>
          <w:rFonts w:ascii="宋体" w:hAnsi="宋体"/>
          <w:sz w:val="30"/>
          <w:szCs w:val="30"/>
        </w:rPr>
        <w:t xml:space="preserve">                                  </w:t>
      </w:r>
    </w:p>
    <w:p w14:paraId="10D1B83C">
      <w:pPr>
        <w:ind w:firstLine="600"/>
        <w:rPr>
          <w:rFonts w:ascii="宋体" w:hAnsi="宋体"/>
          <w:sz w:val="30"/>
          <w:szCs w:val="30"/>
        </w:rPr>
      </w:pPr>
      <w:r>
        <w:rPr>
          <w:rFonts w:hint="eastAsia" w:ascii="宋体" w:hAnsi="宋体"/>
          <w:sz w:val="30"/>
          <w:szCs w:val="30"/>
        </w:rPr>
        <w:t>发包人和承包人根据《中华人民共和国建筑法》和《建设工程质量管理条例》，经协商一致就</w:t>
      </w:r>
      <w:r>
        <w:rPr>
          <w:rFonts w:ascii="宋体" w:hAnsi="宋体"/>
          <w:sz w:val="30"/>
          <w:szCs w:val="30"/>
        </w:rPr>
        <w:t xml:space="preserve">                 </w:t>
      </w:r>
      <w:r>
        <w:rPr>
          <w:rFonts w:hint="eastAsia" w:ascii="宋体" w:hAnsi="宋体"/>
          <w:sz w:val="30"/>
          <w:szCs w:val="30"/>
        </w:rPr>
        <w:t>（工程全称）订立工程质量保修书。</w:t>
      </w:r>
    </w:p>
    <w:p w14:paraId="24662C75">
      <w:pPr>
        <w:ind w:firstLine="600"/>
        <w:rPr>
          <w:rFonts w:ascii="宋体" w:hAnsi="宋体"/>
          <w:sz w:val="30"/>
          <w:szCs w:val="30"/>
        </w:rPr>
      </w:pPr>
      <w:r>
        <w:rPr>
          <w:rFonts w:hint="eastAsia" w:ascii="宋体" w:hAnsi="宋体"/>
          <w:sz w:val="30"/>
          <w:szCs w:val="30"/>
        </w:rPr>
        <w:t>一、工程质量保修范围和内容</w:t>
      </w:r>
    </w:p>
    <w:p w14:paraId="40E2EA6A">
      <w:pPr>
        <w:ind w:firstLine="600"/>
        <w:rPr>
          <w:rFonts w:ascii="宋体" w:hAnsi="宋体"/>
          <w:sz w:val="30"/>
          <w:szCs w:val="30"/>
        </w:rPr>
      </w:pPr>
      <w:r>
        <w:rPr>
          <w:rFonts w:hint="eastAsia" w:ascii="宋体" w:hAnsi="宋体"/>
          <w:sz w:val="30"/>
          <w:szCs w:val="30"/>
        </w:rPr>
        <w:t>承包人在质量保修期内，按照有关法律规定和合同约定，承担工程质量保修责任。</w:t>
      </w:r>
    </w:p>
    <w:p w14:paraId="255101A7">
      <w:pPr>
        <w:ind w:firstLine="600"/>
        <w:rPr>
          <w:rFonts w:ascii="宋体" w:hAnsi="宋体"/>
          <w:sz w:val="30"/>
          <w:szCs w:val="30"/>
        </w:rPr>
      </w:pPr>
      <w:r>
        <w:rPr>
          <w:rFonts w:hint="eastAsia" w:ascii="宋体" w:hAnsi="宋体"/>
          <w:sz w:val="30"/>
          <w:szCs w:val="30"/>
        </w:rPr>
        <w:t>质量保修范围包括地基基础工程、主体结构工程，屋面防水工程、有防水要求的卫生间、房间和外墙面的防渗漏，供热与供冷系统，电气管线、给排水管道、设备安装和装修工程，以及双方约定的其他项目。具体保修的内容，双方约定如下：</w:t>
      </w:r>
      <w:r>
        <w:rPr>
          <w:rFonts w:ascii="宋体" w:hAnsi="宋体"/>
          <w:sz w:val="30"/>
          <w:szCs w:val="30"/>
        </w:rPr>
        <w:t xml:space="preserve">                                                  </w:t>
      </w:r>
      <w:r>
        <w:rPr>
          <w:rFonts w:hint="eastAsia" w:ascii="宋体" w:hAnsi="宋体"/>
          <w:sz w:val="30"/>
          <w:szCs w:val="30"/>
        </w:rPr>
        <w:t>。</w:t>
      </w:r>
    </w:p>
    <w:p w14:paraId="47B5B1A2">
      <w:pPr>
        <w:ind w:firstLine="600"/>
        <w:rPr>
          <w:rFonts w:ascii="宋体" w:hAnsi="宋体"/>
          <w:sz w:val="30"/>
          <w:szCs w:val="30"/>
        </w:rPr>
      </w:pPr>
      <w:r>
        <w:rPr>
          <w:rFonts w:hint="eastAsia" w:ascii="宋体" w:hAnsi="宋体"/>
          <w:sz w:val="30"/>
          <w:szCs w:val="30"/>
        </w:rPr>
        <w:t>二、质量保修期</w:t>
      </w:r>
    </w:p>
    <w:p w14:paraId="09819C43">
      <w:pPr>
        <w:ind w:firstLine="600"/>
        <w:rPr>
          <w:rFonts w:ascii="宋体" w:hAnsi="宋体"/>
          <w:sz w:val="30"/>
          <w:szCs w:val="30"/>
        </w:rPr>
      </w:pPr>
      <w:r>
        <w:rPr>
          <w:rFonts w:hint="eastAsia" w:ascii="宋体" w:hAnsi="宋体"/>
          <w:sz w:val="30"/>
          <w:szCs w:val="30"/>
        </w:rPr>
        <w:t>根据《建设工程质量管理条例》及有关规定，工程的质量保修期如下：</w:t>
      </w:r>
    </w:p>
    <w:p w14:paraId="0AA1A5F0">
      <w:pPr>
        <w:ind w:firstLine="600"/>
        <w:rPr>
          <w:rFonts w:ascii="宋体" w:hAnsi="宋体"/>
          <w:sz w:val="30"/>
          <w:szCs w:val="30"/>
        </w:rPr>
      </w:pPr>
      <w:r>
        <w:rPr>
          <w:rFonts w:hint="eastAsia" w:ascii="宋体" w:hAnsi="宋体"/>
          <w:sz w:val="30"/>
          <w:szCs w:val="30"/>
        </w:rPr>
        <w:t>1．地基基础工程和主体结构工程为设计文件规定的工程合理使用年限；</w:t>
      </w:r>
    </w:p>
    <w:p w14:paraId="70A4BBDF">
      <w:pPr>
        <w:ind w:firstLine="600"/>
        <w:rPr>
          <w:rFonts w:ascii="宋体" w:hAnsi="宋体"/>
          <w:sz w:val="30"/>
          <w:szCs w:val="30"/>
        </w:rPr>
      </w:pPr>
      <w:r>
        <w:rPr>
          <w:rFonts w:hint="eastAsia" w:ascii="宋体" w:hAnsi="宋体"/>
          <w:sz w:val="30"/>
          <w:szCs w:val="30"/>
        </w:rPr>
        <w:t>2．屋面防水工程、有防水要求的卫生间、房间和外墙面的防渗为</w:t>
      </w:r>
      <w:r>
        <w:rPr>
          <w:rFonts w:ascii="宋体" w:hAnsi="宋体"/>
          <w:sz w:val="30"/>
          <w:szCs w:val="30"/>
        </w:rPr>
        <w:t xml:space="preserve">       </w:t>
      </w:r>
      <w:r>
        <w:rPr>
          <w:rFonts w:hint="eastAsia" w:ascii="宋体" w:hAnsi="宋体"/>
          <w:sz w:val="30"/>
          <w:szCs w:val="30"/>
        </w:rPr>
        <w:t>年；</w:t>
      </w:r>
    </w:p>
    <w:p w14:paraId="5BCF4A0A">
      <w:pPr>
        <w:ind w:firstLine="600"/>
        <w:rPr>
          <w:rFonts w:ascii="宋体" w:hAnsi="宋体"/>
          <w:sz w:val="30"/>
          <w:szCs w:val="30"/>
        </w:rPr>
      </w:pPr>
      <w:r>
        <w:rPr>
          <w:rFonts w:hint="eastAsia" w:ascii="宋体" w:hAnsi="宋体"/>
          <w:sz w:val="30"/>
          <w:szCs w:val="30"/>
        </w:rPr>
        <w:t>3．装修工程为</w:t>
      </w:r>
      <w:r>
        <w:rPr>
          <w:rFonts w:ascii="宋体" w:hAnsi="宋体"/>
          <w:sz w:val="30"/>
          <w:szCs w:val="30"/>
        </w:rPr>
        <w:t xml:space="preserve">         </w:t>
      </w:r>
      <w:r>
        <w:rPr>
          <w:rFonts w:hint="eastAsia" w:ascii="宋体" w:hAnsi="宋体"/>
          <w:sz w:val="30"/>
          <w:szCs w:val="30"/>
        </w:rPr>
        <w:t>年；</w:t>
      </w:r>
    </w:p>
    <w:p w14:paraId="4003B68E">
      <w:pPr>
        <w:ind w:firstLine="600"/>
        <w:rPr>
          <w:rFonts w:ascii="宋体" w:hAnsi="宋体"/>
          <w:sz w:val="30"/>
          <w:szCs w:val="30"/>
        </w:rPr>
      </w:pPr>
      <w:r>
        <w:rPr>
          <w:rFonts w:hint="eastAsia" w:ascii="宋体" w:hAnsi="宋体"/>
          <w:sz w:val="30"/>
          <w:szCs w:val="30"/>
        </w:rPr>
        <w:t>4．电气管线、给排水管道、设备安装工程为</w:t>
      </w:r>
      <w:r>
        <w:rPr>
          <w:rFonts w:ascii="宋体" w:hAnsi="宋体"/>
          <w:sz w:val="30"/>
          <w:szCs w:val="30"/>
        </w:rPr>
        <w:t xml:space="preserve">           </w:t>
      </w:r>
      <w:r>
        <w:rPr>
          <w:rFonts w:hint="eastAsia" w:ascii="宋体" w:hAnsi="宋体"/>
          <w:sz w:val="30"/>
          <w:szCs w:val="30"/>
        </w:rPr>
        <w:t>年；</w:t>
      </w:r>
    </w:p>
    <w:p w14:paraId="636203C7">
      <w:pPr>
        <w:ind w:firstLine="600"/>
        <w:rPr>
          <w:rFonts w:ascii="宋体" w:hAnsi="宋体"/>
          <w:sz w:val="30"/>
          <w:szCs w:val="30"/>
        </w:rPr>
      </w:pPr>
      <w:r>
        <w:rPr>
          <w:rFonts w:hint="eastAsia" w:ascii="宋体" w:hAnsi="宋体"/>
          <w:sz w:val="30"/>
          <w:szCs w:val="30"/>
        </w:rPr>
        <w:t>5．供热与供冷系统为</w:t>
      </w:r>
      <w:r>
        <w:rPr>
          <w:rFonts w:ascii="宋体" w:hAnsi="宋体"/>
          <w:sz w:val="30"/>
          <w:szCs w:val="30"/>
        </w:rPr>
        <w:t xml:space="preserve">        </w:t>
      </w:r>
      <w:r>
        <w:rPr>
          <w:rFonts w:hint="eastAsia" w:ascii="宋体" w:hAnsi="宋体"/>
          <w:sz w:val="30"/>
          <w:szCs w:val="30"/>
        </w:rPr>
        <w:t>个采暖期、供冷期；</w:t>
      </w:r>
    </w:p>
    <w:p w14:paraId="4E59B812">
      <w:pPr>
        <w:ind w:firstLine="600"/>
        <w:rPr>
          <w:rFonts w:ascii="宋体" w:hAnsi="宋体"/>
          <w:sz w:val="30"/>
          <w:szCs w:val="30"/>
        </w:rPr>
      </w:pPr>
      <w:r>
        <w:rPr>
          <w:rFonts w:hint="eastAsia" w:ascii="宋体" w:hAnsi="宋体"/>
          <w:sz w:val="30"/>
          <w:szCs w:val="30"/>
        </w:rPr>
        <w:t>6．住宅小区内的给排水设施、道路等配套工程为</w:t>
      </w:r>
      <w:r>
        <w:rPr>
          <w:rFonts w:ascii="宋体" w:hAnsi="宋体"/>
          <w:sz w:val="30"/>
          <w:szCs w:val="30"/>
        </w:rPr>
        <w:t xml:space="preserve">         </w:t>
      </w:r>
      <w:r>
        <w:rPr>
          <w:rFonts w:hint="eastAsia" w:ascii="宋体" w:hAnsi="宋体"/>
          <w:sz w:val="30"/>
          <w:szCs w:val="30"/>
        </w:rPr>
        <w:t>年；</w:t>
      </w:r>
    </w:p>
    <w:p w14:paraId="3C7CECE2">
      <w:pPr>
        <w:ind w:firstLine="600"/>
        <w:rPr>
          <w:rFonts w:ascii="宋体" w:hAnsi="宋体"/>
          <w:sz w:val="30"/>
          <w:szCs w:val="30"/>
        </w:rPr>
      </w:pPr>
      <w:r>
        <w:rPr>
          <w:rFonts w:hint="eastAsia" w:ascii="宋体" w:hAnsi="宋体"/>
          <w:sz w:val="30"/>
          <w:szCs w:val="30"/>
        </w:rPr>
        <w:t>7．其他项目保修期限约定如下：</w:t>
      </w:r>
      <w:r>
        <w:rPr>
          <w:rFonts w:ascii="宋体" w:hAnsi="宋体"/>
          <w:sz w:val="30"/>
          <w:szCs w:val="30"/>
        </w:rPr>
        <w:t xml:space="preserve">                      </w:t>
      </w:r>
      <w:r>
        <w:rPr>
          <w:rFonts w:hint="eastAsia" w:ascii="宋体" w:hAnsi="宋体"/>
          <w:sz w:val="30"/>
          <w:szCs w:val="30"/>
        </w:rPr>
        <w:t>。</w:t>
      </w:r>
    </w:p>
    <w:p w14:paraId="31E6B096">
      <w:pPr>
        <w:ind w:firstLine="600"/>
        <w:rPr>
          <w:rFonts w:ascii="宋体" w:hAnsi="宋体"/>
          <w:sz w:val="30"/>
          <w:szCs w:val="30"/>
        </w:rPr>
      </w:pPr>
      <w:r>
        <w:rPr>
          <w:rFonts w:hint="eastAsia" w:ascii="宋体" w:hAnsi="宋体"/>
          <w:sz w:val="30"/>
          <w:szCs w:val="30"/>
        </w:rPr>
        <w:t>质量保修期自工程竣工验收合格之日起计算。</w:t>
      </w:r>
    </w:p>
    <w:p w14:paraId="3874B3BC">
      <w:pPr>
        <w:ind w:firstLine="600"/>
        <w:rPr>
          <w:rFonts w:ascii="宋体" w:hAnsi="宋体"/>
          <w:sz w:val="30"/>
          <w:szCs w:val="30"/>
        </w:rPr>
      </w:pPr>
      <w:r>
        <w:rPr>
          <w:rFonts w:hint="eastAsia" w:ascii="宋体" w:hAnsi="宋体"/>
          <w:sz w:val="30"/>
          <w:szCs w:val="30"/>
        </w:rPr>
        <w:t>三、缺陷责任期</w:t>
      </w:r>
    </w:p>
    <w:p w14:paraId="374ED652">
      <w:pPr>
        <w:ind w:firstLine="600"/>
        <w:rPr>
          <w:rFonts w:ascii="宋体" w:hAnsi="宋体"/>
          <w:sz w:val="30"/>
          <w:szCs w:val="30"/>
        </w:rPr>
      </w:pPr>
      <w:r>
        <w:rPr>
          <w:rFonts w:hint="eastAsia" w:ascii="宋体" w:hAnsi="宋体"/>
          <w:sz w:val="30"/>
          <w:szCs w:val="30"/>
        </w:rPr>
        <w:t>工程缺陷责任期为</w:t>
      </w:r>
      <w:r>
        <w:rPr>
          <w:rFonts w:ascii="宋体" w:hAnsi="宋体"/>
          <w:sz w:val="30"/>
          <w:szCs w:val="30"/>
        </w:rPr>
        <w:t xml:space="preserve">      </w:t>
      </w:r>
      <w:r>
        <w:rPr>
          <w:rFonts w:hint="eastAsia" w:ascii="宋体" w:hAnsi="宋体"/>
          <w:sz w:val="30"/>
          <w:szCs w:val="30"/>
        </w:rPr>
        <w:t>个月，缺陷责任期自工程通过竣工验收之日起计算。单位/区段工程先于全部工程进行验收，单位/区段工程缺陷责任期自单位/区段工程验收合格之日起算。</w:t>
      </w:r>
    </w:p>
    <w:p w14:paraId="5D18D96A">
      <w:pPr>
        <w:ind w:firstLine="600"/>
        <w:rPr>
          <w:rFonts w:ascii="宋体" w:hAnsi="宋体"/>
          <w:sz w:val="30"/>
          <w:szCs w:val="30"/>
        </w:rPr>
      </w:pPr>
      <w:r>
        <w:rPr>
          <w:rFonts w:hint="eastAsia" w:ascii="宋体" w:hAnsi="宋体"/>
          <w:sz w:val="30"/>
          <w:szCs w:val="30"/>
        </w:rPr>
        <w:t>缺陷责任期终止后，发包人应返还剩余的质量保证金。</w:t>
      </w:r>
    </w:p>
    <w:p w14:paraId="1AFDDBA4">
      <w:pPr>
        <w:ind w:firstLine="600"/>
        <w:rPr>
          <w:rFonts w:ascii="宋体" w:hAnsi="宋体"/>
          <w:sz w:val="30"/>
          <w:szCs w:val="30"/>
        </w:rPr>
      </w:pPr>
      <w:r>
        <w:rPr>
          <w:rFonts w:hint="eastAsia" w:ascii="宋体" w:hAnsi="宋体"/>
          <w:sz w:val="30"/>
          <w:szCs w:val="30"/>
        </w:rPr>
        <w:t>四、质量保修责任</w:t>
      </w:r>
    </w:p>
    <w:p w14:paraId="79B11C2B">
      <w:pPr>
        <w:ind w:firstLine="600"/>
        <w:rPr>
          <w:rFonts w:ascii="宋体" w:hAnsi="宋体"/>
          <w:sz w:val="30"/>
          <w:szCs w:val="30"/>
        </w:rPr>
      </w:pPr>
      <w:r>
        <w:rPr>
          <w:rFonts w:hint="eastAsia" w:ascii="宋体" w:hAnsi="宋体"/>
          <w:sz w:val="30"/>
          <w:szCs w:val="30"/>
        </w:rPr>
        <w:t>1．属于保修范围、内容的项目，承包人应当在接到保修通知之日起7天内派人保修。承包人不在约定期限内派人保修的，发包人可以委托他人修理。</w:t>
      </w:r>
    </w:p>
    <w:p w14:paraId="3784E3AB">
      <w:pPr>
        <w:ind w:firstLine="600"/>
        <w:rPr>
          <w:rFonts w:ascii="宋体" w:hAnsi="宋体"/>
          <w:sz w:val="30"/>
          <w:szCs w:val="30"/>
        </w:rPr>
      </w:pPr>
      <w:r>
        <w:rPr>
          <w:rFonts w:hint="eastAsia" w:ascii="宋体" w:hAnsi="宋体"/>
          <w:sz w:val="30"/>
          <w:szCs w:val="30"/>
        </w:rPr>
        <w:t>2．发生紧急事故需抢修的，承包人在接到事故通知后，应当立即到达事故现场抢修。</w:t>
      </w:r>
    </w:p>
    <w:p w14:paraId="0E06CB24">
      <w:pPr>
        <w:ind w:firstLine="600"/>
        <w:rPr>
          <w:rFonts w:ascii="宋体" w:hAnsi="宋体"/>
          <w:sz w:val="30"/>
          <w:szCs w:val="30"/>
        </w:rPr>
      </w:pPr>
      <w:r>
        <w:rPr>
          <w:rFonts w:hint="eastAsia" w:ascii="宋体" w:hAnsi="宋体"/>
          <w:sz w:val="30"/>
          <w:szCs w:val="30"/>
        </w:rPr>
        <w:t>3．对于涉及结构安全的质量问题，应当按照《建设工程质量管理条例》的规定，立即向当地建设行政主管部门和有关部门报告，采取安全防范措施，并由承包人提出保修方案，承包人将设计业务分包的，应由原设计分包人或具有相应资质等级的设计人提出保修方案，承包人实施保修。</w:t>
      </w:r>
    </w:p>
    <w:p w14:paraId="65E12619">
      <w:pPr>
        <w:ind w:firstLine="600"/>
        <w:rPr>
          <w:rFonts w:ascii="宋体" w:hAnsi="宋体"/>
          <w:sz w:val="30"/>
          <w:szCs w:val="30"/>
        </w:rPr>
      </w:pPr>
      <w:r>
        <w:rPr>
          <w:rFonts w:hint="eastAsia" w:ascii="宋体" w:hAnsi="宋体"/>
          <w:sz w:val="30"/>
          <w:szCs w:val="30"/>
        </w:rPr>
        <w:t>4．质量保修完成后，由发包人组织验收。</w:t>
      </w:r>
    </w:p>
    <w:p w14:paraId="0F5C49AD">
      <w:pPr>
        <w:ind w:firstLine="600"/>
        <w:rPr>
          <w:rFonts w:ascii="宋体" w:hAnsi="宋体"/>
          <w:sz w:val="30"/>
          <w:szCs w:val="30"/>
        </w:rPr>
      </w:pPr>
      <w:r>
        <w:rPr>
          <w:rFonts w:hint="eastAsia" w:ascii="宋体" w:hAnsi="宋体"/>
          <w:sz w:val="30"/>
          <w:szCs w:val="30"/>
        </w:rPr>
        <w:t>五、保修费用</w:t>
      </w:r>
    </w:p>
    <w:p w14:paraId="0821E287">
      <w:pPr>
        <w:ind w:firstLine="600"/>
        <w:rPr>
          <w:rFonts w:ascii="宋体" w:hAnsi="宋体"/>
          <w:sz w:val="30"/>
          <w:szCs w:val="30"/>
        </w:rPr>
      </w:pPr>
      <w:r>
        <w:rPr>
          <w:rFonts w:hint="eastAsia" w:ascii="宋体" w:hAnsi="宋体"/>
          <w:sz w:val="30"/>
          <w:szCs w:val="30"/>
        </w:rPr>
        <w:t>保修费用由造成质量缺陷的责任方承担。</w:t>
      </w:r>
    </w:p>
    <w:p w14:paraId="0BE4E189">
      <w:pPr>
        <w:ind w:firstLine="600"/>
        <w:rPr>
          <w:rFonts w:ascii="宋体" w:hAnsi="宋体"/>
          <w:sz w:val="30"/>
          <w:szCs w:val="30"/>
        </w:rPr>
      </w:pPr>
      <w:r>
        <w:rPr>
          <w:rFonts w:hint="eastAsia" w:ascii="宋体" w:hAnsi="宋体"/>
          <w:sz w:val="30"/>
          <w:szCs w:val="30"/>
        </w:rPr>
        <w:t>六、双方约定的其他工程质量保修事项：</w:t>
      </w:r>
      <w:r>
        <w:rPr>
          <w:rFonts w:ascii="宋体" w:hAnsi="宋体"/>
          <w:sz w:val="30"/>
          <w:szCs w:val="30"/>
        </w:rPr>
        <w:t xml:space="preserve">                </w:t>
      </w:r>
      <w:r>
        <w:rPr>
          <w:rFonts w:hint="eastAsia" w:ascii="宋体" w:hAnsi="宋体"/>
          <w:sz w:val="30"/>
          <w:szCs w:val="30"/>
        </w:rPr>
        <w:t>。</w:t>
      </w:r>
    </w:p>
    <w:p w14:paraId="05B90111">
      <w:pPr>
        <w:ind w:firstLine="600"/>
        <w:rPr>
          <w:rFonts w:ascii="宋体" w:hAnsi="宋体"/>
          <w:sz w:val="30"/>
          <w:szCs w:val="30"/>
        </w:rPr>
      </w:pPr>
      <w:r>
        <w:rPr>
          <w:rFonts w:hint="eastAsia" w:ascii="宋体" w:hAnsi="宋体"/>
          <w:sz w:val="30"/>
          <w:szCs w:val="30"/>
        </w:rPr>
        <w:t>工程质量保修书由发包人、承包人在工程竣工验收前共同签署，作为工程总承包合同附件，其有效期限至保修期满。</w:t>
      </w:r>
    </w:p>
    <w:p w14:paraId="50A7740E">
      <w:pPr>
        <w:ind w:firstLine="600"/>
        <w:rPr>
          <w:rFonts w:ascii="宋体" w:hAnsi="宋体"/>
          <w:sz w:val="30"/>
          <w:szCs w:val="30"/>
        </w:rPr>
      </w:pPr>
    </w:p>
    <w:p w14:paraId="17E16C69">
      <w:pPr>
        <w:ind w:firstLine="600"/>
        <w:rPr>
          <w:rFonts w:ascii="宋体" w:hAnsi="宋体"/>
          <w:sz w:val="30"/>
          <w:szCs w:val="30"/>
        </w:rPr>
      </w:pPr>
      <w:r>
        <w:rPr>
          <w:rFonts w:hint="eastAsia" w:ascii="宋体" w:hAnsi="宋体"/>
          <w:sz w:val="30"/>
          <w:szCs w:val="30"/>
        </w:rPr>
        <w:t xml:space="preserve">发包人(公章)：               承包人(公章)：          </w:t>
      </w:r>
    </w:p>
    <w:p w14:paraId="74AB14F0">
      <w:pPr>
        <w:ind w:firstLine="600"/>
        <w:rPr>
          <w:rFonts w:ascii="宋体" w:hAnsi="宋体"/>
          <w:sz w:val="30"/>
          <w:szCs w:val="30"/>
        </w:rPr>
      </w:pPr>
      <w:r>
        <w:rPr>
          <w:rFonts w:hint="eastAsia" w:ascii="宋体" w:hAnsi="宋体"/>
          <w:sz w:val="30"/>
          <w:szCs w:val="30"/>
        </w:rPr>
        <w:t xml:space="preserve">地  址：                     地  址：       </w:t>
      </w:r>
    </w:p>
    <w:p w14:paraId="0F023C92">
      <w:pPr>
        <w:ind w:firstLine="600"/>
        <w:rPr>
          <w:rFonts w:ascii="宋体" w:hAnsi="宋体"/>
          <w:sz w:val="30"/>
          <w:szCs w:val="30"/>
        </w:rPr>
      </w:pPr>
      <w:r>
        <w:rPr>
          <w:rFonts w:hint="eastAsia" w:ascii="宋体" w:hAnsi="宋体"/>
          <w:sz w:val="30"/>
          <w:szCs w:val="30"/>
        </w:rPr>
        <w:t xml:space="preserve">法定代表人(签字)：           法定代表人(签字)：       </w:t>
      </w:r>
    </w:p>
    <w:p w14:paraId="330399E6">
      <w:pPr>
        <w:ind w:firstLine="600"/>
        <w:rPr>
          <w:rFonts w:ascii="宋体" w:hAnsi="宋体"/>
          <w:sz w:val="30"/>
          <w:szCs w:val="30"/>
        </w:rPr>
      </w:pPr>
      <w:r>
        <w:rPr>
          <w:rFonts w:hint="eastAsia" w:ascii="宋体" w:hAnsi="宋体"/>
          <w:sz w:val="30"/>
          <w:szCs w:val="30"/>
        </w:rPr>
        <w:t xml:space="preserve">委托代理人(签字)：           委托代理人(签字)：       </w:t>
      </w:r>
    </w:p>
    <w:p w14:paraId="6C8B7472">
      <w:pPr>
        <w:ind w:firstLine="600"/>
        <w:rPr>
          <w:rFonts w:ascii="宋体" w:hAnsi="宋体"/>
          <w:sz w:val="30"/>
          <w:szCs w:val="30"/>
        </w:rPr>
      </w:pPr>
      <w:r>
        <w:rPr>
          <w:rFonts w:hint="eastAsia" w:ascii="宋体" w:hAnsi="宋体"/>
          <w:sz w:val="30"/>
          <w:szCs w:val="30"/>
        </w:rPr>
        <w:t>电  话：                     电  话：</w:t>
      </w:r>
    </w:p>
    <w:p w14:paraId="4F630CB8">
      <w:pPr>
        <w:ind w:firstLine="600"/>
        <w:rPr>
          <w:rFonts w:ascii="宋体" w:hAnsi="宋体"/>
          <w:sz w:val="30"/>
          <w:szCs w:val="30"/>
        </w:rPr>
      </w:pPr>
      <w:r>
        <w:rPr>
          <w:rFonts w:hint="eastAsia" w:ascii="宋体" w:hAnsi="宋体"/>
          <w:sz w:val="30"/>
          <w:szCs w:val="30"/>
        </w:rPr>
        <w:t xml:space="preserve">传  真：                     传  真：  </w:t>
      </w:r>
    </w:p>
    <w:p w14:paraId="5B17CA0E">
      <w:pPr>
        <w:ind w:firstLine="600"/>
        <w:rPr>
          <w:rFonts w:ascii="宋体" w:hAnsi="宋体"/>
          <w:sz w:val="30"/>
          <w:szCs w:val="30"/>
        </w:rPr>
      </w:pPr>
      <w:r>
        <w:rPr>
          <w:rFonts w:hint="eastAsia" w:ascii="宋体" w:hAnsi="宋体"/>
          <w:sz w:val="30"/>
          <w:szCs w:val="30"/>
        </w:rPr>
        <w:t>开户银行：                   开户银行：</w:t>
      </w:r>
    </w:p>
    <w:p w14:paraId="429AD3E1">
      <w:pPr>
        <w:ind w:firstLine="600"/>
        <w:rPr>
          <w:rFonts w:ascii="宋体" w:hAnsi="宋体"/>
          <w:sz w:val="30"/>
          <w:szCs w:val="30"/>
        </w:rPr>
      </w:pPr>
      <w:r>
        <w:rPr>
          <w:rFonts w:hint="eastAsia" w:ascii="宋体" w:hAnsi="宋体"/>
          <w:sz w:val="30"/>
          <w:szCs w:val="30"/>
        </w:rPr>
        <w:t xml:space="preserve">账  号：                     账  号： </w:t>
      </w:r>
    </w:p>
    <w:p w14:paraId="40F5E172">
      <w:pPr>
        <w:ind w:firstLine="600"/>
        <w:rPr>
          <w:rFonts w:ascii="宋体" w:hAnsi="宋体"/>
          <w:sz w:val="30"/>
          <w:szCs w:val="30"/>
        </w:rPr>
      </w:pPr>
      <w:r>
        <w:rPr>
          <w:rFonts w:hint="eastAsia" w:ascii="宋体" w:hAnsi="宋体"/>
          <w:sz w:val="30"/>
          <w:szCs w:val="30"/>
        </w:rPr>
        <w:t xml:space="preserve">邮政编码：                   邮政编码：   </w:t>
      </w:r>
    </w:p>
    <w:p w14:paraId="76610E22">
      <w:pPr>
        <w:ind w:firstLine="600"/>
        <w:rPr>
          <w:rFonts w:ascii="宋体" w:hAnsi="宋体"/>
          <w:sz w:val="30"/>
          <w:szCs w:val="30"/>
        </w:rPr>
      </w:pPr>
      <w:r>
        <w:rPr>
          <w:rFonts w:ascii="宋体" w:hAnsi="宋体"/>
          <w:sz w:val="30"/>
          <w:szCs w:val="30"/>
        </w:rPr>
        <w:br w:type="page"/>
      </w:r>
    </w:p>
    <w:p w14:paraId="335AB127">
      <w:pPr>
        <w:ind w:firstLine="600"/>
        <w:rPr>
          <w:rFonts w:ascii="宋体" w:hAnsi="宋体"/>
          <w:sz w:val="30"/>
          <w:szCs w:val="30"/>
        </w:rPr>
      </w:pPr>
      <w:bookmarkStart w:id="763" w:name="_Toc20171896"/>
      <w:bookmarkStart w:id="764" w:name="_Toc54862355"/>
      <w:r>
        <w:rPr>
          <w:rFonts w:hint="eastAsia" w:ascii="宋体" w:hAnsi="宋体"/>
          <w:sz w:val="30"/>
          <w:szCs w:val="30"/>
        </w:rPr>
        <w:t>附件4</w:t>
      </w:r>
      <w:r>
        <w:rPr>
          <w:rFonts w:ascii="宋体" w:hAnsi="宋体"/>
          <w:sz w:val="30"/>
          <w:szCs w:val="30"/>
        </w:rPr>
        <w:t xml:space="preserve"> 主要建设工程文件目录</w:t>
      </w:r>
      <w:bookmarkEnd w:id="763"/>
      <w:bookmarkEnd w:id="764"/>
    </w:p>
    <w:tbl>
      <w:tblPr>
        <w:tblStyle w:val="45"/>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2125"/>
        <w:gridCol w:w="1276"/>
        <w:gridCol w:w="1450"/>
        <w:gridCol w:w="1243"/>
        <w:gridCol w:w="1450"/>
        <w:gridCol w:w="1670"/>
      </w:tblGrid>
      <w:tr w14:paraId="7664C4B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2125" w:type="dxa"/>
            <w:tcBorders>
              <w:top w:val="single" w:color="auto" w:sz="12" w:space="0"/>
              <w:bottom w:val="double" w:color="auto" w:sz="6" w:space="0"/>
            </w:tcBorders>
            <w:vAlign w:val="center"/>
          </w:tcPr>
          <w:p w14:paraId="5EB0FF22">
            <w:pPr>
              <w:rPr>
                <w:rFonts w:ascii="宋体" w:hAnsi="宋体"/>
                <w:sz w:val="30"/>
                <w:szCs w:val="30"/>
              </w:rPr>
            </w:pPr>
            <w:r>
              <w:rPr>
                <w:rFonts w:hint="eastAsia" w:ascii="宋体" w:hAnsi="宋体"/>
                <w:sz w:val="30"/>
                <w:szCs w:val="30"/>
              </w:rPr>
              <w:t>文件名称</w:t>
            </w:r>
          </w:p>
        </w:tc>
        <w:tc>
          <w:tcPr>
            <w:tcW w:w="1276" w:type="dxa"/>
            <w:tcBorders>
              <w:top w:val="single" w:color="auto" w:sz="12" w:space="0"/>
              <w:bottom w:val="double" w:color="auto" w:sz="6" w:space="0"/>
            </w:tcBorders>
            <w:vAlign w:val="center"/>
          </w:tcPr>
          <w:p w14:paraId="48E85886">
            <w:pPr>
              <w:rPr>
                <w:rFonts w:ascii="宋体" w:hAnsi="宋体"/>
                <w:sz w:val="30"/>
                <w:szCs w:val="30"/>
              </w:rPr>
            </w:pPr>
            <w:r>
              <w:rPr>
                <w:rFonts w:hint="eastAsia" w:ascii="宋体" w:hAnsi="宋体"/>
                <w:sz w:val="30"/>
                <w:szCs w:val="30"/>
              </w:rPr>
              <w:t>套数</w:t>
            </w:r>
          </w:p>
        </w:tc>
        <w:tc>
          <w:tcPr>
            <w:tcW w:w="1450" w:type="dxa"/>
            <w:tcBorders>
              <w:top w:val="single" w:color="auto" w:sz="12" w:space="0"/>
              <w:bottom w:val="double" w:color="auto" w:sz="6" w:space="0"/>
            </w:tcBorders>
            <w:vAlign w:val="center"/>
          </w:tcPr>
          <w:p w14:paraId="12FA6C39">
            <w:pPr>
              <w:rPr>
                <w:rFonts w:ascii="宋体" w:hAnsi="宋体"/>
                <w:sz w:val="30"/>
                <w:szCs w:val="30"/>
              </w:rPr>
            </w:pPr>
            <w:r>
              <w:rPr>
                <w:rFonts w:hint="eastAsia" w:ascii="宋体" w:hAnsi="宋体"/>
                <w:sz w:val="30"/>
                <w:szCs w:val="30"/>
              </w:rPr>
              <w:t>费用（元）</w:t>
            </w:r>
          </w:p>
        </w:tc>
        <w:tc>
          <w:tcPr>
            <w:tcW w:w="1243" w:type="dxa"/>
            <w:tcBorders>
              <w:top w:val="single" w:color="auto" w:sz="12" w:space="0"/>
              <w:bottom w:val="double" w:color="auto" w:sz="6" w:space="0"/>
            </w:tcBorders>
            <w:vAlign w:val="center"/>
          </w:tcPr>
          <w:p w14:paraId="7F0CDDA4">
            <w:pPr>
              <w:rPr>
                <w:rFonts w:ascii="宋体" w:hAnsi="宋体"/>
                <w:sz w:val="30"/>
                <w:szCs w:val="30"/>
              </w:rPr>
            </w:pPr>
            <w:r>
              <w:rPr>
                <w:rFonts w:hint="eastAsia" w:ascii="宋体" w:hAnsi="宋体"/>
                <w:sz w:val="30"/>
                <w:szCs w:val="30"/>
              </w:rPr>
              <w:t>质量</w:t>
            </w:r>
          </w:p>
        </w:tc>
        <w:tc>
          <w:tcPr>
            <w:tcW w:w="1450" w:type="dxa"/>
            <w:tcBorders>
              <w:top w:val="single" w:color="auto" w:sz="12" w:space="0"/>
              <w:bottom w:val="double" w:color="auto" w:sz="6" w:space="0"/>
            </w:tcBorders>
          </w:tcPr>
          <w:p w14:paraId="5E8F2C05">
            <w:pPr>
              <w:rPr>
                <w:rFonts w:ascii="宋体" w:hAnsi="宋体"/>
                <w:sz w:val="30"/>
                <w:szCs w:val="30"/>
              </w:rPr>
            </w:pPr>
            <w:r>
              <w:rPr>
                <w:rFonts w:hint="eastAsia" w:ascii="宋体" w:hAnsi="宋体"/>
                <w:sz w:val="30"/>
                <w:szCs w:val="30"/>
              </w:rPr>
              <w:t>移交时间</w:t>
            </w:r>
          </w:p>
        </w:tc>
        <w:tc>
          <w:tcPr>
            <w:tcW w:w="1670" w:type="dxa"/>
            <w:tcBorders>
              <w:top w:val="single" w:color="auto" w:sz="12" w:space="0"/>
              <w:bottom w:val="double" w:color="auto" w:sz="6" w:space="0"/>
            </w:tcBorders>
          </w:tcPr>
          <w:p w14:paraId="38AA0254">
            <w:pPr>
              <w:rPr>
                <w:rFonts w:ascii="宋体" w:hAnsi="宋体"/>
                <w:sz w:val="30"/>
                <w:szCs w:val="30"/>
              </w:rPr>
            </w:pPr>
            <w:r>
              <w:rPr>
                <w:rFonts w:hint="eastAsia" w:ascii="宋体" w:hAnsi="宋体"/>
                <w:sz w:val="30"/>
                <w:szCs w:val="30"/>
              </w:rPr>
              <w:t>责任人</w:t>
            </w:r>
          </w:p>
        </w:tc>
      </w:tr>
      <w:tr w14:paraId="6E9EB7E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2125" w:type="dxa"/>
            <w:tcBorders>
              <w:top w:val="double" w:color="auto" w:sz="6" w:space="0"/>
              <w:bottom w:val="single" w:color="auto" w:sz="6" w:space="0"/>
            </w:tcBorders>
            <w:vAlign w:val="center"/>
          </w:tcPr>
          <w:p w14:paraId="355692E2">
            <w:pPr>
              <w:ind w:firstLine="600"/>
              <w:rPr>
                <w:rFonts w:ascii="宋体" w:hAnsi="宋体"/>
                <w:sz w:val="30"/>
                <w:szCs w:val="30"/>
              </w:rPr>
            </w:pPr>
          </w:p>
        </w:tc>
        <w:tc>
          <w:tcPr>
            <w:tcW w:w="1276" w:type="dxa"/>
            <w:tcBorders>
              <w:top w:val="double" w:color="auto" w:sz="6" w:space="0"/>
              <w:bottom w:val="single" w:color="auto" w:sz="6" w:space="0"/>
            </w:tcBorders>
            <w:vAlign w:val="center"/>
          </w:tcPr>
          <w:p w14:paraId="065E98F1">
            <w:pPr>
              <w:ind w:firstLine="600"/>
              <w:rPr>
                <w:rFonts w:ascii="宋体" w:hAnsi="宋体"/>
                <w:sz w:val="30"/>
                <w:szCs w:val="30"/>
              </w:rPr>
            </w:pPr>
          </w:p>
        </w:tc>
        <w:tc>
          <w:tcPr>
            <w:tcW w:w="1450" w:type="dxa"/>
            <w:tcBorders>
              <w:top w:val="double" w:color="auto" w:sz="6" w:space="0"/>
              <w:bottom w:val="single" w:color="auto" w:sz="6" w:space="0"/>
            </w:tcBorders>
            <w:vAlign w:val="center"/>
          </w:tcPr>
          <w:p w14:paraId="0062CA98">
            <w:pPr>
              <w:ind w:firstLine="600"/>
              <w:rPr>
                <w:rFonts w:ascii="宋体" w:hAnsi="宋体"/>
                <w:sz w:val="30"/>
                <w:szCs w:val="30"/>
              </w:rPr>
            </w:pPr>
          </w:p>
        </w:tc>
        <w:tc>
          <w:tcPr>
            <w:tcW w:w="1243" w:type="dxa"/>
            <w:tcBorders>
              <w:top w:val="double" w:color="auto" w:sz="6" w:space="0"/>
              <w:bottom w:val="single" w:color="auto" w:sz="6" w:space="0"/>
            </w:tcBorders>
            <w:vAlign w:val="center"/>
          </w:tcPr>
          <w:p w14:paraId="298640B7">
            <w:pPr>
              <w:ind w:firstLine="600"/>
              <w:rPr>
                <w:rFonts w:ascii="宋体" w:hAnsi="宋体"/>
                <w:sz w:val="30"/>
                <w:szCs w:val="30"/>
              </w:rPr>
            </w:pPr>
          </w:p>
        </w:tc>
        <w:tc>
          <w:tcPr>
            <w:tcW w:w="1450" w:type="dxa"/>
            <w:tcBorders>
              <w:top w:val="double" w:color="auto" w:sz="6" w:space="0"/>
              <w:bottom w:val="single" w:color="auto" w:sz="6" w:space="0"/>
            </w:tcBorders>
            <w:vAlign w:val="center"/>
          </w:tcPr>
          <w:p w14:paraId="6312D878">
            <w:pPr>
              <w:ind w:firstLine="600"/>
              <w:rPr>
                <w:rFonts w:ascii="宋体" w:hAnsi="宋体"/>
                <w:sz w:val="30"/>
                <w:szCs w:val="30"/>
              </w:rPr>
            </w:pPr>
          </w:p>
        </w:tc>
        <w:tc>
          <w:tcPr>
            <w:tcW w:w="1670" w:type="dxa"/>
            <w:tcBorders>
              <w:top w:val="double" w:color="auto" w:sz="6" w:space="0"/>
              <w:bottom w:val="single" w:color="auto" w:sz="6" w:space="0"/>
            </w:tcBorders>
            <w:vAlign w:val="center"/>
          </w:tcPr>
          <w:p w14:paraId="08E952AD">
            <w:pPr>
              <w:ind w:firstLine="600"/>
              <w:rPr>
                <w:rFonts w:ascii="宋体" w:hAnsi="宋体"/>
                <w:sz w:val="30"/>
                <w:szCs w:val="30"/>
              </w:rPr>
            </w:pPr>
          </w:p>
        </w:tc>
      </w:tr>
      <w:tr w14:paraId="102C542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2125" w:type="dxa"/>
            <w:tcBorders>
              <w:top w:val="nil"/>
            </w:tcBorders>
            <w:vAlign w:val="center"/>
          </w:tcPr>
          <w:p w14:paraId="3C8069B4">
            <w:pPr>
              <w:ind w:firstLine="600"/>
              <w:rPr>
                <w:rFonts w:ascii="宋体" w:hAnsi="宋体"/>
                <w:sz w:val="30"/>
                <w:szCs w:val="30"/>
              </w:rPr>
            </w:pPr>
          </w:p>
        </w:tc>
        <w:tc>
          <w:tcPr>
            <w:tcW w:w="1276" w:type="dxa"/>
            <w:tcBorders>
              <w:top w:val="nil"/>
            </w:tcBorders>
            <w:vAlign w:val="center"/>
          </w:tcPr>
          <w:p w14:paraId="395D64CF">
            <w:pPr>
              <w:ind w:firstLine="600"/>
              <w:rPr>
                <w:rFonts w:ascii="宋体" w:hAnsi="宋体"/>
                <w:sz w:val="30"/>
                <w:szCs w:val="30"/>
              </w:rPr>
            </w:pPr>
          </w:p>
        </w:tc>
        <w:tc>
          <w:tcPr>
            <w:tcW w:w="1450" w:type="dxa"/>
            <w:tcBorders>
              <w:top w:val="nil"/>
            </w:tcBorders>
            <w:vAlign w:val="center"/>
          </w:tcPr>
          <w:p w14:paraId="690F8290">
            <w:pPr>
              <w:ind w:firstLine="600"/>
              <w:rPr>
                <w:rFonts w:ascii="宋体" w:hAnsi="宋体"/>
                <w:sz w:val="30"/>
                <w:szCs w:val="30"/>
              </w:rPr>
            </w:pPr>
          </w:p>
        </w:tc>
        <w:tc>
          <w:tcPr>
            <w:tcW w:w="1243" w:type="dxa"/>
            <w:tcBorders>
              <w:top w:val="nil"/>
            </w:tcBorders>
            <w:vAlign w:val="center"/>
          </w:tcPr>
          <w:p w14:paraId="594E7E22">
            <w:pPr>
              <w:ind w:firstLine="600"/>
              <w:rPr>
                <w:rFonts w:ascii="宋体" w:hAnsi="宋体"/>
                <w:sz w:val="30"/>
                <w:szCs w:val="30"/>
              </w:rPr>
            </w:pPr>
          </w:p>
        </w:tc>
        <w:tc>
          <w:tcPr>
            <w:tcW w:w="1450" w:type="dxa"/>
            <w:tcBorders>
              <w:top w:val="nil"/>
            </w:tcBorders>
            <w:vAlign w:val="center"/>
          </w:tcPr>
          <w:p w14:paraId="7AC606E2">
            <w:pPr>
              <w:ind w:firstLine="600"/>
              <w:rPr>
                <w:rFonts w:ascii="宋体" w:hAnsi="宋体"/>
                <w:sz w:val="30"/>
                <w:szCs w:val="30"/>
              </w:rPr>
            </w:pPr>
          </w:p>
        </w:tc>
        <w:tc>
          <w:tcPr>
            <w:tcW w:w="1670" w:type="dxa"/>
            <w:tcBorders>
              <w:top w:val="nil"/>
            </w:tcBorders>
            <w:vAlign w:val="center"/>
          </w:tcPr>
          <w:p w14:paraId="40944177">
            <w:pPr>
              <w:ind w:firstLine="600"/>
              <w:rPr>
                <w:rFonts w:ascii="宋体" w:hAnsi="宋体"/>
                <w:sz w:val="30"/>
                <w:szCs w:val="30"/>
              </w:rPr>
            </w:pPr>
          </w:p>
        </w:tc>
      </w:tr>
      <w:tr w14:paraId="589D59D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2125" w:type="dxa"/>
            <w:vAlign w:val="center"/>
          </w:tcPr>
          <w:p w14:paraId="04824DA8">
            <w:pPr>
              <w:ind w:firstLine="600"/>
              <w:rPr>
                <w:rFonts w:ascii="宋体" w:hAnsi="宋体"/>
                <w:sz w:val="30"/>
                <w:szCs w:val="30"/>
              </w:rPr>
            </w:pPr>
          </w:p>
        </w:tc>
        <w:tc>
          <w:tcPr>
            <w:tcW w:w="1276" w:type="dxa"/>
            <w:vAlign w:val="center"/>
          </w:tcPr>
          <w:p w14:paraId="71A532B9">
            <w:pPr>
              <w:ind w:firstLine="600"/>
              <w:rPr>
                <w:rFonts w:ascii="宋体" w:hAnsi="宋体"/>
                <w:sz w:val="30"/>
                <w:szCs w:val="30"/>
              </w:rPr>
            </w:pPr>
          </w:p>
        </w:tc>
        <w:tc>
          <w:tcPr>
            <w:tcW w:w="1450" w:type="dxa"/>
            <w:vAlign w:val="center"/>
          </w:tcPr>
          <w:p w14:paraId="17E77064">
            <w:pPr>
              <w:ind w:firstLine="600"/>
              <w:rPr>
                <w:rFonts w:ascii="宋体" w:hAnsi="宋体"/>
                <w:sz w:val="30"/>
                <w:szCs w:val="30"/>
              </w:rPr>
            </w:pPr>
          </w:p>
        </w:tc>
        <w:tc>
          <w:tcPr>
            <w:tcW w:w="1243" w:type="dxa"/>
            <w:vAlign w:val="center"/>
          </w:tcPr>
          <w:p w14:paraId="5C9F2A00">
            <w:pPr>
              <w:ind w:firstLine="600"/>
              <w:rPr>
                <w:rFonts w:ascii="宋体" w:hAnsi="宋体"/>
                <w:sz w:val="30"/>
                <w:szCs w:val="30"/>
              </w:rPr>
            </w:pPr>
          </w:p>
        </w:tc>
        <w:tc>
          <w:tcPr>
            <w:tcW w:w="1450" w:type="dxa"/>
            <w:vAlign w:val="center"/>
          </w:tcPr>
          <w:p w14:paraId="259D99F6">
            <w:pPr>
              <w:ind w:firstLine="600"/>
              <w:rPr>
                <w:rFonts w:ascii="宋体" w:hAnsi="宋体"/>
                <w:sz w:val="30"/>
                <w:szCs w:val="30"/>
              </w:rPr>
            </w:pPr>
          </w:p>
        </w:tc>
        <w:tc>
          <w:tcPr>
            <w:tcW w:w="1670" w:type="dxa"/>
            <w:vAlign w:val="center"/>
          </w:tcPr>
          <w:p w14:paraId="7FFB25AD">
            <w:pPr>
              <w:ind w:firstLine="600"/>
              <w:rPr>
                <w:rFonts w:ascii="宋体" w:hAnsi="宋体"/>
                <w:sz w:val="30"/>
                <w:szCs w:val="30"/>
              </w:rPr>
            </w:pPr>
          </w:p>
        </w:tc>
      </w:tr>
      <w:tr w14:paraId="5D98175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2125" w:type="dxa"/>
            <w:vAlign w:val="center"/>
          </w:tcPr>
          <w:p w14:paraId="1C23E6FA">
            <w:pPr>
              <w:ind w:firstLine="600"/>
              <w:rPr>
                <w:rFonts w:ascii="宋体" w:hAnsi="宋体"/>
                <w:sz w:val="30"/>
                <w:szCs w:val="30"/>
              </w:rPr>
            </w:pPr>
          </w:p>
        </w:tc>
        <w:tc>
          <w:tcPr>
            <w:tcW w:w="1276" w:type="dxa"/>
            <w:vAlign w:val="center"/>
          </w:tcPr>
          <w:p w14:paraId="2087B752">
            <w:pPr>
              <w:ind w:firstLine="600"/>
              <w:rPr>
                <w:rFonts w:ascii="宋体" w:hAnsi="宋体"/>
                <w:sz w:val="30"/>
                <w:szCs w:val="30"/>
              </w:rPr>
            </w:pPr>
          </w:p>
        </w:tc>
        <w:tc>
          <w:tcPr>
            <w:tcW w:w="1450" w:type="dxa"/>
            <w:vAlign w:val="center"/>
          </w:tcPr>
          <w:p w14:paraId="7F3C5BE2">
            <w:pPr>
              <w:ind w:firstLine="600"/>
              <w:rPr>
                <w:rFonts w:ascii="宋体" w:hAnsi="宋体"/>
                <w:sz w:val="30"/>
                <w:szCs w:val="30"/>
              </w:rPr>
            </w:pPr>
          </w:p>
        </w:tc>
        <w:tc>
          <w:tcPr>
            <w:tcW w:w="1243" w:type="dxa"/>
            <w:vAlign w:val="center"/>
          </w:tcPr>
          <w:p w14:paraId="656AD21B">
            <w:pPr>
              <w:ind w:firstLine="600"/>
              <w:rPr>
                <w:rFonts w:ascii="宋体" w:hAnsi="宋体"/>
                <w:sz w:val="30"/>
                <w:szCs w:val="30"/>
              </w:rPr>
            </w:pPr>
          </w:p>
        </w:tc>
        <w:tc>
          <w:tcPr>
            <w:tcW w:w="1450" w:type="dxa"/>
            <w:vAlign w:val="center"/>
          </w:tcPr>
          <w:p w14:paraId="1DDA9EBE">
            <w:pPr>
              <w:ind w:firstLine="600"/>
              <w:rPr>
                <w:rFonts w:ascii="宋体" w:hAnsi="宋体"/>
                <w:sz w:val="30"/>
                <w:szCs w:val="30"/>
              </w:rPr>
            </w:pPr>
          </w:p>
        </w:tc>
        <w:tc>
          <w:tcPr>
            <w:tcW w:w="1670" w:type="dxa"/>
            <w:vAlign w:val="center"/>
          </w:tcPr>
          <w:p w14:paraId="308E09D9">
            <w:pPr>
              <w:ind w:firstLine="600"/>
              <w:rPr>
                <w:rFonts w:ascii="宋体" w:hAnsi="宋体"/>
                <w:sz w:val="30"/>
                <w:szCs w:val="30"/>
              </w:rPr>
            </w:pPr>
          </w:p>
        </w:tc>
      </w:tr>
      <w:tr w14:paraId="2D7D9B6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2125" w:type="dxa"/>
            <w:vAlign w:val="center"/>
          </w:tcPr>
          <w:p w14:paraId="0576A119">
            <w:pPr>
              <w:ind w:firstLine="600"/>
              <w:rPr>
                <w:rFonts w:ascii="宋体" w:hAnsi="宋体"/>
                <w:sz w:val="30"/>
                <w:szCs w:val="30"/>
              </w:rPr>
            </w:pPr>
          </w:p>
        </w:tc>
        <w:tc>
          <w:tcPr>
            <w:tcW w:w="1276" w:type="dxa"/>
            <w:vAlign w:val="center"/>
          </w:tcPr>
          <w:p w14:paraId="083F658B">
            <w:pPr>
              <w:ind w:firstLine="600"/>
              <w:rPr>
                <w:rFonts w:ascii="宋体" w:hAnsi="宋体"/>
                <w:sz w:val="30"/>
                <w:szCs w:val="30"/>
              </w:rPr>
            </w:pPr>
          </w:p>
        </w:tc>
        <w:tc>
          <w:tcPr>
            <w:tcW w:w="1450" w:type="dxa"/>
            <w:vAlign w:val="center"/>
          </w:tcPr>
          <w:p w14:paraId="4A38B622">
            <w:pPr>
              <w:ind w:firstLine="600"/>
              <w:rPr>
                <w:rFonts w:ascii="宋体" w:hAnsi="宋体"/>
                <w:sz w:val="30"/>
                <w:szCs w:val="30"/>
              </w:rPr>
            </w:pPr>
          </w:p>
        </w:tc>
        <w:tc>
          <w:tcPr>
            <w:tcW w:w="1243" w:type="dxa"/>
            <w:vAlign w:val="center"/>
          </w:tcPr>
          <w:p w14:paraId="542BAEFB">
            <w:pPr>
              <w:ind w:firstLine="600"/>
              <w:rPr>
                <w:rFonts w:ascii="宋体" w:hAnsi="宋体"/>
                <w:sz w:val="30"/>
                <w:szCs w:val="30"/>
              </w:rPr>
            </w:pPr>
          </w:p>
        </w:tc>
        <w:tc>
          <w:tcPr>
            <w:tcW w:w="1450" w:type="dxa"/>
            <w:vAlign w:val="center"/>
          </w:tcPr>
          <w:p w14:paraId="7047FFD9">
            <w:pPr>
              <w:ind w:firstLine="600"/>
              <w:rPr>
                <w:rFonts w:ascii="宋体" w:hAnsi="宋体"/>
                <w:sz w:val="30"/>
                <w:szCs w:val="30"/>
              </w:rPr>
            </w:pPr>
          </w:p>
        </w:tc>
        <w:tc>
          <w:tcPr>
            <w:tcW w:w="1670" w:type="dxa"/>
            <w:vAlign w:val="center"/>
          </w:tcPr>
          <w:p w14:paraId="5FCA634B">
            <w:pPr>
              <w:ind w:firstLine="600"/>
              <w:rPr>
                <w:rFonts w:ascii="宋体" w:hAnsi="宋体"/>
                <w:sz w:val="30"/>
                <w:szCs w:val="30"/>
              </w:rPr>
            </w:pPr>
          </w:p>
        </w:tc>
      </w:tr>
      <w:tr w14:paraId="3999560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2125" w:type="dxa"/>
            <w:vAlign w:val="center"/>
          </w:tcPr>
          <w:p w14:paraId="68A492C2">
            <w:pPr>
              <w:ind w:firstLine="600"/>
              <w:rPr>
                <w:rFonts w:ascii="宋体" w:hAnsi="宋体"/>
                <w:sz w:val="30"/>
                <w:szCs w:val="30"/>
              </w:rPr>
            </w:pPr>
          </w:p>
        </w:tc>
        <w:tc>
          <w:tcPr>
            <w:tcW w:w="1276" w:type="dxa"/>
            <w:vAlign w:val="center"/>
          </w:tcPr>
          <w:p w14:paraId="6F301E30">
            <w:pPr>
              <w:ind w:firstLine="600"/>
              <w:rPr>
                <w:rFonts w:ascii="宋体" w:hAnsi="宋体"/>
                <w:sz w:val="30"/>
                <w:szCs w:val="30"/>
              </w:rPr>
            </w:pPr>
          </w:p>
        </w:tc>
        <w:tc>
          <w:tcPr>
            <w:tcW w:w="1450" w:type="dxa"/>
            <w:vAlign w:val="center"/>
          </w:tcPr>
          <w:p w14:paraId="61FE60E8">
            <w:pPr>
              <w:ind w:firstLine="600"/>
              <w:rPr>
                <w:rFonts w:ascii="宋体" w:hAnsi="宋体"/>
                <w:sz w:val="30"/>
                <w:szCs w:val="30"/>
              </w:rPr>
            </w:pPr>
          </w:p>
        </w:tc>
        <w:tc>
          <w:tcPr>
            <w:tcW w:w="1243" w:type="dxa"/>
            <w:vAlign w:val="center"/>
          </w:tcPr>
          <w:p w14:paraId="3AE385CB">
            <w:pPr>
              <w:ind w:firstLine="600"/>
              <w:rPr>
                <w:rFonts w:ascii="宋体" w:hAnsi="宋体"/>
                <w:sz w:val="30"/>
                <w:szCs w:val="30"/>
              </w:rPr>
            </w:pPr>
          </w:p>
        </w:tc>
        <w:tc>
          <w:tcPr>
            <w:tcW w:w="1450" w:type="dxa"/>
            <w:vAlign w:val="center"/>
          </w:tcPr>
          <w:p w14:paraId="24C84D01">
            <w:pPr>
              <w:ind w:firstLine="600"/>
              <w:rPr>
                <w:rFonts w:ascii="宋体" w:hAnsi="宋体"/>
                <w:sz w:val="30"/>
                <w:szCs w:val="30"/>
              </w:rPr>
            </w:pPr>
          </w:p>
        </w:tc>
        <w:tc>
          <w:tcPr>
            <w:tcW w:w="1670" w:type="dxa"/>
            <w:vAlign w:val="center"/>
          </w:tcPr>
          <w:p w14:paraId="6FC30CE1">
            <w:pPr>
              <w:ind w:firstLine="600"/>
              <w:rPr>
                <w:rFonts w:ascii="宋体" w:hAnsi="宋体"/>
                <w:sz w:val="30"/>
                <w:szCs w:val="30"/>
              </w:rPr>
            </w:pPr>
          </w:p>
        </w:tc>
      </w:tr>
      <w:tr w14:paraId="65944CF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2125" w:type="dxa"/>
            <w:vAlign w:val="center"/>
          </w:tcPr>
          <w:p w14:paraId="4FA1FFA0">
            <w:pPr>
              <w:ind w:firstLine="600"/>
              <w:rPr>
                <w:rFonts w:ascii="宋体" w:hAnsi="宋体"/>
                <w:sz w:val="30"/>
                <w:szCs w:val="30"/>
              </w:rPr>
            </w:pPr>
          </w:p>
        </w:tc>
        <w:tc>
          <w:tcPr>
            <w:tcW w:w="1276" w:type="dxa"/>
            <w:vAlign w:val="center"/>
          </w:tcPr>
          <w:p w14:paraId="54ECF51E">
            <w:pPr>
              <w:ind w:firstLine="600"/>
              <w:rPr>
                <w:rFonts w:ascii="宋体" w:hAnsi="宋体"/>
                <w:sz w:val="30"/>
                <w:szCs w:val="30"/>
              </w:rPr>
            </w:pPr>
          </w:p>
        </w:tc>
        <w:tc>
          <w:tcPr>
            <w:tcW w:w="1450" w:type="dxa"/>
            <w:vAlign w:val="center"/>
          </w:tcPr>
          <w:p w14:paraId="783388F0">
            <w:pPr>
              <w:ind w:firstLine="600"/>
              <w:rPr>
                <w:rFonts w:ascii="宋体" w:hAnsi="宋体"/>
                <w:sz w:val="30"/>
                <w:szCs w:val="30"/>
              </w:rPr>
            </w:pPr>
          </w:p>
        </w:tc>
        <w:tc>
          <w:tcPr>
            <w:tcW w:w="1243" w:type="dxa"/>
            <w:vAlign w:val="center"/>
          </w:tcPr>
          <w:p w14:paraId="6C1A7864">
            <w:pPr>
              <w:ind w:firstLine="600"/>
              <w:rPr>
                <w:rFonts w:ascii="宋体" w:hAnsi="宋体"/>
                <w:sz w:val="30"/>
                <w:szCs w:val="30"/>
              </w:rPr>
            </w:pPr>
          </w:p>
        </w:tc>
        <w:tc>
          <w:tcPr>
            <w:tcW w:w="1450" w:type="dxa"/>
            <w:vAlign w:val="center"/>
          </w:tcPr>
          <w:p w14:paraId="15CAEA04">
            <w:pPr>
              <w:ind w:firstLine="600"/>
              <w:rPr>
                <w:rFonts w:ascii="宋体" w:hAnsi="宋体"/>
                <w:sz w:val="30"/>
                <w:szCs w:val="30"/>
              </w:rPr>
            </w:pPr>
          </w:p>
        </w:tc>
        <w:tc>
          <w:tcPr>
            <w:tcW w:w="1670" w:type="dxa"/>
            <w:vAlign w:val="center"/>
          </w:tcPr>
          <w:p w14:paraId="784B41C2">
            <w:pPr>
              <w:ind w:firstLine="600"/>
              <w:rPr>
                <w:rFonts w:ascii="宋体" w:hAnsi="宋体"/>
                <w:sz w:val="30"/>
                <w:szCs w:val="30"/>
              </w:rPr>
            </w:pPr>
          </w:p>
        </w:tc>
      </w:tr>
      <w:tr w14:paraId="0AEF365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2125" w:type="dxa"/>
            <w:vAlign w:val="center"/>
          </w:tcPr>
          <w:p w14:paraId="11159F2A">
            <w:pPr>
              <w:ind w:firstLine="600"/>
              <w:rPr>
                <w:rFonts w:ascii="宋体" w:hAnsi="宋体"/>
                <w:sz w:val="30"/>
                <w:szCs w:val="30"/>
              </w:rPr>
            </w:pPr>
          </w:p>
        </w:tc>
        <w:tc>
          <w:tcPr>
            <w:tcW w:w="1276" w:type="dxa"/>
            <w:vAlign w:val="center"/>
          </w:tcPr>
          <w:p w14:paraId="4AC17532">
            <w:pPr>
              <w:ind w:firstLine="600"/>
              <w:rPr>
                <w:rFonts w:ascii="宋体" w:hAnsi="宋体"/>
                <w:sz w:val="30"/>
                <w:szCs w:val="30"/>
              </w:rPr>
            </w:pPr>
          </w:p>
        </w:tc>
        <w:tc>
          <w:tcPr>
            <w:tcW w:w="1450" w:type="dxa"/>
            <w:vAlign w:val="center"/>
          </w:tcPr>
          <w:p w14:paraId="44889441">
            <w:pPr>
              <w:ind w:firstLine="600"/>
              <w:rPr>
                <w:rFonts w:ascii="宋体" w:hAnsi="宋体"/>
                <w:sz w:val="30"/>
                <w:szCs w:val="30"/>
              </w:rPr>
            </w:pPr>
          </w:p>
        </w:tc>
        <w:tc>
          <w:tcPr>
            <w:tcW w:w="1243" w:type="dxa"/>
            <w:vAlign w:val="center"/>
          </w:tcPr>
          <w:p w14:paraId="780540AB">
            <w:pPr>
              <w:ind w:firstLine="600"/>
              <w:rPr>
                <w:rFonts w:ascii="宋体" w:hAnsi="宋体"/>
                <w:sz w:val="30"/>
                <w:szCs w:val="30"/>
              </w:rPr>
            </w:pPr>
          </w:p>
        </w:tc>
        <w:tc>
          <w:tcPr>
            <w:tcW w:w="1450" w:type="dxa"/>
            <w:vAlign w:val="center"/>
          </w:tcPr>
          <w:p w14:paraId="10C8CB72">
            <w:pPr>
              <w:ind w:firstLine="600"/>
              <w:rPr>
                <w:rFonts w:ascii="宋体" w:hAnsi="宋体"/>
                <w:sz w:val="30"/>
                <w:szCs w:val="30"/>
              </w:rPr>
            </w:pPr>
          </w:p>
        </w:tc>
        <w:tc>
          <w:tcPr>
            <w:tcW w:w="1670" w:type="dxa"/>
            <w:vAlign w:val="center"/>
          </w:tcPr>
          <w:p w14:paraId="745A104D">
            <w:pPr>
              <w:ind w:firstLine="600"/>
              <w:rPr>
                <w:rFonts w:ascii="宋体" w:hAnsi="宋体"/>
                <w:sz w:val="30"/>
                <w:szCs w:val="30"/>
              </w:rPr>
            </w:pPr>
          </w:p>
        </w:tc>
      </w:tr>
      <w:tr w14:paraId="41EE68A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2125" w:type="dxa"/>
          </w:tcPr>
          <w:p w14:paraId="1EFA22D8">
            <w:pPr>
              <w:ind w:firstLine="600"/>
              <w:rPr>
                <w:rFonts w:ascii="宋体" w:hAnsi="宋体"/>
                <w:sz w:val="30"/>
                <w:szCs w:val="30"/>
              </w:rPr>
            </w:pPr>
          </w:p>
        </w:tc>
        <w:tc>
          <w:tcPr>
            <w:tcW w:w="1276" w:type="dxa"/>
          </w:tcPr>
          <w:p w14:paraId="27F81E6B">
            <w:pPr>
              <w:ind w:firstLine="600"/>
              <w:rPr>
                <w:rFonts w:ascii="宋体" w:hAnsi="宋体"/>
                <w:sz w:val="30"/>
                <w:szCs w:val="30"/>
              </w:rPr>
            </w:pPr>
          </w:p>
        </w:tc>
        <w:tc>
          <w:tcPr>
            <w:tcW w:w="1450" w:type="dxa"/>
          </w:tcPr>
          <w:p w14:paraId="6AA97652">
            <w:pPr>
              <w:ind w:firstLine="600"/>
              <w:rPr>
                <w:rFonts w:ascii="宋体" w:hAnsi="宋体"/>
                <w:sz w:val="30"/>
                <w:szCs w:val="30"/>
              </w:rPr>
            </w:pPr>
          </w:p>
        </w:tc>
        <w:tc>
          <w:tcPr>
            <w:tcW w:w="1243" w:type="dxa"/>
          </w:tcPr>
          <w:p w14:paraId="6E824DEE">
            <w:pPr>
              <w:ind w:firstLine="600"/>
              <w:rPr>
                <w:rFonts w:ascii="宋体" w:hAnsi="宋体"/>
                <w:sz w:val="30"/>
                <w:szCs w:val="30"/>
              </w:rPr>
            </w:pPr>
          </w:p>
        </w:tc>
        <w:tc>
          <w:tcPr>
            <w:tcW w:w="1450" w:type="dxa"/>
          </w:tcPr>
          <w:p w14:paraId="734C46E1">
            <w:pPr>
              <w:ind w:firstLine="600"/>
              <w:rPr>
                <w:rFonts w:ascii="宋体" w:hAnsi="宋体"/>
                <w:sz w:val="30"/>
                <w:szCs w:val="30"/>
              </w:rPr>
            </w:pPr>
          </w:p>
        </w:tc>
        <w:tc>
          <w:tcPr>
            <w:tcW w:w="1670" w:type="dxa"/>
          </w:tcPr>
          <w:p w14:paraId="6BB6B54C">
            <w:pPr>
              <w:ind w:firstLine="600"/>
              <w:rPr>
                <w:rFonts w:ascii="宋体" w:hAnsi="宋体"/>
                <w:sz w:val="30"/>
                <w:szCs w:val="30"/>
              </w:rPr>
            </w:pPr>
          </w:p>
        </w:tc>
      </w:tr>
      <w:tr w14:paraId="64A00FD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2125" w:type="dxa"/>
            <w:vAlign w:val="center"/>
          </w:tcPr>
          <w:p w14:paraId="5EF9D703">
            <w:pPr>
              <w:ind w:firstLine="600"/>
              <w:rPr>
                <w:rFonts w:ascii="宋体" w:hAnsi="宋体"/>
                <w:sz w:val="30"/>
                <w:szCs w:val="30"/>
              </w:rPr>
            </w:pPr>
          </w:p>
        </w:tc>
        <w:tc>
          <w:tcPr>
            <w:tcW w:w="1276" w:type="dxa"/>
            <w:vAlign w:val="center"/>
          </w:tcPr>
          <w:p w14:paraId="5A4314B7">
            <w:pPr>
              <w:ind w:firstLine="600"/>
              <w:rPr>
                <w:rFonts w:ascii="宋体" w:hAnsi="宋体"/>
                <w:sz w:val="30"/>
                <w:szCs w:val="30"/>
              </w:rPr>
            </w:pPr>
          </w:p>
        </w:tc>
        <w:tc>
          <w:tcPr>
            <w:tcW w:w="1450" w:type="dxa"/>
            <w:vAlign w:val="center"/>
          </w:tcPr>
          <w:p w14:paraId="701AE978">
            <w:pPr>
              <w:ind w:firstLine="600"/>
              <w:rPr>
                <w:rFonts w:ascii="宋体" w:hAnsi="宋体"/>
                <w:sz w:val="30"/>
                <w:szCs w:val="30"/>
              </w:rPr>
            </w:pPr>
          </w:p>
        </w:tc>
        <w:tc>
          <w:tcPr>
            <w:tcW w:w="1243" w:type="dxa"/>
            <w:vAlign w:val="center"/>
          </w:tcPr>
          <w:p w14:paraId="05C66260">
            <w:pPr>
              <w:ind w:firstLine="600"/>
              <w:rPr>
                <w:rFonts w:ascii="宋体" w:hAnsi="宋体"/>
                <w:sz w:val="30"/>
                <w:szCs w:val="30"/>
              </w:rPr>
            </w:pPr>
          </w:p>
        </w:tc>
        <w:tc>
          <w:tcPr>
            <w:tcW w:w="1450" w:type="dxa"/>
            <w:vAlign w:val="center"/>
          </w:tcPr>
          <w:p w14:paraId="2C91C017">
            <w:pPr>
              <w:ind w:firstLine="600"/>
              <w:rPr>
                <w:rFonts w:ascii="宋体" w:hAnsi="宋体"/>
                <w:sz w:val="30"/>
                <w:szCs w:val="30"/>
              </w:rPr>
            </w:pPr>
          </w:p>
        </w:tc>
        <w:tc>
          <w:tcPr>
            <w:tcW w:w="1670" w:type="dxa"/>
            <w:vAlign w:val="center"/>
          </w:tcPr>
          <w:p w14:paraId="227F4B73">
            <w:pPr>
              <w:ind w:firstLine="600"/>
              <w:rPr>
                <w:rFonts w:ascii="宋体" w:hAnsi="宋体"/>
                <w:sz w:val="30"/>
                <w:szCs w:val="30"/>
              </w:rPr>
            </w:pPr>
          </w:p>
        </w:tc>
      </w:tr>
      <w:tr w14:paraId="7F5BE75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2125" w:type="dxa"/>
          </w:tcPr>
          <w:p w14:paraId="27A40106">
            <w:pPr>
              <w:ind w:firstLine="600"/>
              <w:rPr>
                <w:rFonts w:ascii="宋体" w:hAnsi="宋体"/>
                <w:sz w:val="30"/>
                <w:szCs w:val="30"/>
              </w:rPr>
            </w:pPr>
          </w:p>
        </w:tc>
        <w:tc>
          <w:tcPr>
            <w:tcW w:w="1276" w:type="dxa"/>
          </w:tcPr>
          <w:p w14:paraId="651F9825">
            <w:pPr>
              <w:ind w:firstLine="600"/>
              <w:rPr>
                <w:rFonts w:ascii="宋体" w:hAnsi="宋体"/>
                <w:sz w:val="30"/>
                <w:szCs w:val="30"/>
              </w:rPr>
            </w:pPr>
          </w:p>
        </w:tc>
        <w:tc>
          <w:tcPr>
            <w:tcW w:w="1450" w:type="dxa"/>
          </w:tcPr>
          <w:p w14:paraId="7E0C1121">
            <w:pPr>
              <w:ind w:firstLine="600"/>
              <w:rPr>
                <w:rFonts w:ascii="宋体" w:hAnsi="宋体"/>
                <w:sz w:val="30"/>
                <w:szCs w:val="30"/>
              </w:rPr>
            </w:pPr>
          </w:p>
        </w:tc>
        <w:tc>
          <w:tcPr>
            <w:tcW w:w="1243" w:type="dxa"/>
          </w:tcPr>
          <w:p w14:paraId="07A231D8">
            <w:pPr>
              <w:ind w:firstLine="600"/>
              <w:rPr>
                <w:rFonts w:ascii="宋体" w:hAnsi="宋体"/>
                <w:sz w:val="30"/>
                <w:szCs w:val="30"/>
              </w:rPr>
            </w:pPr>
          </w:p>
        </w:tc>
        <w:tc>
          <w:tcPr>
            <w:tcW w:w="1450" w:type="dxa"/>
          </w:tcPr>
          <w:p w14:paraId="732E8115">
            <w:pPr>
              <w:ind w:firstLine="600"/>
              <w:rPr>
                <w:rFonts w:ascii="宋体" w:hAnsi="宋体"/>
                <w:sz w:val="30"/>
                <w:szCs w:val="30"/>
              </w:rPr>
            </w:pPr>
          </w:p>
        </w:tc>
        <w:tc>
          <w:tcPr>
            <w:tcW w:w="1670" w:type="dxa"/>
          </w:tcPr>
          <w:p w14:paraId="4041889C">
            <w:pPr>
              <w:ind w:firstLine="600"/>
              <w:rPr>
                <w:rFonts w:ascii="宋体" w:hAnsi="宋体"/>
                <w:sz w:val="30"/>
                <w:szCs w:val="30"/>
              </w:rPr>
            </w:pPr>
          </w:p>
        </w:tc>
      </w:tr>
      <w:tr w14:paraId="453E609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2125" w:type="dxa"/>
          </w:tcPr>
          <w:p w14:paraId="0EA616CB">
            <w:pPr>
              <w:ind w:firstLine="600"/>
              <w:rPr>
                <w:rFonts w:ascii="宋体" w:hAnsi="宋体"/>
                <w:sz w:val="30"/>
                <w:szCs w:val="30"/>
              </w:rPr>
            </w:pPr>
          </w:p>
        </w:tc>
        <w:tc>
          <w:tcPr>
            <w:tcW w:w="1276" w:type="dxa"/>
          </w:tcPr>
          <w:p w14:paraId="7B19DD59">
            <w:pPr>
              <w:ind w:firstLine="600"/>
              <w:rPr>
                <w:rFonts w:ascii="宋体" w:hAnsi="宋体"/>
                <w:sz w:val="30"/>
                <w:szCs w:val="30"/>
              </w:rPr>
            </w:pPr>
          </w:p>
        </w:tc>
        <w:tc>
          <w:tcPr>
            <w:tcW w:w="1450" w:type="dxa"/>
          </w:tcPr>
          <w:p w14:paraId="6E99A2B5">
            <w:pPr>
              <w:ind w:firstLine="600"/>
              <w:rPr>
                <w:rFonts w:ascii="宋体" w:hAnsi="宋体"/>
                <w:sz w:val="30"/>
                <w:szCs w:val="30"/>
              </w:rPr>
            </w:pPr>
          </w:p>
        </w:tc>
        <w:tc>
          <w:tcPr>
            <w:tcW w:w="1243" w:type="dxa"/>
          </w:tcPr>
          <w:p w14:paraId="7B6DE0A7">
            <w:pPr>
              <w:ind w:firstLine="600"/>
              <w:rPr>
                <w:rFonts w:ascii="宋体" w:hAnsi="宋体"/>
                <w:sz w:val="30"/>
                <w:szCs w:val="30"/>
              </w:rPr>
            </w:pPr>
          </w:p>
        </w:tc>
        <w:tc>
          <w:tcPr>
            <w:tcW w:w="1450" w:type="dxa"/>
          </w:tcPr>
          <w:p w14:paraId="27BC1E23">
            <w:pPr>
              <w:ind w:firstLine="600"/>
              <w:rPr>
                <w:rFonts w:ascii="宋体" w:hAnsi="宋体"/>
                <w:sz w:val="30"/>
                <w:szCs w:val="30"/>
              </w:rPr>
            </w:pPr>
          </w:p>
        </w:tc>
        <w:tc>
          <w:tcPr>
            <w:tcW w:w="1670" w:type="dxa"/>
          </w:tcPr>
          <w:p w14:paraId="3E78F064">
            <w:pPr>
              <w:ind w:firstLine="600"/>
              <w:rPr>
                <w:rFonts w:ascii="宋体" w:hAnsi="宋体"/>
                <w:sz w:val="30"/>
                <w:szCs w:val="30"/>
              </w:rPr>
            </w:pPr>
          </w:p>
        </w:tc>
      </w:tr>
      <w:tr w14:paraId="22C470F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2125" w:type="dxa"/>
          </w:tcPr>
          <w:p w14:paraId="53B2232E">
            <w:pPr>
              <w:ind w:firstLine="600"/>
              <w:rPr>
                <w:rFonts w:ascii="宋体" w:hAnsi="宋体"/>
                <w:sz w:val="30"/>
                <w:szCs w:val="30"/>
              </w:rPr>
            </w:pPr>
          </w:p>
        </w:tc>
        <w:tc>
          <w:tcPr>
            <w:tcW w:w="1276" w:type="dxa"/>
          </w:tcPr>
          <w:p w14:paraId="514F6429">
            <w:pPr>
              <w:ind w:firstLine="600"/>
              <w:rPr>
                <w:rFonts w:ascii="宋体" w:hAnsi="宋体"/>
                <w:sz w:val="30"/>
                <w:szCs w:val="30"/>
              </w:rPr>
            </w:pPr>
          </w:p>
        </w:tc>
        <w:tc>
          <w:tcPr>
            <w:tcW w:w="1450" w:type="dxa"/>
          </w:tcPr>
          <w:p w14:paraId="6E6DD8D6">
            <w:pPr>
              <w:ind w:firstLine="600"/>
              <w:rPr>
                <w:rFonts w:ascii="宋体" w:hAnsi="宋体"/>
                <w:sz w:val="30"/>
                <w:szCs w:val="30"/>
              </w:rPr>
            </w:pPr>
          </w:p>
        </w:tc>
        <w:tc>
          <w:tcPr>
            <w:tcW w:w="1243" w:type="dxa"/>
          </w:tcPr>
          <w:p w14:paraId="4B43D325">
            <w:pPr>
              <w:ind w:firstLine="600"/>
              <w:rPr>
                <w:rFonts w:ascii="宋体" w:hAnsi="宋体"/>
                <w:sz w:val="30"/>
                <w:szCs w:val="30"/>
              </w:rPr>
            </w:pPr>
          </w:p>
        </w:tc>
        <w:tc>
          <w:tcPr>
            <w:tcW w:w="1450" w:type="dxa"/>
          </w:tcPr>
          <w:p w14:paraId="00931000">
            <w:pPr>
              <w:ind w:firstLine="600"/>
              <w:rPr>
                <w:rFonts w:ascii="宋体" w:hAnsi="宋体"/>
                <w:sz w:val="30"/>
                <w:szCs w:val="30"/>
              </w:rPr>
            </w:pPr>
          </w:p>
        </w:tc>
        <w:tc>
          <w:tcPr>
            <w:tcW w:w="1670" w:type="dxa"/>
          </w:tcPr>
          <w:p w14:paraId="225B1839">
            <w:pPr>
              <w:ind w:firstLine="600"/>
              <w:rPr>
                <w:rFonts w:ascii="宋体" w:hAnsi="宋体"/>
                <w:sz w:val="30"/>
                <w:szCs w:val="30"/>
              </w:rPr>
            </w:pPr>
          </w:p>
        </w:tc>
      </w:tr>
      <w:tr w14:paraId="6AA6FD3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2125" w:type="dxa"/>
          </w:tcPr>
          <w:p w14:paraId="072816FD">
            <w:pPr>
              <w:ind w:firstLine="600"/>
              <w:rPr>
                <w:rFonts w:ascii="宋体" w:hAnsi="宋体"/>
                <w:sz w:val="30"/>
                <w:szCs w:val="30"/>
              </w:rPr>
            </w:pPr>
          </w:p>
        </w:tc>
        <w:tc>
          <w:tcPr>
            <w:tcW w:w="1276" w:type="dxa"/>
          </w:tcPr>
          <w:p w14:paraId="6DA78CE3">
            <w:pPr>
              <w:ind w:firstLine="600"/>
              <w:rPr>
                <w:rFonts w:ascii="宋体" w:hAnsi="宋体"/>
                <w:sz w:val="30"/>
                <w:szCs w:val="30"/>
              </w:rPr>
            </w:pPr>
          </w:p>
        </w:tc>
        <w:tc>
          <w:tcPr>
            <w:tcW w:w="1450" w:type="dxa"/>
          </w:tcPr>
          <w:p w14:paraId="139198B1">
            <w:pPr>
              <w:ind w:firstLine="600"/>
              <w:rPr>
                <w:rFonts w:ascii="宋体" w:hAnsi="宋体"/>
                <w:sz w:val="30"/>
                <w:szCs w:val="30"/>
              </w:rPr>
            </w:pPr>
          </w:p>
        </w:tc>
        <w:tc>
          <w:tcPr>
            <w:tcW w:w="1243" w:type="dxa"/>
          </w:tcPr>
          <w:p w14:paraId="029051D4">
            <w:pPr>
              <w:ind w:firstLine="600"/>
              <w:rPr>
                <w:rFonts w:ascii="宋体" w:hAnsi="宋体"/>
                <w:sz w:val="30"/>
                <w:szCs w:val="30"/>
              </w:rPr>
            </w:pPr>
          </w:p>
        </w:tc>
        <w:tc>
          <w:tcPr>
            <w:tcW w:w="1450" w:type="dxa"/>
          </w:tcPr>
          <w:p w14:paraId="227C6B36">
            <w:pPr>
              <w:ind w:firstLine="600"/>
              <w:rPr>
                <w:rFonts w:ascii="宋体" w:hAnsi="宋体"/>
                <w:sz w:val="30"/>
                <w:szCs w:val="30"/>
              </w:rPr>
            </w:pPr>
          </w:p>
        </w:tc>
        <w:tc>
          <w:tcPr>
            <w:tcW w:w="1670" w:type="dxa"/>
          </w:tcPr>
          <w:p w14:paraId="0E7E2E5D">
            <w:pPr>
              <w:ind w:firstLine="600"/>
              <w:rPr>
                <w:rFonts w:ascii="宋体" w:hAnsi="宋体"/>
                <w:sz w:val="30"/>
                <w:szCs w:val="30"/>
              </w:rPr>
            </w:pPr>
          </w:p>
        </w:tc>
      </w:tr>
      <w:tr w14:paraId="65FE744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2125" w:type="dxa"/>
          </w:tcPr>
          <w:p w14:paraId="6FE00280">
            <w:pPr>
              <w:ind w:firstLine="600"/>
              <w:rPr>
                <w:rFonts w:ascii="宋体" w:hAnsi="宋体"/>
                <w:sz w:val="30"/>
                <w:szCs w:val="30"/>
              </w:rPr>
            </w:pPr>
          </w:p>
        </w:tc>
        <w:tc>
          <w:tcPr>
            <w:tcW w:w="1276" w:type="dxa"/>
          </w:tcPr>
          <w:p w14:paraId="2817AE76">
            <w:pPr>
              <w:ind w:firstLine="600"/>
              <w:rPr>
                <w:rFonts w:ascii="宋体" w:hAnsi="宋体"/>
                <w:sz w:val="30"/>
                <w:szCs w:val="30"/>
              </w:rPr>
            </w:pPr>
          </w:p>
        </w:tc>
        <w:tc>
          <w:tcPr>
            <w:tcW w:w="1450" w:type="dxa"/>
          </w:tcPr>
          <w:p w14:paraId="17AA5713">
            <w:pPr>
              <w:ind w:firstLine="600"/>
              <w:rPr>
                <w:rFonts w:ascii="宋体" w:hAnsi="宋体"/>
                <w:sz w:val="30"/>
                <w:szCs w:val="30"/>
              </w:rPr>
            </w:pPr>
          </w:p>
        </w:tc>
        <w:tc>
          <w:tcPr>
            <w:tcW w:w="1243" w:type="dxa"/>
          </w:tcPr>
          <w:p w14:paraId="445883F7">
            <w:pPr>
              <w:ind w:firstLine="600"/>
              <w:rPr>
                <w:rFonts w:ascii="宋体" w:hAnsi="宋体"/>
                <w:sz w:val="30"/>
                <w:szCs w:val="30"/>
              </w:rPr>
            </w:pPr>
          </w:p>
        </w:tc>
        <w:tc>
          <w:tcPr>
            <w:tcW w:w="1450" w:type="dxa"/>
          </w:tcPr>
          <w:p w14:paraId="54536127">
            <w:pPr>
              <w:ind w:firstLine="600"/>
              <w:rPr>
                <w:rFonts w:ascii="宋体" w:hAnsi="宋体"/>
                <w:sz w:val="30"/>
                <w:szCs w:val="30"/>
              </w:rPr>
            </w:pPr>
          </w:p>
        </w:tc>
        <w:tc>
          <w:tcPr>
            <w:tcW w:w="1670" w:type="dxa"/>
          </w:tcPr>
          <w:p w14:paraId="6908F555">
            <w:pPr>
              <w:ind w:firstLine="600"/>
              <w:rPr>
                <w:rFonts w:ascii="宋体" w:hAnsi="宋体"/>
                <w:sz w:val="30"/>
                <w:szCs w:val="30"/>
              </w:rPr>
            </w:pPr>
          </w:p>
        </w:tc>
      </w:tr>
      <w:tr w14:paraId="7320B35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2125" w:type="dxa"/>
          </w:tcPr>
          <w:p w14:paraId="56C81ADE">
            <w:pPr>
              <w:ind w:firstLine="600"/>
              <w:rPr>
                <w:rFonts w:ascii="宋体" w:hAnsi="宋体"/>
                <w:sz w:val="30"/>
                <w:szCs w:val="30"/>
              </w:rPr>
            </w:pPr>
          </w:p>
        </w:tc>
        <w:tc>
          <w:tcPr>
            <w:tcW w:w="1276" w:type="dxa"/>
          </w:tcPr>
          <w:p w14:paraId="3C4554DB">
            <w:pPr>
              <w:ind w:firstLine="600"/>
              <w:rPr>
                <w:rFonts w:ascii="宋体" w:hAnsi="宋体"/>
                <w:sz w:val="30"/>
                <w:szCs w:val="30"/>
              </w:rPr>
            </w:pPr>
          </w:p>
        </w:tc>
        <w:tc>
          <w:tcPr>
            <w:tcW w:w="1450" w:type="dxa"/>
          </w:tcPr>
          <w:p w14:paraId="5E9F7E40">
            <w:pPr>
              <w:ind w:firstLine="600"/>
              <w:rPr>
                <w:rFonts w:ascii="宋体" w:hAnsi="宋体"/>
                <w:sz w:val="30"/>
                <w:szCs w:val="30"/>
              </w:rPr>
            </w:pPr>
          </w:p>
        </w:tc>
        <w:tc>
          <w:tcPr>
            <w:tcW w:w="1243" w:type="dxa"/>
          </w:tcPr>
          <w:p w14:paraId="23582278">
            <w:pPr>
              <w:ind w:firstLine="600"/>
              <w:rPr>
                <w:rFonts w:ascii="宋体" w:hAnsi="宋体"/>
                <w:sz w:val="30"/>
                <w:szCs w:val="30"/>
              </w:rPr>
            </w:pPr>
          </w:p>
        </w:tc>
        <w:tc>
          <w:tcPr>
            <w:tcW w:w="1450" w:type="dxa"/>
          </w:tcPr>
          <w:p w14:paraId="6679D0DD">
            <w:pPr>
              <w:ind w:firstLine="600"/>
              <w:rPr>
                <w:rFonts w:ascii="宋体" w:hAnsi="宋体"/>
                <w:sz w:val="30"/>
                <w:szCs w:val="30"/>
              </w:rPr>
            </w:pPr>
          </w:p>
        </w:tc>
        <w:tc>
          <w:tcPr>
            <w:tcW w:w="1670" w:type="dxa"/>
          </w:tcPr>
          <w:p w14:paraId="6ECA0EA6">
            <w:pPr>
              <w:ind w:firstLine="600"/>
              <w:rPr>
                <w:rFonts w:ascii="宋体" w:hAnsi="宋体"/>
                <w:sz w:val="30"/>
                <w:szCs w:val="30"/>
              </w:rPr>
            </w:pPr>
          </w:p>
        </w:tc>
      </w:tr>
      <w:tr w14:paraId="41B2D37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2125" w:type="dxa"/>
          </w:tcPr>
          <w:p w14:paraId="72A15711">
            <w:pPr>
              <w:ind w:firstLine="600"/>
              <w:rPr>
                <w:rFonts w:ascii="宋体" w:hAnsi="宋体"/>
                <w:sz w:val="30"/>
                <w:szCs w:val="30"/>
              </w:rPr>
            </w:pPr>
          </w:p>
        </w:tc>
        <w:tc>
          <w:tcPr>
            <w:tcW w:w="1276" w:type="dxa"/>
          </w:tcPr>
          <w:p w14:paraId="3EEBAD3D">
            <w:pPr>
              <w:ind w:firstLine="600"/>
              <w:rPr>
                <w:rFonts w:ascii="宋体" w:hAnsi="宋体"/>
                <w:sz w:val="30"/>
                <w:szCs w:val="30"/>
              </w:rPr>
            </w:pPr>
          </w:p>
        </w:tc>
        <w:tc>
          <w:tcPr>
            <w:tcW w:w="1450" w:type="dxa"/>
          </w:tcPr>
          <w:p w14:paraId="17AE227D">
            <w:pPr>
              <w:ind w:firstLine="600"/>
              <w:rPr>
                <w:rFonts w:ascii="宋体" w:hAnsi="宋体"/>
                <w:sz w:val="30"/>
                <w:szCs w:val="30"/>
              </w:rPr>
            </w:pPr>
          </w:p>
        </w:tc>
        <w:tc>
          <w:tcPr>
            <w:tcW w:w="1243" w:type="dxa"/>
          </w:tcPr>
          <w:p w14:paraId="03190BF8">
            <w:pPr>
              <w:ind w:firstLine="600"/>
              <w:rPr>
                <w:rFonts w:ascii="宋体" w:hAnsi="宋体"/>
                <w:sz w:val="30"/>
                <w:szCs w:val="30"/>
              </w:rPr>
            </w:pPr>
          </w:p>
        </w:tc>
        <w:tc>
          <w:tcPr>
            <w:tcW w:w="1450" w:type="dxa"/>
          </w:tcPr>
          <w:p w14:paraId="28E67458">
            <w:pPr>
              <w:ind w:firstLine="600"/>
              <w:rPr>
                <w:rFonts w:ascii="宋体" w:hAnsi="宋体"/>
                <w:sz w:val="30"/>
                <w:szCs w:val="30"/>
              </w:rPr>
            </w:pPr>
          </w:p>
        </w:tc>
        <w:tc>
          <w:tcPr>
            <w:tcW w:w="1670" w:type="dxa"/>
          </w:tcPr>
          <w:p w14:paraId="4C5046BE">
            <w:pPr>
              <w:ind w:firstLine="600"/>
              <w:rPr>
                <w:rFonts w:ascii="宋体" w:hAnsi="宋体"/>
                <w:sz w:val="30"/>
                <w:szCs w:val="30"/>
              </w:rPr>
            </w:pPr>
          </w:p>
        </w:tc>
      </w:tr>
      <w:tr w14:paraId="47DE5ED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2125" w:type="dxa"/>
          </w:tcPr>
          <w:p w14:paraId="0F1F24DD">
            <w:pPr>
              <w:ind w:firstLine="600"/>
              <w:rPr>
                <w:rFonts w:ascii="宋体" w:hAnsi="宋体"/>
                <w:sz w:val="30"/>
                <w:szCs w:val="30"/>
              </w:rPr>
            </w:pPr>
          </w:p>
        </w:tc>
        <w:tc>
          <w:tcPr>
            <w:tcW w:w="1276" w:type="dxa"/>
          </w:tcPr>
          <w:p w14:paraId="6582CFEB">
            <w:pPr>
              <w:ind w:firstLine="600"/>
              <w:rPr>
                <w:rFonts w:ascii="宋体" w:hAnsi="宋体"/>
                <w:sz w:val="30"/>
                <w:szCs w:val="30"/>
              </w:rPr>
            </w:pPr>
          </w:p>
        </w:tc>
        <w:tc>
          <w:tcPr>
            <w:tcW w:w="1450" w:type="dxa"/>
          </w:tcPr>
          <w:p w14:paraId="2B9DA84C">
            <w:pPr>
              <w:ind w:firstLine="600"/>
              <w:rPr>
                <w:rFonts w:ascii="宋体" w:hAnsi="宋体"/>
                <w:sz w:val="30"/>
                <w:szCs w:val="30"/>
              </w:rPr>
            </w:pPr>
          </w:p>
        </w:tc>
        <w:tc>
          <w:tcPr>
            <w:tcW w:w="1243" w:type="dxa"/>
          </w:tcPr>
          <w:p w14:paraId="44A8EC28">
            <w:pPr>
              <w:ind w:firstLine="600"/>
              <w:rPr>
                <w:rFonts w:ascii="宋体" w:hAnsi="宋体"/>
                <w:sz w:val="30"/>
                <w:szCs w:val="30"/>
              </w:rPr>
            </w:pPr>
          </w:p>
        </w:tc>
        <w:tc>
          <w:tcPr>
            <w:tcW w:w="1450" w:type="dxa"/>
          </w:tcPr>
          <w:p w14:paraId="4417C3DD">
            <w:pPr>
              <w:ind w:firstLine="600"/>
              <w:rPr>
                <w:rFonts w:ascii="宋体" w:hAnsi="宋体"/>
                <w:sz w:val="30"/>
                <w:szCs w:val="30"/>
              </w:rPr>
            </w:pPr>
          </w:p>
        </w:tc>
        <w:tc>
          <w:tcPr>
            <w:tcW w:w="1670" w:type="dxa"/>
          </w:tcPr>
          <w:p w14:paraId="44FB244D">
            <w:pPr>
              <w:ind w:firstLine="600"/>
              <w:rPr>
                <w:rFonts w:ascii="宋体" w:hAnsi="宋体"/>
                <w:sz w:val="30"/>
                <w:szCs w:val="30"/>
              </w:rPr>
            </w:pPr>
          </w:p>
        </w:tc>
      </w:tr>
      <w:tr w14:paraId="50201BE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2125" w:type="dxa"/>
          </w:tcPr>
          <w:p w14:paraId="401E7E72">
            <w:pPr>
              <w:ind w:firstLine="600"/>
              <w:rPr>
                <w:rFonts w:ascii="宋体" w:hAnsi="宋体"/>
                <w:sz w:val="30"/>
                <w:szCs w:val="30"/>
              </w:rPr>
            </w:pPr>
          </w:p>
        </w:tc>
        <w:tc>
          <w:tcPr>
            <w:tcW w:w="1276" w:type="dxa"/>
          </w:tcPr>
          <w:p w14:paraId="7B910851">
            <w:pPr>
              <w:ind w:firstLine="600"/>
              <w:rPr>
                <w:rFonts w:ascii="宋体" w:hAnsi="宋体"/>
                <w:sz w:val="30"/>
                <w:szCs w:val="30"/>
              </w:rPr>
            </w:pPr>
          </w:p>
        </w:tc>
        <w:tc>
          <w:tcPr>
            <w:tcW w:w="1450" w:type="dxa"/>
          </w:tcPr>
          <w:p w14:paraId="0E89B740">
            <w:pPr>
              <w:ind w:firstLine="600"/>
              <w:rPr>
                <w:rFonts w:ascii="宋体" w:hAnsi="宋体"/>
                <w:sz w:val="30"/>
                <w:szCs w:val="30"/>
              </w:rPr>
            </w:pPr>
          </w:p>
        </w:tc>
        <w:tc>
          <w:tcPr>
            <w:tcW w:w="1243" w:type="dxa"/>
          </w:tcPr>
          <w:p w14:paraId="61BF9338">
            <w:pPr>
              <w:ind w:firstLine="600"/>
              <w:rPr>
                <w:rFonts w:ascii="宋体" w:hAnsi="宋体"/>
                <w:sz w:val="30"/>
                <w:szCs w:val="30"/>
              </w:rPr>
            </w:pPr>
          </w:p>
        </w:tc>
        <w:tc>
          <w:tcPr>
            <w:tcW w:w="1450" w:type="dxa"/>
          </w:tcPr>
          <w:p w14:paraId="5B166D59">
            <w:pPr>
              <w:ind w:firstLine="600"/>
              <w:rPr>
                <w:rFonts w:ascii="宋体" w:hAnsi="宋体"/>
                <w:sz w:val="30"/>
                <w:szCs w:val="30"/>
              </w:rPr>
            </w:pPr>
          </w:p>
        </w:tc>
        <w:tc>
          <w:tcPr>
            <w:tcW w:w="1670" w:type="dxa"/>
          </w:tcPr>
          <w:p w14:paraId="727DEE61">
            <w:pPr>
              <w:ind w:firstLine="600"/>
              <w:rPr>
                <w:rFonts w:ascii="宋体" w:hAnsi="宋体"/>
                <w:sz w:val="30"/>
                <w:szCs w:val="30"/>
              </w:rPr>
            </w:pPr>
          </w:p>
        </w:tc>
      </w:tr>
    </w:tbl>
    <w:p w14:paraId="3720CA7A">
      <w:pPr>
        <w:ind w:firstLine="600"/>
        <w:rPr>
          <w:rFonts w:ascii="宋体" w:hAnsi="宋体"/>
          <w:sz w:val="30"/>
          <w:szCs w:val="30"/>
        </w:rPr>
      </w:pPr>
    </w:p>
    <w:p w14:paraId="5819224B">
      <w:pPr>
        <w:ind w:firstLine="600"/>
        <w:rPr>
          <w:rFonts w:ascii="宋体" w:hAnsi="宋体"/>
          <w:sz w:val="30"/>
          <w:szCs w:val="30"/>
        </w:rPr>
      </w:pPr>
    </w:p>
    <w:p w14:paraId="2BE67E6E">
      <w:pPr>
        <w:ind w:firstLine="600"/>
        <w:rPr>
          <w:rFonts w:ascii="宋体" w:hAnsi="宋体"/>
          <w:sz w:val="30"/>
          <w:szCs w:val="30"/>
        </w:rPr>
        <w:sectPr>
          <w:pgSz w:w="11906" w:h="16838"/>
          <w:pgMar w:top="1440" w:right="1800" w:bottom="1440" w:left="1800" w:header="720" w:footer="998" w:gutter="0"/>
          <w:cols w:space="720" w:num="1"/>
          <w:docGrid w:linePitch="326" w:charSpace="0"/>
        </w:sectPr>
      </w:pPr>
    </w:p>
    <w:p w14:paraId="49AAC035">
      <w:pPr>
        <w:ind w:firstLine="600"/>
        <w:rPr>
          <w:rFonts w:ascii="宋体" w:hAnsi="宋体"/>
          <w:sz w:val="30"/>
          <w:szCs w:val="30"/>
        </w:rPr>
      </w:pPr>
      <w:bookmarkStart w:id="765" w:name="_Toc54862356"/>
      <w:bookmarkStart w:id="766" w:name="_Toc20171897"/>
      <w:r>
        <w:rPr>
          <w:rFonts w:hint="eastAsia" w:ascii="宋体" w:hAnsi="宋体"/>
          <w:sz w:val="30"/>
          <w:szCs w:val="30"/>
        </w:rPr>
        <w:t>附件</w:t>
      </w:r>
      <w:r>
        <w:rPr>
          <w:rFonts w:ascii="宋体" w:hAnsi="宋体"/>
          <w:sz w:val="30"/>
          <w:szCs w:val="30"/>
        </w:rPr>
        <w:t>5 承包人主要管理人员表</w:t>
      </w:r>
      <w:bookmarkEnd w:id="765"/>
      <w:bookmarkEnd w:id="766"/>
    </w:p>
    <w:tbl>
      <w:tblPr>
        <w:tblStyle w:val="45"/>
        <w:tblW w:w="9087"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505"/>
        <w:gridCol w:w="1418"/>
        <w:gridCol w:w="1134"/>
        <w:gridCol w:w="1134"/>
        <w:gridCol w:w="3896"/>
      </w:tblGrid>
      <w:tr w14:paraId="78E5FA9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505" w:type="dxa"/>
            <w:tcBorders>
              <w:top w:val="single" w:color="auto" w:sz="12" w:space="0"/>
              <w:bottom w:val="double" w:color="auto" w:sz="6" w:space="0"/>
            </w:tcBorders>
            <w:vAlign w:val="center"/>
          </w:tcPr>
          <w:p w14:paraId="6263814B">
            <w:pPr>
              <w:rPr>
                <w:rFonts w:ascii="宋体" w:hAnsi="宋体"/>
                <w:sz w:val="30"/>
                <w:szCs w:val="30"/>
              </w:rPr>
            </w:pPr>
            <w:r>
              <w:rPr>
                <w:rFonts w:hint="eastAsia" w:ascii="宋体" w:hAnsi="宋体"/>
                <w:sz w:val="30"/>
                <w:szCs w:val="30"/>
              </w:rPr>
              <w:t>名    称</w:t>
            </w:r>
          </w:p>
        </w:tc>
        <w:tc>
          <w:tcPr>
            <w:tcW w:w="1418" w:type="dxa"/>
            <w:tcBorders>
              <w:top w:val="single" w:color="auto" w:sz="12" w:space="0"/>
              <w:bottom w:val="double" w:color="auto" w:sz="6" w:space="0"/>
            </w:tcBorders>
            <w:vAlign w:val="center"/>
          </w:tcPr>
          <w:p w14:paraId="4A1F6671">
            <w:pPr>
              <w:rPr>
                <w:rFonts w:ascii="宋体" w:hAnsi="宋体"/>
                <w:sz w:val="30"/>
                <w:szCs w:val="30"/>
              </w:rPr>
            </w:pPr>
            <w:r>
              <w:rPr>
                <w:rFonts w:hint="eastAsia" w:ascii="宋体" w:hAnsi="宋体"/>
                <w:sz w:val="30"/>
                <w:szCs w:val="30"/>
              </w:rPr>
              <w:t>姓名</w:t>
            </w:r>
          </w:p>
        </w:tc>
        <w:tc>
          <w:tcPr>
            <w:tcW w:w="1134" w:type="dxa"/>
            <w:tcBorders>
              <w:top w:val="single" w:color="auto" w:sz="12" w:space="0"/>
              <w:bottom w:val="double" w:color="auto" w:sz="6" w:space="0"/>
            </w:tcBorders>
            <w:vAlign w:val="center"/>
          </w:tcPr>
          <w:p w14:paraId="2BB0BB9D">
            <w:pPr>
              <w:rPr>
                <w:rFonts w:ascii="宋体" w:hAnsi="宋体"/>
                <w:sz w:val="30"/>
                <w:szCs w:val="30"/>
              </w:rPr>
            </w:pPr>
            <w:r>
              <w:rPr>
                <w:rFonts w:hint="eastAsia" w:ascii="宋体" w:hAnsi="宋体"/>
                <w:sz w:val="30"/>
                <w:szCs w:val="30"/>
              </w:rPr>
              <w:t>职务</w:t>
            </w:r>
          </w:p>
        </w:tc>
        <w:tc>
          <w:tcPr>
            <w:tcW w:w="1134" w:type="dxa"/>
            <w:tcBorders>
              <w:top w:val="single" w:color="auto" w:sz="12" w:space="0"/>
              <w:bottom w:val="double" w:color="auto" w:sz="6" w:space="0"/>
            </w:tcBorders>
            <w:vAlign w:val="center"/>
          </w:tcPr>
          <w:p w14:paraId="7A8507A9">
            <w:pPr>
              <w:rPr>
                <w:rFonts w:ascii="宋体" w:hAnsi="宋体"/>
                <w:sz w:val="30"/>
                <w:szCs w:val="30"/>
              </w:rPr>
            </w:pPr>
            <w:r>
              <w:rPr>
                <w:rFonts w:hint="eastAsia" w:ascii="宋体" w:hAnsi="宋体"/>
                <w:sz w:val="30"/>
                <w:szCs w:val="30"/>
              </w:rPr>
              <w:t>职称</w:t>
            </w:r>
          </w:p>
        </w:tc>
        <w:tc>
          <w:tcPr>
            <w:tcW w:w="3896" w:type="dxa"/>
            <w:tcBorders>
              <w:top w:val="single" w:color="auto" w:sz="12" w:space="0"/>
              <w:bottom w:val="double" w:color="auto" w:sz="6" w:space="0"/>
            </w:tcBorders>
            <w:vAlign w:val="center"/>
          </w:tcPr>
          <w:p w14:paraId="3DD11D28">
            <w:pPr>
              <w:rPr>
                <w:rFonts w:ascii="宋体" w:hAnsi="宋体"/>
                <w:sz w:val="30"/>
                <w:szCs w:val="30"/>
              </w:rPr>
            </w:pPr>
            <w:r>
              <w:rPr>
                <w:rFonts w:hint="eastAsia" w:ascii="宋体" w:hAnsi="宋体"/>
                <w:sz w:val="30"/>
                <w:szCs w:val="30"/>
              </w:rPr>
              <w:t>主要资历、经验及承担过的项目</w:t>
            </w:r>
          </w:p>
        </w:tc>
      </w:tr>
      <w:tr w14:paraId="10F3B4E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087" w:type="dxa"/>
            <w:gridSpan w:val="5"/>
            <w:tcBorders>
              <w:top w:val="double" w:color="auto" w:sz="6" w:space="0"/>
              <w:bottom w:val="single" w:color="auto" w:sz="6" w:space="0"/>
            </w:tcBorders>
            <w:vAlign w:val="center"/>
          </w:tcPr>
          <w:p w14:paraId="5B292049">
            <w:pPr>
              <w:ind w:firstLine="600"/>
              <w:rPr>
                <w:rFonts w:ascii="宋体" w:hAnsi="宋体"/>
                <w:sz w:val="30"/>
                <w:szCs w:val="30"/>
              </w:rPr>
            </w:pPr>
            <w:r>
              <w:rPr>
                <w:rFonts w:hint="eastAsia" w:ascii="宋体" w:hAnsi="宋体"/>
                <w:sz w:val="30"/>
                <w:szCs w:val="30"/>
              </w:rPr>
              <w:t>一、总部人员</w:t>
            </w:r>
          </w:p>
        </w:tc>
      </w:tr>
      <w:tr w14:paraId="6425AAE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505" w:type="dxa"/>
            <w:tcBorders>
              <w:top w:val="nil"/>
              <w:bottom w:val="nil"/>
            </w:tcBorders>
            <w:vAlign w:val="center"/>
          </w:tcPr>
          <w:p w14:paraId="1B0A9A57">
            <w:pPr>
              <w:ind w:firstLine="600"/>
              <w:rPr>
                <w:rFonts w:ascii="宋体" w:hAnsi="宋体"/>
                <w:sz w:val="30"/>
                <w:szCs w:val="30"/>
              </w:rPr>
            </w:pPr>
            <w:r>
              <w:rPr>
                <w:rFonts w:hint="eastAsia" w:ascii="宋体" w:hAnsi="宋体"/>
                <w:sz w:val="30"/>
                <w:szCs w:val="30"/>
              </w:rPr>
              <w:t>项目主管</w:t>
            </w:r>
          </w:p>
        </w:tc>
        <w:tc>
          <w:tcPr>
            <w:tcW w:w="1418" w:type="dxa"/>
            <w:tcBorders>
              <w:top w:val="nil"/>
            </w:tcBorders>
            <w:vAlign w:val="center"/>
          </w:tcPr>
          <w:p w14:paraId="53C91562">
            <w:pPr>
              <w:ind w:firstLine="600"/>
              <w:rPr>
                <w:rFonts w:ascii="宋体" w:hAnsi="宋体"/>
                <w:sz w:val="30"/>
                <w:szCs w:val="30"/>
              </w:rPr>
            </w:pPr>
          </w:p>
        </w:tc>
        <w:tc>
          <w:tcPr>
            <w:tcW w:w="1134" w:type="dxa"/>
            <w:tcBorders>
              <w:top w:val="nil"/>
            </w:tcBorders>
            <w:vAlign w:val="center"/>
          </w:tcPr>
          <w:p w14:paraId="1202A2F5">
            <w:pPr>
              <w:ind w:firstLine="600"/>
              <w:rPr>
                <w:rFonts w:ascii="宋体" w:hAnsi="宋体"/>
                <w:sz w:val="30"/>
                <w:szCs w:val="30"/>
              </w:rPr>
            </w:pPr>
          </w:p>
        </w:tc>
        <w:tc>
          <w:tcPr>
            <w:tcW w:w="1134" w:type="dxa"/>
            <w:tcBorders>
              <w:top w:val="nil"/>
            </w:tcBorders>
            <w:vAlign w:val="center"/>
          </w:tcPr>
          <w:p w14:paraId="140AAC09">
            <w:pPr>
              <w:ind w:firstLine="600"/>
              <w:rPr>
                <w:rFonts w:ascii="宋体" w:hAnsi="宋体"/>
                <w:sz w:val="30"/>
                <w:szCs w:val="30"/>
              </w:rPr>
            </w:pPr>
          </w:p>
        </w:tc>
        <w:tc>
          <w:tcPr>
            <w:tcW w:w="3896" w:type="dxa"/>
            <w:tcBorders>
              <w:top w:val="nil"/>
            </w:tcBorders>
            <w:vAlign w:val="center"/>
          </w:tcPr>
          <w:p w14:paraId="6BEB24E4">
            <w:pPr>
              <w:ind w:firstLine="600"/>
              <w:rPr>
                <w:rFonts w:ascii="宋体" w:hAnsi="宋体"/>
                <w:sz w:val="30"/>
                <w:szCs w:val="30"/>
              </w:rPr>
            </w:pPr>
          </w:p>
        </w:tc>
      </w:tr>
      <w:tr w14:paraId="78DB8D4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505" w:type="dxa"/>
            <w:tcBorders>
              <w:top w:val="single" w:color="auto" w:sz="6" w:space="0"/>
              <w:bottom w:val="nil"/>
            </w:tcBorders>
            <w:vAlign w:val="center"/>
          </w:tcPr>
          <w:p w14:paraId="396DBBF0">
            <w:pPr>
              <w:ind w:firstLine="600"/>
              <w:rPr>
                <w:rFonts w:ascii="宋体" w:hAnsi="宋体"/>
                <w:sz w:val="30"/>
                <w:szCs w:val="30"/>
              </w:rPr>
            </w:pPr>
          </w:p>
        </w:tc>
        <w:tc>
          <w:tcPr>
            <w:tcW w:w="1418" w:type="dxa"/>
            <w:vAlign w:val="center"/>
          </w:tcPr>
          <w:p w14:paraId="7F256693">
            <w:pPr>
              <w:ind w:firstLine="600"/>
              <w:rPr>
                <w:rFonts w:ascii="宋体" w:hAnsi="宋体"/>
                <w:sz w:val="30"/>
                <w:szCs w:val="30"/>
              </w:rPr>
            </w:pPr>
          </w:p>
        </w:tc>
        <w:tc>
          <w:tcPr>
            <w:tcW w:w="1134" w:type="dxa"/>
            <w:vAlign w:val="center"/>
          </w:tcPr>
          <w:p w14:paraId="79448831">
            <w:pPr>
              <w:ind w:firstLine="600"/>
              <w:rPr>
                <w:rFonts w:ascii="宋体" w:hAnsi="宋体"/>
                <w:sz w:val="30"/>
                <w:szCs w:val="30"/>
              </w:rPr>
            </w:pPr>
          </w:p>
        </w:tc>
        <w:tc>
          <w:tcPr>
            <w:tcW w:w="1134" w:type="dxa"/>
            <w:vAlign w:val="center"/>
          </w:tcPr>
          <w:p w14:paraId="476D4CCE">
            <w:pPr>
              <w:ind w:firstLine="600"/>
              <w:rPr>
                <w:rFonts w:ascii="宋体" w:hAnsi="宋体"/>
                <w:sz w:val="30"/>
                <w:szCs w:val="30"/>
              </w:rPr>
            </w:pPr>
          </w:p>
        </w:tc>
        <w:tc>
          <w:tcPr>
            <w:tcW w:w="3896" w:type="dxa"/>
            <w:vAlign w:val="center"/>
          </w:tcPr>
          <w:p w14:paraId="07975E7E">
            <w:pPr>
              <w:ind w:firstLine="600"/>
              <w:rPr>
                <w:rFonts w:ascii="宋体" w:hAnsi="宋体"/>
                <w:sz w:val="30"/>
                <w:szCs w:val="30"/>
              </w:rPr>
            </w:pPr>
          </w:p>
        </w:tc>
      </w:tr>
      <w:tr w14:paraId="05F45F3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505" w:type="dxa"/>
            <w:tcBorders>
              <w:top w:val="nil"/>
              <w:bottom w:val="nil"/>
            </w:tcBorders>
            <w:vAlign w:val="center"/>
          </w:tcPr>
          <w:p w14:paraId="63F71222">
            <w:pPr>
              <w:ind w:firstLine="600"/>
              <w:rPr>
                <w:rFonts w:ascii="宋体" w:hAnsi="宋体"/>
                <w:sz w:val="30"/>
                <w:szCs w:val="30"/>
              </w:rPr>
            </w:pPr>
            <w:r>
              <w:rPr>
                <w:rFonts w:hint="eastAsia" w:ascii="宋体" w:hAnsi="宋体"/>
                <w:sz w:val="30"/>
                <w:szCs w:val="30"/>
              </w:rPr>
              <w:t>其他人员</w:t>
            </w:r>
          </w:p>
        </w:tc>
        <w:tc>
          <w:tcPr>
            <w:tcW w:w="1418" w:type="dxa"/>
            <w:vAlign w:val="center"/>
          </w:tcPr>
          <w:p w14:paraId="4A5C3AC0">
            <w:pPr>
              <w:ind w:firstLine="600"/>
              <w:rPr>
                <w:rFonts w:ascii="宋体" w:hAnsi="宋体"/>
                <w:sz w:val="30"/>
                <w:szCs w:val="30"/>
              </w:rPr>
            </w:pPr>
          </w:p>
        </w:tc>
        <w:tc>
          <w:tcPr>
            <w:tcW w:w="1134" w:type="dxa"/>
            <w:vAlign w:val="center"/>
          </w:tcPr>
          <w:p w14:paraId="4872DE1B">
            <w:pPr>
              <w:ind w:firstLine="600"/>
              <w:rPr>
                <w:rFonts w:ascii="宋体" w:hAnsi="宋体"/>
                <w:sz w:val="30"/>
                <w:szCs w:val="30"/>
              </w:rPr>
            </w:pPr>
          </w:p>
        </w:tc>
        <w:tc>
          <w:tcPr>
            <w:tcW w:w="1134" w:type="dxa"/>
            <w:vAlign w:val="center"/>
          </w:tcPr>
          <w:p w14:paraId="00F05E4A">
            <w:pPr>
              <w:ind w:firstLine="600"/>
              <w:rPr>
                <w:rFonts w:ascii="宋体" w:hAnsi="宋体"/>
                <w:sz w:val="30"/>
                <w:szCs w:val="30"/>
              </w:rPr>
            </w:pPr>
          </w:p>
        </w:tc>
        <w:tc>
          <w:tcPr>
            <w:tcW w:w="3896" w:type="dxa"/>
            <w:vAlign w:val="center"/>
          </w:tcPr>
          <w:p w14:paraId="28D52530">
            <w:pPr>
              <w:ind w:firstLine="600"/>
              <w:rPr>
                <w:rFonts w:ascii="宋体" w:hAnsi="宋体"/>
                <w:sz w:val="30"/>
                <w:szCs w:val="30"/>
              </w:rPr>
            </w:pPr>
          </w:p>
        </w:tc>
      </w:tr>
      <w:tr w14:paraId="14E4F49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505" w:type="dxa"/>
            <w:tcBorders>
              <w:top w:val="nil"/>
              <w:bottom w:val="nil"/>
            </w:tcBorders>
            <w:vAlign w:val="center"/>
          </w:tcPr>
          <w:p w14:paraId="4D10C408">
            <w:pPr>
              <w:ind w:firstLine="600"/>
              <w:rPr>
                <w:rFonts w:ascii="宋体" w:hAnsi="宋体"/>
                <w:sz w:val="30"/>
                <w:szCs w:val="30"/>
              </w:rPr>
            </w:pPr>
          </w:p>
        </w:tc>
        <w:tc>
          <w:tcPr>
            <w:tcW w:w="1418" w:type="dxa"/>
            <w:vAlign w:val="center"/>
          </w:tcPr>
          <w:p w14:paraId="0DC74CDE">
            <w:pPr>
              <w:ind w:firstLine="600"/>
              <w:rPr>
                <w:rFonts w:ascii="宋体" w:hAnsi="宋体"/>
                <w:sz w:val="30"/>
                <w:szCs w:val="30"/>
              </w:rPr>
            </w:pPr>
          </w:p>
        </w:tc>
        <w:tc>
          <w:tcPr>
            <w:tcW w:w="1134" w:type="dxa"/>
            <w:vAlign w:val="center"/>
          </w:tcPr>
          <w:p w14:paraId="10025D5D">
            <w:pPr>
              <w:ind w:firstLine="600"/>
              <w:rPr>
                <w:rFonts w:ascii="宋体" w:hAnsi="宋体"/>
                <w:sz w:val="30"/>
                <w:szCs w:val="30"/>
              </w:rPr>
            </w:pPr>
          </w:p>
        </w:tc>
        <w:tc>
          <w:tcPr>
            <w:tcW w:w="1134" w:type="dxa"/>
            <w:vAlign w:val="center"/>
          </w:tcPr>
          <w:p w14:paraId="02EAF125">
            <w:pPr>
              <w:ind w:firstLine="600"/>
              <w:rPr>
                <w:rFonts w:ascii="宋体" w:hAnsi="宋体"/>
                <w:sz w:val="30"/>
                <w:szCs w:val="30"/>
              </w:rPr>
            </w:pPr>
          </w:p>
        </w:tc>
        <w:tc>
          <w:tcPr>
            <w:tcW w:w="3896" w:type="dxa"/>
            <w:vAlign w:val="center"/>
          </w:tcPr>
          <w:p w14:paraId="49F3C028">
            <w:pPr>
              <w:ind w:firstLine="600"/>
              <w:rPr>
                <w:rFonts w:ascii="宋体" w:hAnsi="宋体"/>
                <w:sz w:val="30"/>
                <w:szCs w:val="30"/>
              </w:rPr>
            </w:pPr>
          </w:p>
        </w:tc>
      </w:tr>
      <w:tr w14:paraId="7E9AF4C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087" w:type="dxa"/>
            <w:gridSpan w:val="5"/>
            <w:tcBorders>
              <w:top w:val="single" w:color="auto" w:sz="6" w:space="0"/>
              <w:bottom w:val="single" w:color="auto" w:sz="6" w:space="0"/>
            </w:tcBorders>
            <w:vAlign w:val="center"/>
          </w:tcPr>
          <w:p w14:paraId="7B299B7A">
            <w:pPr>
              <w:ind w:firstLine="600"/>
              <w:rPr>
                <w:rFonts w:ascii="宋体" w:hAnsi="宋体"/>
                <w:sz w:val="30"/>
                <w:szCs w:val="30"/>
              </w:rPr>
            </w:pPr>
            <w:r>
              <w:rPr>
                <w:rFonts w:hint="eastAsia" w:ascii="宋体" w:hAnsi="宋体"/>
                <w:sz w:val="30"/>
                <w:szCs w:val="30"/>
              </w:rPr>
              <w:t>二、现场人员</w:t>
            </w:r>
          </w:p>
        </w:tc>
      </w:tr>
      <w:tr w14:paraId="6176CA1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505" w:type="dxa"/>
            <w:tcBorders>
              <w:top w:val="single" w:color="auto" w:sz="6" w:space="0"/>
              <w:bottom w:val="single" w:color="auto" w:sz="6" w:space="0"/>
            </w:tcBorders>
            <w:vAlign w:val="center"/>
          </w:tcPr>
          <w:p w14:paraId="402D254D">
            <w:pPr>
              <w:rPr>
                <w:rFonts w:ascii="宋体" w:hAnsi="宋体"/>
                <w:sz w:val="30"/>
                <w:szCs w:val="30"/>
              </w:rPr>
            </w:pPr>
            <w:r>
              <w:rPr>
                <w:rFonts w:hint="eastAsia" w:ascii="宋体" w:hAnsi="宋体"/>
                <w:sz w:val="30"/>
                <w:szCs w:val="30"/>
              </w:rPr>
              <w:t>工程总承包项目经理</w:t>
            </w:r>
          </w:p>
        </w:tc>
        <w:tc>
          <w:tcPr>
            <w:tcW w:w="1418" w:type="dxa"/>
            <w:vAlign w:val="center"/>
          </w:tcPr>
          <w:p w14:paraId="4A391FAD">
            <w:pPr>
              <w:ind w:firstLine="600"/>
              <w:rPr>
                <w:rFonts w:ascii="宋体" w:hAnsi="宋体"/>
                <w:sz w:val="30"/>
                <w:szCs w:val="30"/>
              </w:rPr>
            </w:pPr>
          </w:p>
        </w:tc>
        <w:tc>
          <w:tcPr>
            <w:tcW w:w="1134" w:type="dxa"/>
            <w:vAlign w:val="center"/>
          </w:tcPr>
          <w:p w14:paraId="278757FB">
            <w:pPr>
              <w:ind w:firstLine="600"/>
              <w:rPr>
                <w:rFonts w:ascii="宋体" w:hAnsi="宋体"/>
                <w:sz w:val="30"/>
                <w:szCs w:val="30"/>
              </w:rPr>
            </w:pPr>
          </w:p>
        </w:tc>
        <w:tc>
          <w:tcPr>
            <w:tcW w:w="1134" w:type="dxa"/>
            <w:vAlign w:val="center"/>
          </w:tcPr>
          <w:p w14:paraId="75F9EC47">
            <w:pPr>
              <w:ind w:firstLine="600"/>
              <w:rPr>
                <w:rFonts w:ascii="宋体" w:hAnsi="宋体"/>
                <w:sz w:val="30"/>
                <w:szCs w:val="30"/>
              </w:rPr>
            </w:pPr>
          </w:p>
        </w:tc>
        <w:tc>
          <w:tcPr>
            <w:tcW w:w="3896" w:type="dxa"/>
            <w:vAlign w:val="center"/>
          </w:tcPr>
          <w:p w14:paraId="463AF315">
            <w:pPr>
              <w:ind w:firstLine="600"/>
              <w:rPr>
                <w:rFonts w:ascii="宋体" w:hAnsi="宋体"/>
                <w:sz w:val="30"/>
                <w:szCs w:val="30"/>
              </w:rPr>
            </w:pPr>
          </w:p>
          <w:p w14:paraId="41738373">
            <w:pPr>
              <w:ind w:firstLine="600"/>
              <w:rPr>
                <w:rFonts w:ascii="宋体" w:hAnsi="宋体"/>
                <w:sz w:val="30"/>
                <w:szCs w:val="30"/>
              </w:rPr>
            </w:pPr>
          </w:p>
        </w:tc>
      </w:tr>
      <w:tr w14:paraId="351A9DB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505" w:type="dxa"/>
            <w:tcBorders>
              <w:top w:val="single" w:color="auto" w:sz="6" w:space="0"/>
              <w:bottom w:val="single" w:color="auto" w:sz="6" w:space="0"/>
            </w:tcBorders>
            <w:vAlign w:val="center"/>
          </w:tcPr>
          <w:p w14:paraId="79657E03">
            <w:pPr>
              <w:rPr>
                <w:rFonts w:ascii="宋体" w:hAnsi="宋体"/>
                <w:sz w:val="30"/>
                <w:szCs w:val="30"/>
              </w:rPr>
            </w:pPr>
            <w:r>
              <w:rPr>
                <w:rFonts w:hint="eastAsia" w:ascii="宋体" w:hAnsi="宋体"/>
                <w:sz w:val="30"/>
                <w:szCs w:val="30"/>
              </w:rPr>
              <w:t>项目副经理</w:t>
            </w:r>
          </w:p>
        </w:tc>
        <w:tc>
          <w:tcPr>
            <w:tcW w:w="1418" w:type="dxa"/>
            <w:vAlign w:val="center"/>
          </w:tcPr>
          <w:p w14:paraId="4A50F0CE">
            <w:pPr>
              <w:ind w:firstLine="600"/>
              <w:rPr>
                <w:rFonts w:ascii="宋体" w:hAnsi="宋体"/>
                <w:sz w:val="30"/>
                <w:szCs w:val="30"/>
              </w:rPr>
            </w:pPr>
          </w:p>
        </w:tc>
        <w:tc>
          <w:tcPr>
            <w:tcW w:w="1134" w:type="dxa"/>
            <w:vAlign w:val="center"/>
          </w:tcPr>
          <w:p w14:paraId="1289225D">
            <w:pPr>
              <w:ind w:firstLine="600"/>
              <w:rPr>
                <w:rFonts w:ascii="宋体" w:hAnsi="宋体"/>
                <w:sz w:val="30"/>
                <w:szCs w:val="30"/>
              </w:rPr>
            </w:pPr>
          </w:p>
        </w:tc>
        <w:tc>
          <w:tcPr>
            <w:tcW w:w="1134" w:type="dxa"/>
            <w:vAlign w:val="center"/>
          </w:tcPr>
          <w:p w14:paraId="0FE9128E">
            <w:pPr>
              <w:ind w:firstLine="600"/>
              <w:rPr>
                <w:rFonts w:ascii="宋体" w:hAnsi="宋体"/>
                <w:sz w:val="30"/>
                <w:szCs w:val="30"/>
              </w:rPr>
            </w:pPr>
          </w:p>
        </w:tc>
        <w:tc>
          <w:tcPr>
            <w:tcW w:w="3896" w:type="dxa"/>
            <w:vAlign w:val="center"/>
          </w:tcPr>
          <w:p w14:paraId="66D0956F">
            <w:pPr>
              <w:ind w:firstLine="600"/>
              <w:rPr>
                <w:rFonts w:ascii="宋体" w:hAnsi="宋体"/>
                <w:sz w:val="30"/>
                <w:szCs w:val="30"/>
              </w:rPr>
            </w:pPr>
          </w:p>
        </w:tc>
      </w:tr>
      <w:tr w14:paraId="2076ED3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505" w:type="dxa"/>
            <w:tcBorders>
              <w:top w:val="single" w:color="auto" w:sz="6" w:space="0"/>
              <w:bottom w:val="single" w:color="auto" w:sz="6" w:space="0"/>
            </w:tcBorders>
            <w:vAlign w:val="center"/>
          </w:tcPr>
          <w:p w14:paraId="437D6ED3">
            <w:pPr>
              <w:rPr>
                <w:rFonts w:ascii="宋体" w:hAnsi="宋体"/>
                <w:sz w:val="30"/>
                <w:szCs w:val="30"/>
              </w:rPr>
            </w:pPr>
            <w:r>
              <w:rPr>
                <w:rFonts w:hint="eastAsia" w:ascii="宋体" w:hAnsi="宋体"/>
                <w:sz w:val="30"/>
                <w:szCs w:val="30"/>
              </w:rPr>
              <w:t>设计负责人</w:t>
            </w:r>
          </w:p>
        </w:tc>
        <w:tc>
          <w:tcPr>
            <w:tcW w:w="1418" w:type="dxa"/>
            <w:vAlign w:val="center"/>
          </w:tcPr>
          <w:p w14:paraId="0FE1B379">
            <w:pPr>
              <w:ind w:firstLine="600"/>
              <w:rPr>
                <w:rFonts w:ascii="宋体" w:hAnsi="宋体"/>
                <w:sz w:val="30"/>
                <w:szCs w:val="30"/>
              </w:rPr>
            </w:pPr>
          </w:p>
        </w:tc>
        <w:tc>
          <w:tcPr>
            <w:tcW w:w="1134" w:type="dxa"/>
            <w:vAlign w:val="center"/>
          </w:tcPr>
          <w:p w14:paraId="08021399">
            <w:pPr>
              <w:ind w:firstLine="600"/>
              <w:rPr>
                <w:rFonts w:ascii="宋体" w:hAnsi="宋体"/>
                <w:sz w:val="30"/>
                <w:szCs w:val="30"/>
              </w:rPr>
            </w:pPr>
          </w:p>
        </w:tc>
        <w:tc>
          <w:tcPr>
            <w:tcW w:w="1134" w:type="dxa"/>
            <w:vAlign w:val="center"/>
          </w:tcPr>
          <w:p w14:paraId="535132CC">
            <w:pPr>
              <w:ind w:firstLine="600"/>
              <w:rPr>
                <w:rFonts w:ascii="宋体" w:hAnsi="宋体"/>
                <w:sz w:val="30"/>
                <w:szCs w:val="30"/>
              </w:rPr>
            </w:pPr>
          </w:p>
        </w:tc>
        <w:tc>
          <w:tcPr>
            <w:tcW w:w="3896" w:type="dxa"/>
            <w:vAlign w:val="center"/>
          </w:tcPr>
          <w:p w14:paraId="15F9EC4D">
            <w:pPr>
              <w:ind w:firstLine="600"/>
              <w:rPr>
                <w:rFonts w:ascii="宋体" w:hAnsi="宋体"/>
                <w:sz w:val="30"/>
                <w:szCs w:val="30"/>
              </w:rPr>
            </w:pPr>
          </w:p>
        </w:tc>
      </w:tr>
      <w:tr w14:paraId="6160AC0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505" w:type="dxa"/>
            <w:tcBorders>
              <w:top w:val="single" w:color="auto" w:sz="6" w:space="0"/>
              <w:bottom w:val="single" w:color="auto" w:sz="6" w:space="0"/>
            </w:tcBorders>
            <w:vAlign w:val="center"/>
          </w:tcPr>
          <w:p w14:paraId="151A7BC1">
            <w:pPr>
              <w:rPr>
                <w:rFonts w:ascii="宋体" w:hAnsi="宋体"/>
                <w:sz w:val="30"/>
                <w:szCs w:val="30"/>
              </w:rPr>
            </w:pPr>
            <w:r>
              <w:rPr>
                <w:rFonts w:hint="eastAsia" w:ascii="宋体" w:hAnsi="宋体"/>
                <w:sz w:val="30"/>
                <w:szCs w:val="30"/>
              </w:rPr>
              <w:t>采购负责人</w:t>
            </w:r>
          </w:p>
        </w:tc>
        <w:tc>
          <w:tcPr>
            <w:tcW w:w="1418" w:type="dxa"/>
            <w:vAlign w:val="center"/>
          </w:tcPr>
          <w:p w14:paraId="08E3D60A">
            <w:pPr>
              <w:ind w:firstLine="600"/>
              <w:rPr>
                <w:rFonts w:ascii="宋体" w:hAnsi="宋体"/>
                <w:sz w:val="30"/>
                <w:szCs w:val="30"/>
              </w:rPr>
            </w:pPr>
          </w:p>
        </w:tc>
        <w:tc>
          <w:tcPr>
            <w:tcW w:w="1134" w:type="dxa"/>
            <w:vAlign w:val="center"/>
          </w:tcPr>
          <w:p w14:paraId="34B085AE">
            <w:pPr>
              <w:ind w:firstLine="600"/>
              <w:rPr>
                <w:rFonts w:ascii="宋体" w:hAnsi="宋体"/>
                <w:sz w:val="30"/>
                <w:szCs w:val="30"/>
              </w:rPr>
            </w:pPr>
          </w:p>
        </w:tc>
        <w:tc>
          <w:tcPr>
            <w:tcW w:w="1134" w:type="dxa"/>
            <w:vAlign w:val="center"/>
          </w:tcPr>
          <w:p w14:paraId="5DE35622">
            <w:pPr>
              <w:ind w:firstLine="600"/>
              <w:rPr>
                <w:rFonts w:ascii="宋体" w:hAnsi="宋体"/>
                <w:sz w:val="30"/>
                <w:szCs w:val="30"/>
              </w:rPr>
            </w:pPr>
          </w:p>
        </w:tc>
        <w:tc>
          <w:tcPr>
            <w:tcW w:w="3896" w:type="dxa"/>
            <w:vAlign w:val="center"/>
          </w:tcPr>
          <w:p w14:paraId="0927D52E">
            <w:pPr>
              <w:ind w:firstLine="600"/>
              <w:rPr>
                <w:rFonts w:ascii="宋体" w:hAnsi="宋体"/>
                <w:sz w:val="30"/>
                <w:szCs w:val="30"/>
              </w:rPr>
            </w:pPr>
          </w:p>
        </w:tc>
      </w:tr>
      <w:tr w14:paraId="172FFB0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505" w:type="dxa"/>
            <w:tcBorders>
              <w:top w:val="single" w:color="auto" w:sz="6" w:space="0"/>
              <w:bottom w:val="single" w:color="auto" w:sz="6" w:space="0"/>
            </w:tcBorders>
            <w:vAlign w:val="center"/>
          </w:tcPr>
          <w:p w14:paraId="11650E8B">
            <w:pPr>
              <w:rPr>
                <w:rFonts w:ascii="宋体" w:hAnsi="宋体"/>
                <w:sz w:val="30"/>
                <w:szCs w:val="30"/>
              </w:rPr>
            </w:pPr>
            <w:r>
              <w:rPr>
                <w:rFonts w:hint="eastAsia" w:ascii="宋体" w:hAnsi="宋体"/>
                <w:sz w:val="30"/>
                <w:szCs w:val="30"/>
              </w:rPr>
              <w:t>施工负责人</w:t>
            </w:r>
          </w:p>
        </w:tc>
        <w:tc>
          <w:tcPr>
            <w:tcW w:w="1418" w:type="dxa"/>
            <w:vAlign w:val="center"/>
          </w:tcPr>
          <w:p w14:paraId="1135DF8E">
            <w:pPr>
              <w:ind w:firstLine="600"/>
              <w:rPr>
                <w:rFonts w:ascii="宋体" w:hAnsi="宋体"/>
                <w:sz w:val="30"/>
                <w:szCs w:val="30"/>
              </w:rPr>
            </w:pPr>
          </w:p>
        </w:tc>
        <w:tc>
          <w:tcPr>
            <w:tcW w:w="1134" w:type="dxa"/>
            <w:vAlign w:val="center"/>
          </w:tcPr>
          <w:p w14:paraId="0521D2FF">
            <w:pPr>
              <w:ind w:firstLine="600"/>
              <w:rPr>
                <w:rFonts w:ascii="宋体" w:hAnsi="宋体"/>
                <w:sz w:val="30"/>
                <w:szCs w:val="30"/>
              </w:rPr>
            </w:pPr>
          </w:p>
        </w:tc>
        <w:tc>
          <w:tcPr>
            <w:tcW w:w="1134" w:type="dxa"/>
            <w:vAlign w:val="center"/>
          </w:tcPr>
          <w:p w14:paraId="7599CFAA">
            <w:pPr>
              <w:ind w:firstLine="600"/>
              <w:rPr>
                <w:rFonts w:ascii="宋体" w:hAnsi="宋体"/>
                <w:sz w:val="30"/>
                <w:szCs w:val="30"/>
              </w:rPr>
            </w:pPr>
          </w:p>
        </w:tc>
        <w:tc>
          <w:tcPr>
            <w:tcW w:w="3896" w:type="dxa"/>
            <w:vAlign w:val="center"/>
          </w:tcPr>
          <w:p w14:paraId="20075113">
            <w:pPr>
              <w:ind w:firstLine="600"/>
              <w:rPr>
                <w:rFonts w:ascii="宋体" w:hAnsi="宋体"/>
                <w:sz w:val="30"/>
                <w:szCs w:val="30"/>
              </w:rPr>
            </w:pPr>
          </w:p>
        </w:tc>
      </w:tr>
      <w:tr w14:paraId="18290F5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505" w:type="dxa"/>
            <w:tcBorders>
              <w:top w:val="single" w:color="auto" w:sz="6" w:space="0"/>
              <w:bottom w:val="single" w:color="auto" w:sz="6" w:space="0"/>
            </w:tcBorders>
            <w:vAlign w:val="center"/>
          </w:tcPr>
          <w:p w14:paraId="40EFB542">
            <w:pPr>
              <w:rPr>
                <w:rFonts w:ascii="宋体" w:hAnsi="宋体"/>
                <w:sz w:val="30"/>
                <w:szCs w:val="30"/>
              </w:rPr>
            </w:pPr>
            <w:r>
              <w:rPr>
                <w:rFonts w:hint="eastAsia" w:ascii="宋体" w:hAnsi="宋体"/>
                <w:sz w:val="30"/>
                <w:szCs w:val="30"/>
              </w:rPr>
              <w:t>技术负责人</w:t>
            </w:r>
          </w:p>
        </w:tc>
        <w:tc>
          <w:tcPr>
            <w:tcW w:w="1418" w:type="dxa"/>
            <w:vAlign w:val="center"/>
          </w:tcPr>
          <w:p w14:paraId="5155CC03">
            <w:pPr>
              <w:ind w:firstLine="600"/>
              <w:rPr>
                <w:rFonts w:ascii="宋体" w:hAnsi="宋体"/>
                <w:sz w:val="30"/>
                <w:szCs w:val="30"/>
              </w:rPr>
            </w:pPr>
          </w:p>
        </w:tc>
        <w:tc>
          <w:tcPr>
            <w:tcW w:w="1134" w:type="dxa"/>
            <w:vAlign w:val="center"/>
          </w:tcPr>
          <w:p w14:paraId="50260929">
            <w:pPr>
              <w:ind w:firstLine="600"/>
              <w:rPr>
                <w:rFonts w:ascii="宋体" w:hAnsi="宋体"/>
                <w:sz w:val="30"/>
                <w:szCs w:val="30"/>
              </w:rPr>
            </w:pPr>
          </w:p>
        </w:tc>
        <w:tc>
          <w:tcPr>
            <w:tcW w:w="1134" w:type="dxa"/>
            <w:vAlign w:val="center"/>
          </w:tcPr>
          <w:p w14:paraId="3062CFDB">
            <w:pPr>
              <w:ind w:firstLine="600"/>
              <w:rPr>
                <w:rFonts w:ascii="宋体" w:hAnsi="宋体"/>
                <w:sz w:val="30"/>
                <w:szCs w:val="30"/>
              </w:rPr>
            </w:pPr>
          </w:p>
        </w:tc>
        <w:tc>
          <w:tcPr>
            <w:tcW w:w="3896" w:type="dxa"/>
            <w:vAlign w:val="center"/>
          </w:tcPr>
          <w:p w14:paraId="6138BED8">
            <w:pPr>
              <w:ind w:firstLine="600"/>
              <w:rPr>
                <w:rFonts w:ascii="宋体" w:hAnsi="宋体"/>
                <w:sz w:val="30"/>
                <w:szCs w:val="30"/>
              </w:rPr>
            </w:pPr>
          </w:p>
        </w:tc>
      </w:tr>
      <w:tr w14:paraId="03A4580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505" w:type="dxa"/>
            <w:tcBorders>
              <w:top w:val="single" w:color="auto" w:sz="6" w:space="0"/>
              <w:bottom w:val="single" w:color="auto" w:sz="6" w:space="0"/>
            </w:tcBorders>
            <w:vAlign w:val="center"/>
          </w:tcPr>
          <w:p w14:paraId="48CE8CF0">
            <w:pPr>
              <w:rPr>
                <w:rFonts w:ascii="宋体" w:hAnsi="宋体"/>
                <w:sz w:val="30"/>
                <w:szCs w:val="30"/>
              </w:rPr>
            </w:pPr>
            <w:r>
              <w:rPr>
                <w:rFonts w:hint="eastAsia" w:ascii="宋体" w:hAnsi="宋体"/>
                <w:sz w:val="30"/>
                <w:szCs w:val="30"/>
              </w:rPr>
              <w:t>造价管理</w:t>
            </w:r>
          </w:p>
        </w:tc>
        <w:tc>
          <w:tcPr>
            <w:tcW w:w="1418" w:type="dxa"/>
            <w:vAlign w:val="center"/>
          </w:tcPr>
          <w:p w14:paraId="23AA01ED">
            <w:pPr>
              <w:ind w:firstLine="600"/>
              <w:rPr>
                <w:rFonts w:ascii="宋体" w:hAnsi="宋体"/>
                <w:sz w:val="30"/>
                <w:szCs w:val="30"/>
              </w:rPr>
            </w:pPr>
          </w:p>
        </w:tc>
        <w:tc>
          <w:tcPr>
            <w:tcW w:w="1134" w:type="dxa"/>
            <w:vAlign w:val="center"/>
          </w:tcPr>
          <w:p w14:paraId="124C955B">
            <w:pPr>
              <w:ind w:firstLine="600"/>
              <w:rPr>
                <w:rFonts w:ascii="宋体" w:hAnsi="宋体"/>
                <w:sz w:val="30"/>
                <w:szCs w:val="30"/>
              </w:rPr>
            </w:pPr>
          </w:p>
        </w:tc>
        <w:tc>
          <w:tcPr>
            <w:tcW w:w="1134" w:type="dxa"/>
            <w:vAlign w:val="center"/>
          </w:tcPr>
          <w:p w14:paraId="1859D247">
            <w:pPr>
              <w:ind w:firstLine="600"/>
              <w:rPr>
                <w:rFonts w:ascii="宋体" w:hAnsi="宋体"/>
                <w:sz w:val="30"/>
                <w:szCs w:val="30"/>
              </w:rPr>
            </w:pPr>
          </w:p>
        </w:tc>
        <w:tc>
          <w:tcPr>
            <w:tcW w:w="3896" w:type="dxa"/>
            <w:vAlign w:val="center"/>
          </w:tcPr>
          <w:p w14:paraId="0A1EC4B3">
            <w:pPr>
              <w:ind w:firstLine="600"/>
              <w:rPr>
                <w:rFonts w:ascii="宋体" w:hAnsi="宋体"/>
                <w:sz w:val="30"/>
                <w:szCs w:val="30"/>
              </w:rPr>
            </w:pPr>
          </w:p>
        </w:tc>
      </w:tr>
      <w:tr w14:paraId="5189C46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505" w:type="dxa"/>
            <w:tcBorders>
              <w:top w:val="single" w:color="auto" w:sz="6" w:space="0"/>
              <w:bottom w:val="single" w:color="auto" w:sz="6" w:space="0"/>
            </w:tcBorders>
            <w:vAlign w:val="center"/>
          </w:tcPr>
          <w:p w14:paraId="65ACDD8E">
            <w:pPr>
              <w:rPr>
                <w:rFonts w:ascii="宋体" w:hAnsi="宋体"/>
                <w:sz w:val="30"/>
                <w:szCs w:val="30"/>
              </w:rPr>
            </w:pPr>
            <w:r>
              <w:rPr>
                <w:rFonts w:hint="eastAsia" w:ascii="宋体" w:hAnsi="宋体"/>
                <w:sz w:val="30"/>
                <w:szCs w:val="30"/>
              </w:rPr>
              <w:t>质量管理</w:t>
            </w:r>
          </w:p>
        </w:tc>
        <w:tc>
          <w:tcPr>
            <w:tcW w:w="1418" w:type="dxa"/>
            <w:vAlign w:val="center"/>
          </w:tcPr>
          <w:p w14:paraId="40F5F72D">
            <w:pPr>
              <w:ind w:firstLine="600"/>
              <w:rPr>
                <w:rFonts w:ascii="宋体" w:hAnsi="宋体"/>
                <w:sz w:val="30"/>
                <w:szCs w:val="30"/>
              </w:rPr>
            </w:pPr>
          </w:p>
        </w:tc>
        <w:tc>
          <w:tcPr>
            <w:tcW w:w="1134" w:type="dxa"/>
            <w:vAlign w:val="center"/>
          </w:tcPr>
          <w:p w14:paraId="4AA42235">
            <w:pPr>
              <w:ind w:firstLine="600"/>
              <w:rPr>
                <w:rFonts w:ascii="宋体" w:hAnsi="宋体"/>
                <w:sz w:val="30"/>
                <w:szCs w:val="30"/>
              </w:rPr>
            </w:pPr>
          </w:p>
        </w:tc>
        <w:tc>
          <w:tcPr>
            <w:tcW w:w="1134" w:type="dxa"/>
            <w:vAlign w:val="center"/>
          </w:tcPr>
          <w:p w14:paraId="10AA9E9F">
            <w:pPr>
              <w:ind w:firstLine="600"/>
              <w:rPr>
                <w:rFonts w:ascii="宋体" w:hAnsi="宋体"/>
                <w:sz w:val="30"/>
                <w:szCs w:val="30"/>
              </w:rPr>
            </w:pPr>
          </w:p>
        </w:tc>
        <w:tc>
          <w:tcPr>
            <w:tcW w:w="3896" w:type="dxa"/>
            <w:vAlign w:val="center"/>
          </w:tcPr>
          <w:p w14:paraId="68575BC8">
            <w:pPr>
              <w:ind w:firstLine="600"/>
              <w:rPr>
                <w:rFonts w:ascii="宋体" w:hAnsi="宋体"/>
                <w:sz w:val="30"/>
                <w:szCs w:val="30"/>
              </w:rPr>
            </w:pPr>
          </w:p>
        </w:tc>
      </w:tr>
      <w:tr w14:paraId="7BD7C99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505" w:type="dxa"/>
            <w:tcBorders>
              <w:top w:val="single" w:color="auto" w:sz="6" w:space="0"/>
              <w:bottom w:val="single" w:color="auto" w:sz="6" w:space="0"/>
            </w:tcBorders>
            <w:vAlign w:val="center"/>
          </w:tcPr>
          <w:p w14:paraId="10C272C0">
            <w:pPr>
              <w:rPr>
                <w:rFonts w:ascii="宋体" w:hAnsi="宋体"/>
                <w:sz w:val="30"/>
                <w:szCs w:val="30"/>
              </w:rPr>
            </w:pPr>
            <w:r>
              <w:rPr>
                <w:rFonts w:hint="eastAsia" w:ascii="宋体" w:hAnsi="宋体"/>
                <w:sz w:val="30"/>
                <w:szCs w:val="30"/>
              </w:rPr>
              <w:t>计划管理</w:t>
            </w:r>
          </w:p>
        </w:tc>
        <w:tc>
          <w:tcPr>
            <w:tcW w:w="1418" w:type="dxa"/>
            <w:vAlign w:val="center"/>
          </w:tcPr>
          <w:p w14:paraId="1C30FD7F">
            <w:pPr>
              <w:ind w:firstLine="600"/>
              <w:rPr>
                <w:rFonts w:ascii="宋体" w:hAnsi="宋体"/>
                <w:sz w:val="30"/>
                <w:szCs w:val="30"/>
              </w:rPr>
            </w:pPr>
          </w:p>
        </w:tc>
        <w:tc>
          <w:tcPr>
            <w:tcW w:w="1134" w:type="dxa"/>
            <w:vAlign w:val="center"/>
          </w:tcPr>
          <w:p w14:paraId="4584AD01">
            <w:pPr>
              <w:ind w:firstLine="600"/>
              <w:rPr>
                <w:rFonts w:ascii="宋体" w:hAnsi="宋体"/>
                <w:sz w:val="30"/>
                <w:szCs w:val="30"/>
              </w:rPr>
            </w:pPr>
          </w:p>
        </w:tc>
        <w:tc>
          <w:tcPr>
            <w:tcW w:w="1134" w:type="dxa"/>
            <w:vAlign w:val="center"/>
          </w:tcPr>
          <w:p w14:paraId="604B2DB3">
            <w:pPr>
              <w:ind w:firstLine="600"/>
              <w:rPr>
                <w:rFonts w:ascii="宋体" w:hAnsi="宋体"/>
                <w:sz w:val="30"/>
                <w:szCs w:val="30"/>
              </w:rPr>
            </w:pPr>
          </w:p>
        </w:tc>
        <w:tc>
          <w:tcPr>
            <w:tcW w:w="3896" w:type="dxa"/>
            <w:vAlign w:val="center"/>
          </w:tcPr>
          <w:p w14:paraId="3C6CB0BB">
            <w:pPr>
              <w:ind w:firstLine="600"/>
              <w:rPr>
                <w:rFonts w:ascii="宋体" w:hAnsi="宋体"/>
                <w:sz w:val="30"/>
                <w:szCs w:val="30"/>
              </w:rPr>
            </w:pPr>
          </w:p>
        </w:tc>
      </w:tr>
      <w:tr w14:paraId="445BF2E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505" w:type="dxa"/>
            <w:tcBorders>
              <w:top w:val="single" w:color="auto" w:sz="6" w:space="0"/>
              <w:bottom w:val="single" w:color="auto" w:sz="6" w:space="0"/>
            </w:tcBorders>
            <w:vAlign w:val="center"/>
          </w:tcPr>
          <w:p w14:paraId="7F530623">
            <w:pPr>
              <w:rPr>
                <w:rFonts w:ascii="宋体" w:hAnsi="宋体"/>
                <w:sz w:val="30"/>
                <w:szCs w:val="30"/>
              </w:rPr>
            </w:pPr>
            <w:r>
              <w:rPr>
                <w:rFonts w:hint="eastAsia" w:ascii="宋体" w:hAnsi="宋体"/>
                <w:sz w:val="30"/>
                <w:szCs w:val="30"/>
              </w:rPr>
              <w:t>安全管理</w:t>
            </w:r>
          </w:p>
        </w:tc>
        <w:tc>
          <w:tcPr>
            <w:tcW w:w="1418" w:type="dxa"/>
            <w:vAlign w:val="center"/>
          </w:tcPr>
          <w:p w14:paraId="1C5E830F">
            <w:pPr>
              <w:ind w:firstLine="600"/>
              <w:rPr>
                <w:rFonts w:ascii="宋体" w:hAnsi="宋体"/>
                <w:sz w:val="30"/>
                <w:szCs w:val="30"/>
              </w:rPr>
            </w:pPr>
          </w:p>
        </w:tc>
        <w:tc>
          <w:tcPr>
            <w:tcW w:w="1134" w:type="dxa"/>
            <w:vAlign w:val="center"/>
          </w:tcPr>
          <w:p w14:paraId="75077E40">
            <w:pPr>
              <w:ind w:firstLine="600"/>
              <w:rPr>
                <w:rFonts w:ascii="宋体" w:hAnsi="宋体"/>
                <w:sz w:val="30"/>
                <w:szCs w:val="30"/>
              </w:rPr>
            </w:pPr>
          </w:p>
        </w:tc>
        <w:tc>
          <w:tcPr>
            <w:tcW w:w="1134" w:type="dxa"/>
            <w:vAlign w:val="center"/>
          </w:tcPr>
          <w:p w14:paraId="78FDC4EE">
            <w:pPr>
              <w:ind w:firstLine="600"/>
              <w:rPr>
                <w:rFonts w:ascii="宋体" w:hAnsi="宋体"/>
                <w:sz w:val="30"/>
                <w:szCs w:val="30"/>
              </w:rPr>
            </w:pPr>
          </w:p>
        </w:tc>
        <w:tc>
          <w:tcPr>
            <w:tcW w:w="3896" w:type="dxa"/>
            <w:vAlign w:val="center"/>
          </w:tcPr>
          <w:p w14:paraId="37BD3425">
            <w:pPr>
              <w:ind w:firstLine="600"/>
              <w:rPr>
                <w:rFonts w:ascii="宋体" w:hAnsi="宋体"/>
                <w:sz w:val="30"/>
                <w:szCs w:val="30"/>
              </w:rPr>
            </w:pPr>
          </w:p>
        </w:tc>
      </w:tr>
      <w:tr w14:paraId="38F4347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505" w:type="dxa"/>
            <w:tcBorders>
              <w:top w:val="single" w:color="auto" w:sz="6" w:space="0"/>
              <w:bottom w:val="single" w:color="auto" w:sz="6" w:space="0"/>
            </w:tcBorders>
            <w:vAlign w:val="center"/>
          </w:tcPr>
          <w:p w14:paraId="1A3831ED">
            <w:pPr>
              <w:rPr>
                <w:rFonts w:ascii="宋体" w:hAnsi="宋体"/>
                <w:sz w:val="30"/>
                <w:szCs w:val="30"/>
              </w:rPr>
            </w:pPr>
            <w:r>
              <w:rPr>
                <w:rFonts w:hint="eastAsia" w:ascii="宋体" w:hAnsi="宋体"/>
                <w:sz w:val="30"/>
                <w:szCs w:val="30"/>
              </w:rPr>
              <w:t>环境管理</w:t>
            </w:r>
          </w:p>
        </w:tc>
        <w:tc>
          <w:tcPr>
            <w:tcW w:w="1418" w:type="dxa"/>
            <w:vAlign w:val="center"/>
          </w:tcPr>
          <w:p w14:paraId="7B45E1EC">
            <w:pPr>
              <w:ind w:firstLine="600"/>
              <w:rPr>
                <w:rFonts w:ascii="宋体" w:hAnsi="宋体"/>
                <w:sz w:val="30"/>
                <w:szCs w:val="30"/>
              </w:rPr>
            </w:pPr>
          </w:p>
        </w:tc>
        <w:tc>
          <w:tcPr>
            <w:tcW w:w="1134" w:type="dxa"/>
            <w:vAlign w:val="center"/>
          </w:tcPr>
          <w:p w14:paraId="454B62B1">
            <w:pPr>
              <w:ind w:firstLine="600"/>
              <w:rPr>
                <w:rFonts w:ascii="宋体" w:hAnsi="宋体"/>
                <w:sz w:val="30"/>
                <w:szCs w:val="30"/>
              </w:rPr>
            </w:pPr>
          </w:p>
        </w:tc>
        <w:tc>
          <w:tcPr>
            <w:tcW w:w="1134" w:type="dxa"/>
            <w:vAlign w:val="center"/>
          </w:tcPr>
          <w:p w14:paraId="09E10D64">
            <w:pPr>
              <w:ind w:firstLine="600"/>
              <w:rPr>
                <w:rFonts w:ascii="宋体" w:hAnsi="宋体"/>
                <w:sz w:val="30"/>
                <w:szCs w:val="30"/>
              </w:rPr>
            </w:pPr>
          </w:p>
        </w:tc>
        <w:tc>
          <w:tcPr>
            <w:tcW w:w="3896" w:type="dxa"/>
            <w:vAlign w:val="center"/>
          </w:tcPr>
          <w:p w14:paraId="1000BA75">
            <w:pPr>
              <w:ind w:firstLine="600"/>
              <w:rPr>
                <w:rFonts w:ascii="宋体" w:hAnsi="宋体"/>
                <w:sz w:val="30"/>
                <w:szCs w:val="30"/>
              </w:rPr>
            </w:pPr>
          </w:p>
        </w:tc>
      </w:tr>
      <w:tr w14:paraId="2349A53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505" w:type="dxa"/>
            <w:vMerge w:val="restart"/>
            <w:tcBorders>
              <w:top w:val="single" w:color="auto" w:sz="6" w:space="0"/>
            </w:tcBorders>
            <w:vAlign w:val="center"/>
          </w:tcPr>
          <w:p w14:paraId="650B3181">
            <w:pPr>
              <w:rPr>
                <w:rFonts w:ascii="宋体" w:hAnsi="宋体"/>
                <w:sz w:val="30"/>
                <w:szCs w:val="30"/>
              </w:rPr>
            </w:pPr>
            <w:r>
              <w:rPr>
                <w:rFonts w:hint="eastAsia" w:ascii="宋体" w:hAnsi="宋体"/>
                <w:sz w:val="30"/>
                <w:szCs w:val="30"/>
              </w:rPr>
              <w:t>其他人员</w:t>
            </w:r>
          </w:p>
        </w:tc>
        <w:tc>
          <w:tcPr>
            <w:tcW w:w="1418" w:type="dxa"/>
            <w:vAlign w:val="center"/>
          </w:tcPr>
          <w:p w14:paraId="2C954706">
            <w:pPr>
              <w:ind w:firstLine="600"/>
              <w:rPr>
                <w:rFonts w:ascii="宋体" w:hAnsi="宋体"/>
                <w:sz w:val="30"/>
                <w:szCs w:val="30"/>
              </w:rPr>
            </w:pPr>
          </w:p>
        </w:tc>
        <w:tc>
          <w:tcPr>
            <w:tcW w:w="1134" w:type="dxa"/>
            <w:vAlign w:val="center"/>
          </w:tcPr>
          <w:p w14:paraId="23CC167D">
            <w:pPr>
              <w:ind w:firstLine="600"/>
              <w:rPr>
                <w:rFonts w:ascii="宋体" w:hAnsi="宋体"/>
                <w:sz w:val="30"/>
                <w:szCs w:val="30"/>
              </w:rPr>
            </w:pPr>
          </w:p>
        </w:tc>
        <w:tc>
          <w:tcPr>
            <w:tcW w:w="1134" w:type="dxa"/>
            <w:vAlign w:val="center"/>
          </w:tcPr>
          <w:p w14:paraId="7861B209">
            <w:pPr>
              <w:ind w:firstLine="600"/>
              <w:rPr>
                <w:rFonts w:ascii="宋体" w:hAnsi="宋体"/>
                <w:sz w:val="30"/>
                <w:szCs w:val="30"/>
              </w:rPr>
            </w:pPr>
          </w:p>
        </w:tc>
        <w:tc>
          <w:tcPr>
            <w:tcW w:w="3896" w:type="dxa"/>
            <w:vAlign w:val="center"/>
          </w:tcPr>
          <w:p w14:paraId="329C259B">
            <w:pPr>
              <w:ind w:firstLine="600"/>
              <w:rPr>
                <w:rFonts w:ascii="宋体" w:hAnsi="宋体"/>
                <w:sz w:val="30"/>
                <w:szCs w:val="30"/>
              </w:rPr>
            </w:pPr>
          </w:p>
        </w:tc>
      </w:tr>
      <w:tr w14:paraId="0BB9B70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505" w:type="dxa"/>
            <w:vMerge w:val="continue"/>
            <w:vAlign w:val="center"/>
          </w:tcPr>
          <w:p w14:paraId="6296C781">
            <w:pPr>
              <w:ind w:firstLine="600"/>
              <w:rPr>
                <w:rFonts w:ascii="宋体" w:hAnsi="宋体"/>
                <w:sz w:val="30"/>
                <w:szCs w:val="30"/>
              </w:rPr>
            </w:pPr>
          </w:p>
        </w:tc>
        <w:tc>
          <w:tcPr>
            <w:tcW w:w="1418" w:type="dxa"/>
            <w:tcBorders>
              <w:bottom w:val="nil"/>
            </w:tcBorders>
            <w:vAlign w:val="center"/>
          </w:tcPr>
          <w:p w14:paraId="3416D12E">
            <w:pPr>
              <w:ind w:firstLine="600"/>
              <w:rPr>
                <w:rFonts w:ascii="宋体" w:hAnsi="宋体"/>
                <w:sz w:val="30"/>
                <w:szCs w:val="30"/>
              </w:rPr>
            </w:pPr>
          </w:p>
        </w:tc>
        <w:tc>
          <w:tcPr>
            <w:tcW w:w="1134" w:type="dxa"/>
            <w:tcBorders>
              <w:bottom w:val="nil"/>
            </w:tcBorders>
            <w:vAlign w:val="center"/>
          </w:tcPr>
          <w:p w14:paraId="182E00A1">
            <w:pPr>
              <w:ind w:firstLine="600"/>
              <w:rPr>
                <w:rFonts w:ascii="宋体" w:hAnsi="宋体"/>
                <w:sz w:val="30"/>
                <w:szCs w:val="30"/>
              </w:rPr>
            </w:pPr>
          </w:p>
        </w:tc>
        <w:tc>
          <w:tcPr>
            <w:tcW w:w="1134" w:type="dxa"/>
            <w:tcBorders>
              <w:bottom w:val="nil"/>
            </w:tcBorders>
            <w:vAlign w:val="center"/>
          </w:tcPr>
          <w:p w14:paraId="3847F605">
            <w:pPr>
              <w:ind w:firstLine="600"/>
              <w:rPr>
                <w:rFonts w:ascii="宋体" w:hAnsi="宋体"/>
                <w:sz w:val="30"/>
                <w:szCs w:val="30"/>
              </w:rPr>
            </w:pPr>
          </w:p>
        </w:tc>
        <w:tc>
          <w:tcPr>
            <w:tcW w:w="3896" w:type="dxa"/>
            <w:tcBorders>
              <w:bottom w:val="nil"/>
            </w:tcBorders>
            <w:vAlign w:val="center"/>
          </w:tcPr>
          <w:p w14:paraId="72C4B502">
            <w:pPr>
              <w:ind w:firstLine="600"/>
              <w:rPr>
                <w:rFonts w:ascii="宋体" w:hAnsi="宋体"/>
                <w:sz w:val="30"/>
                <w:szCs w:val="30"/>
              </w:rPr>
            </w:pPr>
          </w:p>
        </w:tc>
      </w:tr>
      <w:tr w14:paraId="6700AC9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505" w:type="dxa"/>
            <w:vMerge w:val="continue"/>
            <w:vAlign w:val="center"/>
          </w:tcPr>
          <w:p w14:paraId="0B98E6F7">
            <w:pPr>
              <w:ind w:firstLine="600"/>
              <w:rPr>
                <w:rFonts w:ascii="宋体" w:hAnsi="宋体"/>
                <w:sz w:val="30"/>
                <w:szCs w:val="30"/>
              </w:rPr>
            </w:pPr>
          </w:p>
        </w:tc>
        <w:tc>
          <w:tcPr>
            <w:tcW w:w="1418" w:type="dxa"/>
            <w:vAlign w:val="center"/>
          </w:tcPr>
          <w:p w14:paraId="51D481C2">
            <w:pPr>
              <w:ind w:firstLine="600"/>
              <w:rPr>
                <w:rFonts w:ascii="宋体" w:hAnsi="宋体"/>
                <w:sz w:val="30"/>
                <w:szCs w:val="30"/>
              </w:rPr>
            </w:pPr>
          </w:p>
        </w:tc>
        <w:tc>
          <w:tcPr>
            <w:tcW w:w="1134" w:type="dxa"/>
            <w:vAlign w:val="center"/>
          </w:tcPr>
          <w:p w14:paraId="6BD73048">
            <w:pPr>
              <w:ind w:firstLine="600"/>
              <w:rPr>
                <w:rFonts w:ascii="宋体" w:hAnsi="宋体"/>
                <w:sz w:val="30"/>
                <w:szCs w:val="30"/>
              </w:rPr>
            </w:pPr>
          </w:p>
        </w:tc>
        <w:tc>
          <w:tcPr>
            <w:tcW w:w="1134" w:type="dxa"/>
            <w:vAlign w:val="center"/>
          </w:tcPr>
          <w:p w14:paraId="734BC77B">
            <w:pPr>
              <w:ind w:firstLine="600"/>
              <w:rPr>
                <w:rFonts w:ascii="宋体" w:hAnsi="宋体"/>
                <w:sz w:val="30"/>
                <w:szCs w:val="30"/>
              </w:rPr>
            </w:pPr>
          </w:p>
        </w:tc>
        <w:tc>
          <w:tcPr>
            <w:tcW w:w="3896" w:type="dxa"/>
            <w:vAlign w:val="center"/>
          </w:tcPr>
          <w:p w14:paraId="0EA630BB">
            <w:pPr>
              <w:ind w:firstLine="600"/>
              <w:rPr>
                <w:rFonts w:ascii="宋体" w:hAnsi="宋体"/>
                <w:sz w:val="30"/>
                <w:szCs w:val="30"/>
              </w:rPr>
            </w:pPr>
          </w:p>
        </w:tc>
      </w:tr>
      <w:tr w14:paraId="3FBBA0D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505" w:type="dxa"/>
            <w:vMerge w:val="continue"/>
            <w:vAlign w:val="center"/>
          </w:tcPr>
          <w:p w14:paraId="5601202F">
            <w:pPr>
              <w:ind w:firstLine="600"/>
              <w:rPr>
                <w:rFonts w:ascii="宋体" w:hAnsi="宋体"/>
                <w:sz w:val="30"/>
                <w:szCs w:val="30"/>
              </w:rPr>
            </w:pPr>
          </w:p>
        </w:tc>
        <w:tc>
          <w:tcPr>
            <w:tcW w:w="1418" w:type="dxa"/>
            <w:vAlign w:val="center"/>
          </w:tcPr>
          <w:p w14:paraId="6F19D36A">
            <w:pPr>
              <w:ind w:firstLine="600"/>
              <w:rPr>
                <w:rFonts w:ascii="宋体" w:hAnsi="宋体"/>
                <w:sz w:val="30"/>
                <w:szCs w:val="30"/>
              </w:rPr>
            </w:pPr>
          </w:p>
        </w:tc>
        <w:tc>
          <w:tcPr>
            <w:tcW w:w="1134" w:type="dxa"/>
            <w:vAlign w:val="center"/>
          </w:tcPr>
          <w:p w14:paraId="2A01AB5B">
            <w:pPr>
              <w:ind w:firstLine="600"/>
              <w:rPr>
                <w:rFonts w:ascii="宋体" w:hAnsi="宋体"/>
                <w:sz w:val="30"/>
                <w:szCs w:val="30"/>
              </w:rPr>
            </w:pPr>
          </w:p>
        </w:tc>
        <w:tc>
          <w:tcPr>
            <w:tcW w:w="1134" w:type="dxa"/>
            <w:vAlign w:val="center"/>
          </w:tcPr>
          <w:p w14:paraId="10EC7CB1">
            <w:pPr>
              <w:ind w:firstLine="600"/>
              <w:rPr>
                <w:rFonts w:ascii="宋体" w:hAnsi="宋体"/>
                <w:sz w:val="30"/>
                <w:szCs w:val="30"/>
              </w:rPr>
            </w:pPr>
          </w:p>
        </w:tc>
        <w:tc>
          <w:tcPr>
            <w:tcW w:w="3896" w:type="dxa"/>
            <w:vAlign w:val="center"/>
          </w:tcPr>
          <w:p w14:paraId="725B9027">
            <w:pPr>
              <w:ind w:firstLine="600"/>
              <w:rPr>
                <w:rFonts w:ascii="宋体" w:hAnsi="宋体"/>
                <w:sz w:val="30"/>
                <w:szCs w:val="30"/>
              </w:rPr>
            </w:pPr>
          </w:p>
        </w:tc>
      </w:tr>
    </w:tbl>
    <w:p w14:paraId="120F8AC6">
      <w:pPr>
        <w:ind w:firstLine="600"/>
        <w:rPr>
          <w:rFonts w:ascii="宋体" w:hAnsi="宋体"/>
          <w:sz w:val="30"/>
          <w:szCs w:val="30"/>
        </w:rPr>
      </w:pPr>
      <w:r>
        <w:rPr>
          <w:rFonts w:ascii="宋体" w:hAnsi="宋体"/>
          <w:sz w:val="30"/>
          <w:szCs w:val="30"/>
        </w:rPr>
        <w:br w:type="page"/>
      </w:r>
    </w:p>
    <w:p w14:paraId="14494112">
      <w:pPr>
        <w:ind w:firstLine="600"/>
        <w:rPr>
          <w:rFonts w:ascii="宋体" w:hAnsi="宋体"/>
          <w:sz w:val="30"/>
          <w:szCs w:val="30"/>
        </w:rPr>
      </w:pPr>
      <w:bookmarkStart w:id="767" w:name="_Toc54862357"/>
      <w:r>
        <w:rPr>
          <w:rFonts w:hint="eastAsia" w:ascii="宋体" w:hAnsi="宋体"/>
          <w:sz w:val="30"/>
          <w:szCs w:val="30"/>
        </w:rPr>
        <w:t>附件6</w:t>
      </w:r>
      <w:r>
        <w:rPr>
          <w:rFonts w:ascii="宋体" w:hAnsi="宋体"/>
          <w:sz w:val="30"/>
          <w:szCs w:val="30"/>
        </w:rPr>
        <w:t xml:space="preserve"> </w:t>
      </w:r>
      <w:r>
        <w:rPr>
          <w:rFonts w:hint="eastAsia" w:ascii="宋体" w:hAnsi="宋体"/>
          <w:sz w:val="30"/>
          <w:szCs w:val="30"/>
        </w:rPr>
        <w:t>价格指数权重表</w:t>
      </w:r>
      <w:bookmarkEnd w:id="767"/>
    </w:p>
    <w:tbl>
      <w:tblPr>
        <w:tblStyle w:val="4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9"/>
        <w:gridCol w:w="584"/>
        <w:gridCol w:w="876"/>
        <w:gridCol w:w="1215"/>
        <w:gridCol w:w="1080"/>
        <w:gridCol w:w="1215"/>
        <w:gridCol w:w="1230"/>
        <w:gridCol w:w="1380"/>
      </w:tblGrid>
      <w:tr w14:paraId="69139D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trPr>
        <w:tc>
          <w:tcPr>
            <w:tcW w:w="829" w:type="dxa"/>
            <w:vMerge w:val="restart"/>
          </w:tcPr>
          <w:p w14:paraId="3B5B1130">
            <w:pPr>
              <w:rPr>
                <w:rFonts w:ascii="宋体" w:hAnsi="宋体"/>
                <w:sz w:val="30"/>
                <w:szCs w:val="30"/>
              </w:rPr>
            </w:pPr>
            <w:r>
              <w:rPr>
                <w:rFonts w:hint="eastAsia" w:ascii="宋体" w:hAnsi="宋体"/>
                <w:sz w:val="30"/>
                <w:szCs w:val="30"/>
              </w:rPr>
              <w:t>序号</w:t>
            </w:r>
          </w:p>
        </w:tc>
        <w:tc>
          <w:tcPr>
            <w:tcW w:w="1460" w:type="dxa"/>
            <w:gridSpan w:val="2"/>
            <w:vMerge w:val="restart"/>
          </w:tcPr>
          <w:p w14:paraId="34D3AD7B">
            <w:pPr>
              <w:rPr>
                <w:rFonts w:ascii="宋体" w:hAnsi="宋体"/>
                <w:sz w:val="30"/>
                <w:szCs w:val="30"/>
              </w:rPr>
            </w:pPr>
            <w:r>
              <w:rPr>
                <w:rFonts w:hint="eastAsia" w:ascii="宋体" w:hAnsi="宋体"/>
                <w:sz w:val="30"/>
                <w:szCs w:val="30"/>
              </w:rPr>
              <w:t>名称</w:t>
            </w:r>
          </w:p>
        </w:tc>
        <w:tc>
          <w:tcPr>
            <w:tcW w:w="2295" w:type="dxa"/>
            <w:gridSpan w:val="2"/>
          </w:tcPr>
          <w:p w14:paraId="491A38ED">
            <w:pPr>
              <w:rPr>
                <w:rFonts w:ascii="宋体" w:hAnsi="宋体"/>
                <w:sz w:val="30"/>
                <w:szCs w:val="30"/>
              </w:rPr>
            </w:pPr>
            <w:r>
              <w:rPr>
                <w:rFonts w:hint="eastAsia" w:ascii="宋体" w:hAnsi="宋体"/>
                <w:sz w:val="30"/>
                <w:szCs w:val="30"/>
              </w:rPr>
              <w:t>变更权重B</w:t>
            </w:r>
          </w:p>
        </w:tc>
        <w:tc>
          <w:tcPr>
            <w:tcW w:w="2445" w:type="dxa"/>
            <w:gridSpan w:val="2"/>
          </w:tcPr>
          <w:p w14:paraId="034D6ED1">
            <w:pPr>
              <w:rPr>
                <w:rFonts w:ascii="宋体" w:hAnsi="宋体"/>
                <w:sz w:val="30"/>
                <w:szCs w:val="30"/>
              </w:rPr>
            </w:pPr>
            <w:r>
              <w:rPr>
                <w:rFonts w:hint="eastAsia" w:ascii="宋体" w:hAnsi="宋体"/>
                <w:sz w:val="30"/>
                <w:szCs w:val="30"/>
              </w:rPr>
              <w:t>基本价格指数F0</w:t>
            </w:r>
          </w:p>
        </w:tc>
        <w:tc>
          <w:tcPr>
            <w:tcW w:w="1380" w:type="dxa"/>
          </w:tcPr>
          <w:p w14:paraId="4BF10935">
            <w:pPr>
              <w:rPr>
                <w:rFonts w:ascii="宋体" w:hAnsi="宋体"/>
                <w:sz w:val="30"/>
                <w:szCs w:val="30"/>
              </w:rPr>
            </w:pPr>
            <w:r>
              <w:rPr>
                <w:rFonts w:hint="eastAsia" w:ascii="宋体" w:hAnsi="宋体"/>
                <w:sz w:val="30"/>
                <w:szCs w:val="30"/>
              </w:rPr>
              <w:t>备注</w:t>
            </w:r>
          </w:p>
        </w:tc>
      </w:tr>
      <w:tr w14:paraId="1B2D5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829" w:type="dxa"/>
            <w:vMerge w:val="continue"/>
          </w:tcPr>
          <w:p w14:paraId="5AB22E59">
            <w:pPr>
              <w:ind w:firstLine="600"/>
              <w:rPr>
                <w:rFonts w:ascii="宋体" w:hAnsi="宋体"/>
                <w:sz w:val="30"/>
                <w:szCs w:val="30"/>
              </w:rPr>
            </w:pPr>
          </w:p>
        </w:tc>
        <w:tc>
          <w:tcPr>
            <w:tcW w:w="1460" w:type="dxa"/>
            <w:gridSpan w:val="2"/>
            <w:vMerge w:val="continue"/>
          </w:tcPr>
          <w:p w14:paraId="6A3C09F9">
            <w:pPr>
              <w:ind w:firstLine="600"/>
              <w:rPr>
                <w:rFonts w:ascii="宋体" w:hAnsi="宋体"/>
                <w:sz w:val="30"/>
                <w:szCs w:val="30"/>
              </w:rPr>
            </w:pPr>
          </w:p>
        </w:tc>
        <w:tc>
          <w:tcPr>
            <w:tcW w:w="1215" w:type="dxa"/>
          </w:tcPr>
          <w:p w14:paraId="23CD2E8D">
            <w:pPr>
              <w:rPr>
                <w:rFonts w:ascii="宋体" w:hAnsi="宋体"/>
                <w:sz w:val="30"/>
                <w:szCs w:val="30"/>
              </w:rPr>
            </w:pPr>
            <w:r>
              <w:rPr>
                <w:rFonts w:hint="eastAsia" w:ascii="宋体" w:hAnsi="宋体"/>
                <w:sz w:val="30"/>
                <w:szCs w:val="30"/>
              </w:rPr>
              <w:t>代号</w:t>
            </w:r>
          </w:p>
        </w:tc>
        <w:tc>
          <w:tcPr>
            <w:tcW w:w="1080" w:type="dxa"/>
          </w:tcPr>
          <w:p w14:paraId="0323EF3E">
            <w:pPr>
              <w:rPr>
                <w:rFonts w:ascii="宋体" w:hAnsi="宋体"/>
                <w:sz w:val="30"/>
                <w:szCs w:val="30"/>
              </w:rPr>
            </w:pPr>
            <w:r>
              <w:rPr>
                <w:rFonts w:hint="eastAsia" w:ascii="宋体" w:hAnsi="宋体"/>
                <w:sz w:val="30"/>
                <w:szCs w:val="30"/>
              </w:rPr>
              <w:t>权重</w:t>
            </w:r>
          </w:p>
        </w:tc>
        <w:tc>
          <w:tcPr>
            <w:tcW w:w="1215" w:type="dxa"/>
          </w:tcPr>
          <w:p w14:paraId="58327CB7">
            <w:pPr>
              <w:rPr>
                <w:rFonts w:ascii="宋体" w:hAnsi="宋体"/>
                <w:sz w:val="30"/>
                <w:szCs w:val="30"/>
              </w:rPr>
            </w:pPr>
            <w:r>
              <w:rPr>
                <w:rFonts w:hint="eastAsia" w:ascii="宋体" w:hAnsi="宋体"/>
                <w:sz w:val="30"/>
                <w:szCs w:val="30"/>
              </w:rPr>
              <w:t>代号</w:t>
            </w:r>
          </w:p>
        </w:tc>
        <w:tc>
          <w:tcPr>
            <w:tcW w:w="1230" w:type="dxa"/>
          </w:tcPr>
          <w:p w14:paraId="5A19F45F">
            <w:pPr>
              <w:rPr>
                <w:rFonts w:ascii="宋体" w:hAnsi="宋体"/>
                <w:sz w:val="30"/>
                <w:szCs w:val="30"/>
              </w:rPr>
            </w:pPr>
            <w:r>
              <w:rPr>
                <w:rFonts w:hint="eastAsia" w:ascii="宋体" w:hAnsi="宋体"/>
                <w:sz w:val="30"/>
                <w:szCs w:val="30"/>
              </w:rPr>
              <w:t>指数</w:t>
            </w:r>
          </w:p>
        </w:tc>
        <w:tc>
          <w:tcPr>
            <w:tcW w:w="1380" w:type="dxa"/>
          </w:tcPr>
          <w:p w14:paraId="290A6398">
            <w:pPr>
              <w:ind w:firstLine="600"/>
              <w:rPr>
                <w:rFonts w:ascii="宋体" w:hAnsi="宋体"/>
                <w:sz w:val="30"/>
                <w:szCs w:val="30"/>
              </w:rPr>
            </w:pPr>
          </w:p>
        </w:tc>
      </w:tr>
      <w:tr w14:paraId="6E2FBB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tcPr>
          <w:p w14:paraId="5E4A2C01">
            <w:pPr>
              <w:ind w:firstLine="600"/>
              <w:rPr>
                <w:rFonts w:ascii="宋体" w:hAnsi="宋体"/>
                <w:sz w:val="30"/>
                <w:szCs w:val="30"/>
              </w:rPr>
            </w:pPr>
          </w:p>
        </w:tc>
        <w:tc>
          <w:tcPr>
            <w:tcW w:w="584" w:type="dxa"/>
            <w:vMerge w:val="restart"/>
          </w:tcPr>
          <w:p w14:paraId="75B49A34">
            <w:pPr>
              <w:ind w:firstLine="600"/>
              <w:rPr>
                <w:rFonts w:ascii="宋体" w:hAnsi="宋体"/>
                <w:sz w:val="30"/>
                <w:szCs w:val="30"/>
              </w:rPr>
            </w:pPr>
            <w:r>
              <w:rPr>
                <w:rFonts w:hint="eastAsia" w:ascii="宋体" w:hAnsi="宋体"/>
                <w:sz w:val="30"/>
                <w:szCs w:val="30"/>
              </w:rPr>
              <w:t>变</w:t>
            </w:r>
          </w:p>
          <w:p w14:paraId="2E8E413C">
            <w:pPr>
              <w:ind w:firstLine="600"/>
              <w:rPr>
                <w:rFonts w:ascii="宋体" w:hAnsi="宋体"/>
                <w:sz w:val="30"/>
                <w:szCs w:val="30"/>
              </w:rPr>
            </w:pPr>
            <w:r>
              <w:rPr>
                <w:rFonts w:hint="eastAsia" w:ascii="宋体" w:hAnsi="宋体"/>
                <w:sz w:val="30"/>
                <w:szCs w:val="30"/>
              </w:rPr>
              <w:t>值</w:t>
            </w:r>
          </w:p>
          <w:p w14:paraId="0E2EBCD8">
            <w:pPr>
              <w:ind w:firstLine="600"/>
              <w:rPr>
                <w:rFonts w:ascii="宋体" w:hAnsi="宋体"/>
                <w:sz w:val="30"/>
                <w:szCs w:val="30"/>
              </w:rPr>
            </w:pPr>
            <w:r>
              <w:rPr>
                <w:rFonts w:hint="eastAsia" w:ascii="宋体" w:hAnsi="宋体"/>
                <w:sz w:val="30"/>
                <w:szCs w:val="30"/>
              </w:rPr>
              <w:t>部</w:t>
            </w:r>
          </w:p>
          <w:p w14:paraId="3C47377E">
            <w:pPr>
              <w:ind w:firstLine="600"/>
              <w:rPr>
                <w:rFonts w:ascii="宋体" w:hAnsi="宋体"/>
                <w:sz w:val="30"/>
                <w:szCs w:val="30"/>
              </w:rPr>
            </w:pPr>
            <w:r>
              <w:rPr>
                <w:rFonts w:hint="eastAsia" w:ascii="宋体" w:hAnsi="宋体"/>
                <w:sz w:val="30"/>
                <w:szCs w:val="30"/>
              </w:rPr>
              <w:t>分</w:t>
            </w:r>
          </w:p>
        </w:tc>
        <w:tc>
          <w:tcPr>
            <w:tcW w:w="876" w:type="dxa"/>
          </w:tcPr>
          <w:p w14:paraId="617103D6">
            <w:pPr>
              <w:ind w:firstLine="600"/>
              <w:rPr>
                <w:rFonts w:ascii="宋体" w:hAnsi="宋体"/>
                <w:sz w:val="30"/>
                <w:szCs w:val="30"/>
              </w:rPr>
            </w:pPr>
          </w:p>
        </w:tc>
        <w:tc>
          <w:tcPr>
            <w:tcW w:w="1215" w:type="dxa"/>
          </w:tcPr>
          <w:p w14:paraId="5A6069F2">
            <w:pPr>
              <w:ind w:firstLine="600"/>
              <w:rPr>
                <w:rFonts w:ascii="宋体" w:hAnsi="宋体"/>
                <w:sz w:val="30"/>
                <w:szCs w:val="30"/>
              </w:rPr>
            </w:pPr>
            <w:r>
              <w:rPr>
                <w:rFonts w:hint="eastAsia" w:ascii="宋体" w:hAnsi="宋体"/>
                <w:sz w:val="30"/>
                <w:szCs w:val="30"/>
              </w:rPr>
              <w:t>B1</w:t>
            </w:r>
          </w:p>
        </w:tc>
        <w:tc>
          <w:tcPr>
            <w:tcW w:w="1080" w:type="dxa"/>
          </w:tcPr>
          <w:p w14:paraId="0A3D82ED">
            <w:pPr>
              <w:ind w:firstLine="600"/>
              <w:rPr>
                <w:rFonts w:ascii="宋体" w:hAnsi="宋体"/>
                <w:sz w:val="30"/>
                <w:szCs w:val="30"/>
              </w:rPr>
            </w:pPr>
          </w:p>
        </w:tc>
        <w:tc>
          <w:tcPr>
            <w:tcW w:w="1215" w:type="dxa"/>
          </w:tcPr>
          <w:p w14:paraId="6078D50B">
            <w:pPr>
              <w:rPr>
                <w:rFonts w:ascii="宋体" w:hAnsi="宋体"/>
                <w:sz w:val="30"/>
                <w:szCs w:val="30"/>
              </w:rPr>
            </w:pPr>
            <w:r>
              <w:rPr>
                <w:rFonts w:hint="eastAsia" w:ascii="宋体" w:hAnsi="宋体"/>
                <w:sz w:val="30"/>
                <w:szCs w:val="30"/>
              </w:rPr>
              <w:t>F01</w:t>
            </w:r>
          </w:p>
        </w:tc>
        <w:tc>
          <w:tcPr>
            <w:tcW w:w="1230" w:type="dxa"/>
          </w:tcPr>
          <w:p w14:paraId="2112042C">
            <w:pPr>
              <w:ind w:firstLine="600"/>
              <w:rPr>
                <w:rFonts w:ascii="宋体" w:hAnsi="宋体"/>
                <w:sz w:val="30"/>
                <w:szCs w:val="30"/>
              </w:rPr>
            </w:pPr>
          </w:p>
        </w:tc>
        <w:tc>
          <w:tcPr>
            <w:tcW w:w="1380" w:type="dxa"/>
          </w:tcPr>
          <w:p w14:paraId="555F47FB">
            <w:pPr>
              <w:ind w:firstLine="600"/>
              <w:rPr>
                <w:rFonts w:ascii="宋体" w:hAnsi="宋体"/>
                <w:sz w:val="30"/>
                <w:szCs w:val="30"/>
              </w:rPr>
            </w:pPr>
          </w:p>
        </w:tc>
      </w:tr>
      <w:tr w14:paraId="26D376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tcPr>
          <w:p w14:paraId="0F291C8D">
            <w:pPr>
              <w:ind w:firstLine="600"/>
              <w:rPr>
                <w:rFonts w:ascii="宋体" w:hAnsi="宋体"/>
                <w:sz w:val="30"/>
                <w:szCs w:val="30"/>
              </w:rPr>
            </w:pPr>
          </w:p>
        </w:tc>
        <w:tc>
          <w:tcPr>
            <w:tcW w:w="584" w:type="dxa"/>
            <w:vMerge w:val="continue"/>
          </w:tcPr>
          <w:p w14:paraId="18712857">
            <w:pPr>
              <w:ind w:firstLine="600"/>
              <w:rPr>
                <w:rFonts w:ascii="宋体" w:hAnsi="宋体"/>
                <w:sz w:val="30"/>
                <w:szCs w:val="30"/>
              </w:rPr>
            </w:pPr>
          </w:p>
        </w:tc>
        <w:tc>
          <w:tcPr>
            <w:tcW w:w="876" w:type="dxa"/>
          </w:tcPr>
          <w:p w14:paraId="6030EFB5">
            <w:pPr>
              <w:ind w:firstLine="600"/>
              <w:rPr>
                <w:rFonts w:ascii="宋体" w:hAnsi="宋体"/>
                <w:sz w:val="30"/>
                <w:szCs w:val="30"/>
              </w:rPr>
            </w:pPr>
          </w:p>
        </w:tc>
        <w:tc>
          <w:tcPr>
            <w:tcW w:w="1215" w:type="dxa"/>
          </w:tcPr>
          <w:p w14:paraId="1CC081FF">
            <w:pPr>
              <w:ind w:firstLine="600"/>
              <w:rPr>
                <w:rFonts w:ascii="宋体" w:hAnsi="宋体"/>
                <w:sz w:val="30"/>
                <w:szCs w:val="30"/>
              </w:rPr>
            </w:pPr>
            <w:r>
              <w:rPr>
                <w:rFonts w:hint="eastAsia" w:ascii="宋体" w:hAnsi="宋体"/>
                <w:sz w:val="30"/>
                <w:szCs w:val="30"/>
              </w:rPr>
              <w:t>B2</w:t>
            </w:r>
          </w:p>
        </w:tc>
        <w:tc>
          <w:tcPr>
            <w:tcW w:w="1080" w:type="dxa"/>
          </w:tcPr>
          <w:p w14:paraId="734CCCE0">
            <w:pPr>
              <w:ind w:firstLine="600"/>
              <w:rPr>
                <w:rFonts w:ascii="宋体" w:hAnsi="宋体"/>
                <w:sz w:val="30"/>
                <w:szCs w:val="30"/>
              </w:rPr>
            </w:pPr>
          </w:p>
        </w:tc>
        <w:tc>
          <w:tcPr>
            <w:tcW w:w="1215" w:type="dxa"/>
          </w:tcPr>
          <w:p w14:paraId="491030D6">
            <w:pPr>
              <w:rPr>
                <w:rFonts w:ascii="宋体" w:hAnsi="宋体"/>
                <w:sz w:val="30"/>
                <w:szCs w:val="30"/>
              </w:rPr>
            </w:pPr>
            <w:r>
              <w:rPr>
                <w:rFonts w:hint="eastAsia" w:ascii="宋体" w:hAnsi="宋体"/>
                <w:sz w:val="30"/>
                <w:szCs w:val="30"/>
              </w:rPr>
              <w:t>F02</w:t>
            </w:r>
          </w:p>
        </w:tc>
        <w:tc>
          <w:tcPr>
            <w:tcW w:w="1230" w:type="dxa"/>
          </w:tcPr>
          <w:p w14:paraId="436B3E6E">
            <w:pPr>
              <w:ind w:firstLine="600"/>
              <w:rPr>
                <w:rFonts w:ascii="宋体" w:hAnsi="宋体"/>
                <w:sz w:val="30"/>
                <w:szCs w:val="30"/>
              </w:rPr>
            </w:pPr>
          </w:p>
        </w:tc>
        <w:tc>
          <w:tcPr>
            <w:tcW w:w="1380" w:type="dxa"/>
          </w:tcPr>
          <w:p w14:paraId="4BE6DB48">
            <w:pPr>
              <w:ind w:firstLine="600"/>
              <w:rPr>
                <w:rFonts w:ascii="宋体" w:hAnsi="宋体"/>
                <w:sz w:val="30"/>
                <w:szCs w:val="30"/>
              </w:rPr>
            </w:pPr>
          </w:p>
        </w:tc>
      </w:tr>
      <w:tr w14:paraId="143A0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tcPr>
          <w:p w14:paraId="2FF03E49">
            <w:pPr>
              <w:ind w:firstLine="600"/>
              <w:rPr>
                <w:rFonts w:ascii="宋体" w:hAnsi="宋体"/>
                <w:sz w:val="30"/>
                <w:szCs w:val="30"/>
              </w:rPr>
            </w:pPr>
          </w:p>
        </w:tc>
        <w:tc>
          <w:tcPr>
            <w:tcW w:w="584" w:type="dxa"/>
            <w:vMerge w:val="continue"/>
          </w:tcPr>
          <w:p w14:paraId="69C59BB5">
            <w:pPr>
              <w:ind w:firstLine="600"/>
              <w:rPr>
                <w:rFonts w:ascii="宋体" w:hAnsi="宋体"/>
                <w:sz w:val="30"/>
                <w:szCs w:val="30"/>
              </w:rPr>
            </w:pPr>
          </w:p>
        </w:tc>
        <w:tc>
          <w:tcPr>
            <w:tcW w:w="876" w:type="dxa"/>
          </w:tcPr>
          <w:p w14:paraId="2A36DDCB">
            <w:pPr>
              <w:ind w:firstLine="600"/>
              <w:rPr>
                <w:rFonts w:ascii="宋体" w:hAnsi="宋体"/>
                <w:sz w:val="30"/>
                <w:szCs w:val="30"/>
              </w:rPr>
            </w:pPr>
          </w:p>
        </w:tc>
        <w:tc>
          <w:tcPr>
            <w:tcW w:w="1215" w:type="dxa"/>
          </w:tcPr>
          <w:p w14:paraId="54CCF19D">
            <w:pPr>
              <w:ind w:firstLine="600"/>
              <w:rPr>
                <w:rFonts w:ascii="宋体" w:hAnsi="宋体"/>
                <w:sz w:val="30"/>
                <w:szCs w:val="30"/>
              </w:rPr>
            </w:pPr>
            <w:r>
              <w:rPr>
                <w:rFonts w:hint="eastAsia" w:ascii="宋体" w:hAnsi="宋体"/>
                <w:sz w:val="30"/>
                <w:szCs w:val="30"/>
              </w:rPr>
              <w:t>B3</w:t>
            </w:r>
          </w:p>
        </w:tc>
        <w:tc>
          <w:tcPr>
            <w:tcW w:w="1080" w:type="dxa"/>
          </w:tcPr>
          <w:p w14:paraId="76619DDD">
            <w:pPr>
              <w:ind w:firstLine="600"/>
              <w:rPr>
                <w:rFonts w:ascii="宋体" w:hAnsi="宋体"/>
                <w:sz w:val="30"/>
                <w:szCs w:val="30"/>
              </w:rPr>
            </w:pPr>
          </w:p>
        </w:tc>
        <w:tc>
          <w:tcPr>
            <w:tcW w:w="1215" w:type="dxa"/>
          </w:tcPr>
          <w:p w14:paraId="6698D0B5">
            <w:pPr>
              <w:rPr>
                <w:rFonts w:ascii="宋体" w:hAnsi="宋体"/>
                <w:sz w:val="30"/>
                <w:szCs w:val="30"/>
              </w:rPr>
            </w:pPr>
            <w:r>
              <w:rPr>
                <w:rFonts w:hint="eastAsia" w:ascii="宋体" w:hAnsi="宋体"/>
                <w:sz w:val="30"/>
                <w:szCs w:val="30"/>
              </w:rPr>
              <w:t>F03</w:t>
            </w:r>
          </w:p>
        </w:tc>
        <w:tc>
          <w:tcPr>
            <w:tcW w:w="1230" w:type="dxa"/>
          </w:tcPr>
          <w:p w14:paraId="30177AAF">
            <w:pPr>
              <w:ind w:firstLine="600"/>
              <w:rPr>
                <w:rFonts w:ascii="宋体" w:hAnsi="宋体"/>
                <w:sz w:val="30"/>
                <w:szCs w:val="30"/>
              </w:rPr>
            </w:pPr>
          </w:p>
        </w:tc>
        <w:tc>
          <w:tcPr>
            <w:tcW w:w="1380" w:type="dxa"/>
          </w:tcPr>
          <w:p w14:paraId="4B26053C">
            <w:pPr>
              <w:ind w:firstLine="600"/>
              <w:rPr>
                <w:rFonts w:ascii="宋体" w:hAnsi="宋体"/>
                <w:sz w:val="30"/>
                <w:szCs w:val="30"/>
              </w:rPr>
            </w:pPr>
          </w:p>
        </w:tc>
      </w:tr>
      <w:tr w14:paraId="693592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tcPr>
          <w:p w14:paraId="1B34467A">
            <w:pPr>
              <w:ind w:firstLine="600"/>
              <w:rPr>
                <w:rFonts w:ascii="宋体" w:hAnsi="宋体"/>
                <w:sz w:val="30"/>
                <w:szCs w:val="30"/>
              </w:rPr>
            </w:pPr>
          </w:p>
        </w:tc>
        <w:tc>
          <w:tcPr>
            <w:tcW w:w="584" w:type="dxa"/>
            <w:vMerge w:val="continue"/>
          </w:tcPr>
          <w:p w14:paraId="43F3A502">
            <w:pPr>
              <w:ind w:firstLine="600"/>
              <w:rPr>
                <w:rFonts w:ascii="宋体" w:hAnsi="宋体"/>
                <w:sz w:val="30"/>
                <w:szCs w:val="30"/>
              </w:rPr>
            </w:pPr>
          </w:p>
        </w:tc>
        <w:tc>
          <w:tcPr>
            <w:tcW w:w="876" w:type="dxa"/>
          </w:tcPr>
          <w:p w14:paraId="0CF3325E">
            <w:pPr>
              <w:ind w:firstLine="600"/>
              <w:rPr>
                <w:rFonts w:ascii="宋体" w:hAnsi="宋体"/>
                <w:sz w:val="30"/>
                <w:szCs w:val="30"/>
              </w:rPr>
            </w:pPr>
          </w:p>
        </w:tc>
        <w:tc>
          <w:tcPr>
            <w:tcW w:w="1215" w:type="dxa"/>
          </w:tcPr>
          <w:p w14:paraId="1276783B">
            <w:pPr>
              <w:ind w:firstLine="600"/>
              <w:rPr>
                <w:rFonts w:ascii="宋体" w:hAnsi="宋体"/>
                <w:sz w:val="30"/>
                <w:szCs w:val="30"/>
              </w:rPr>
            </w:pPr>
            <w:r>
              <w:rPr>
                <w:rFonts w:hint="eastAsia" w:ascii="宋体" w:hAnsi="宋体"/>
                <w:sz w:val="30"/>
                <w:szCs w:val="30"/>
              </w:rPr>
              <w:t>B4</w:t>
            </w:r>
          </w:p>
        </w:tc>
        <w:tc>
          <w:tcPr>
            <w:tcW w:w="1080" w:type="dxa"/>
          </w:tcPr>
          <w:p w14:paraId="135C32DC">
            <w:pPr>
              <w:ind w:firstLine="600"/>
              <w:rPr>
                <w:rFonts w:ascii="宋体" w:hAnsi="宋体"/>
                <w:sz w:val="30"/>
                <w:szCs w:val="30"/>
              </w:rPr>
            </w:pPr>
          </w:p>
        </w:tc>
        <w:tc>
          <w:tcPr>
            <w:tcW w:w="1215" w:type="dxa"/>
          </w:tcPr>
          <w:p w14:paraId="076A38B4">
            <w:pPr>
              <w:rPr>
                <w:rFonts w:ascii="宋体" w:hAnsi="宋体"/>
                <w:sz w:val="30"/>
                <w:szCs w:val="30"/>
              </w:rPr>
            </w:pPr>
            <w:r>
              <w:rPr>
                <w:rFonts w:hint="eastAsia" w:ascii="宋体" w:hAnsi="宋体"/>
                <w:sz w:val="30"/>
                <w:szCs w:val="30"/>
              </w:rPr>
              <w:t>F04</w:t>
            </w:r>
          </w:p>
        </w:tc>
        <w:tc>
          <w:tcPr>
            <w:tcW w:w="1230" w:type="dxa"/>
          </w:tcPr>
          <w:p w14:paraId="73998759">
            <w:pPr>
              <w:ind w:firstLine="600"/>
              <w:rPr>
                <w:rFonts w:ascii="宋体" w:hAnsi="宋体"/>
                <w:sz w:val="30"/>
                <w:szCs w:val="30"/>
              </w:rPr>
            </w:pPr>
          </w:p>
        </w:tc>
        <w:tc>
          <w:tcPr>
            <w:tcW w:w="1380" w:type="dxa"/>
          </w:tcPr>
          <w:p w14:paraId="78805091">
            <w:pPr>
              <w:ind w:firstLine="600"/>
              <w:rPr>
                <w:rFonts w:ascii="宋体" w:hAnsi="宋体"/>
                <w:sz w:val="30"/>
                <w:szCs w:val="30"/>
              </w:rPr>
            </w:pPr>
          </w:p>
        </w:tc>
      </w:tr>
      <w:tr w14:paraId="13D140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tcPr>
          <w:p w14:paraId="1862B367">
            <w:pPr>
              <w:ind w:firstLine="600"/>
              <w:rPr>
                <w:rFonts w:ascii="宋体" w:hAnsi="宋体"/>
                <w:sz w:val="30"/>
                <w:szCs w:val="30"/>
              </w:rPr>
            </w:pPr>
          </w:p>
        </w:tc>
        <w:tc>
          <w:tcPr>
            <w:tcW w:w="584" w:type="dxa"/>
            <w:vMerge w:val="continue"/>
          </w:tcPr>
          <w:p w14:paraId="54A89A21">
            <w:pPr>
              <w:ind w:firstLine="600"/>
              <w:rPr>
                <w:rFonts w:ascii="宋体" w:hAnsi="宋体"/>
                <w:sz w:val="30"/>
                <w:szCs w:val="30"/>
              </w:rPr>
            </w:pPr>
          </w:p>
        </w:tc>
        <w:tc>
          <w:tcPr>
            <w:tcW w:w="876" w:type="dxa"/>
          </w:tcPr>
          <w:p w14:paraId="720A63F8">
            <w:pPr>
              <w:ind w:firstLine="600"/>
              <w:rPr>
                <w:rFonts w:ascii="宋体" w:hAnsi="宋体"/>
                <w:sz w:val="30"/>
                <w:szCs w:val="30"/>
              </w:rPr>
            </w:pPr>
          </w:p>
        </w:tc>
        <w:tc>
          <w:tcPr>
            <w:tcW w:w="1215" w:type="dxa"/>
          </w:tcPr>
          <w:p w14:paraId="17C7E1C8">
            <w:pPr>
              <w:ind w:firstLine="600"/>
              <w:rPr>
                <w:rFonts w:ascii="宋体" w:hAnsi="宋体"/>
                <w:sz w:val="30"/>
                <w:szCs w:val="30"/>
              </w:rPr>
            </w:pPr>
          </w:p>
        </w:tc>
        <w:tc>
          <w:tcPr>
            <w:tcW w:w="1080" w:type="dxa"/>
          </w:tcPr>
          <w:p w14:paraId="393D8CDB">
            <w:pPr>
              <w:ind w:firstLine="600"/>
              <w:rPr>
                <w:rFonts w:ascii="宋体" w:hAnsi="宋体"/>
                <w:sz w:val="30"/>
                <w:szCs w:val="30"/>
              </w:rPr>
            </w:pPr>
          </w:p>
        </w:tc>
        <w:tc>
          <w:tcPr>
            <w:tcW w:w="1215" w:type="dxa"/>
          </w:tcPr>
          <w:p w14:paraId="26640525">
            <w:pPr>
              <w:ind w:firstLine="600"/>
              <w:rPr>
                <w:rFonts w:ascii="宋体" w:hAnsi="宋体"/>
                <w:sz w:val="30"/>
                <w:szCs w:val="30"/>
              </w:rPr>
            </w:pPr>
          </w:p>
        </w:tc>
        <w:tc>
          <w:tcPr>
            <w:tcW w:w="1230" w:type="dxa"/>
          </w:tcPr>
          <w:p w14:paraId="5418DF6E">
            <w:pPr>
              <w:ind w:firstLine="600"/>
              <w:rPr>
                <w:rFonts w:ascii="宋体" w:hAnsi="宋体"/>
                <w:sz w:val="30"/>
                <w:szCs w:val="30"/>
              </w:rPr>
            </w:pPr>
          </w:p>
        </w:tc>
        <w:tc>
          <w:tcPr>
            <w:tcW w:w="1380" w:type="dxa"/>
          </w:tcPr>
          <w:p w14:paraId="211A19FE">
            <w:pPr>
              <w:ind w:firstLine="600"/>
              <w:rPr>
                <w:rFonts w:ascii="宋体" w:hAnsi="宋体"/>
                <w:sz w:val="30"/>
                <w:szCs w:val="30"/>
              </w:rPr>
            </w:pPr>
          </w:p>
        </w:tc>
      </w:tr>
      <w:tr w14:paraId="2FACF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9" w:type="dxa"/>
          </w:tcPr>
          <w:p w14:paraId="70CA6C42">
            <w:pPr>
              <w:ind w:firstLine="600"/>
              <w:rPr>
                <w:rFonts w:ascii="宋体" w:hAnsi="宋体"/>
                <w:sz w:val="30"/>
                <w:szCs w:val="30"/>
              </w:rPr>
            </w:pPr>
          </w:p>
        </w:tc>
        <w:tc>
          <w:tcPr>
            <w:tcW w:w="584" w:type="dxa"/>
            <w:vMerge w:val="continue"/>
          </w:tcPr>
          <w:p w14:paraId="3C452CA9">
            <w:pPr>
              <w:ind w:firstLine="600"/>
              <w:rPr>
                <w:rFonts w:ascii="宋体" w:hAnsi="宋体"/>
                <w:sz w:val="30"/>
                <w:szCs w:val="30"/>
              </w:rPr>
            </w:pPr>
          </w:p>
        </w:tc>
        <w:tc>
          <w:tcPr>
            <w:tcW w:w="876" w:type="dxa"/>
          </w:tcPr>
          <w:p w14:paraId="6ED99257">
            <w:pPr>
              <w:ind w:firstLine="600"/>
              <w:rPr>
                <w:rFonts w:ascii="宋体" w:hAnsi="宋体"/>
                <w:sz w:val="30"/>
                <w:szCs w:val="30"/>
              </w:rPr>
            </w:pPr>
          </w:p>
        </w:tc>
        <w:tc>
          <w:tcPr>
            <w:tcW w:w="1215" w:type="dxa"/>
          </w:tcPr>
          <w:p w14:paraId="0E0F2C48">
            <w:pPr>
              <w:ind w:firstLine="600"/>
              <w:rPr>
                <w:rFonts w:ascii="宋体" w:hAnsi="宋体"/>
                <w:sz w:val="30"/>
                <w:szCs w:val="30"/>
              </w:rPr>
            </w:pPr>
          </w:p>
        </w:tc>
        <w:tc>
          <w:tcPr>
            <w:tcW w:w="1080" w:type="dxa"/>
          </w:tcPr>
          <w:p w14:paraId="553D64E1">
            <w:pPr>
              <w:ind w:firstLine="600"/>
              <w:rPr>
                <w:rFonts w:ascii="宋体" w:hAnsi="宋体"/>
                <w:sz w:val="30"/>
                <w:szCs w:val="30"/>
              </w:rPr>
            </w:pPr>
          </w:p>
        </w:tc>
        <w:tc>
          <w:tcPr>
            <w:tcW w:w="1215" w:type="dxa"/>
          </w:tcPr>
          <w:p w14:paraId="4B595FD4">
            <w:pPr>
              <w:ind w:firstLine="600"/>
              <w:rPr>
                <w:rFonts w:ascii="宋体" w:hAnsi="宋体"/>
                <w:sz w:val="30"/>
                <w:szCs w:val="30"/>
              </w:rPr>
            </w:pPr>
          </w:p>
        </w:tc>
        <w:tc>
          <w:tcPr>
            <w:tcW w:w="1230" w:type="dxa"/>
          </w:tcPr>
          <w:p w14:paraId="77C70974">
            <w:pPr>
              <w:ind w:firstLine="600"/>
              <w:rPr>
                <w:rFonts w:ascii="宋体" w:hAnsi="宋体"/>
                <w:sz w:val="30"/>
                <w:szCs w:val="30"/>
              </w:rPr>
            </w:pPr>
          </w:p>
        </w:tc>
        <w:tc>
          <w:tcPr>
            <w:tcW w:w="1380" w:type="dxa"/>
          </w:tcPr>
          <w:p w14:paraId="35AEE73E">
            <w:pPr>
              <w:ind w:firstLine="600"/>
              <w:rPr>
                <w:rFonts w:ascii="宋体" w:hAnsi="宋体"/>
                <w:sz w:val="30"/>
                <w:szCs w:val="30"/>
              </w:rPr>
            </w:pPr>
          </w:p>
        </w:tc>
      </w:tr>
      <w:tr w14:paraId="736139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89" w:type="dxa"/>
            <w:gridSpan w:val="3"/>
          </w:tcPr>
          <w:p w14:paraId="1C22DC05">
            <w:pPr>
              <w:rPr>
                <w:rFonts w:ascii="宋体" w:hAnsi="宋体"/>
                <w:sz w:val="30"/>
                <w:szCs w:val="30"/>
              </w:rPr>
            </w:pPr>
            <w:r>
              <w:rPr>
                <w:rFonts w:hint="eastAsia" w:ascii="宋体" w:hAnsi="宋体"/>
                <w:sz w:val="30"/>
                <w:szCs w:val="30"/>
              </w:rPr>
              <w:t>定值部分权重A</w:t>
            </w:r>
          </w:p>
        </w:tc>
        <w:tc>
          <w:tcPr>
            <w:tcW w:w="1215" w:type="dxa"/>
          </w:tcPr>
          <w:p w14:paraId="635D28BB">
            <w:pPr>
              <w:ind w:firstLine="600"/>
              <w:rPr>
                <w:rFonts w:ascii="宋体" w:hAnsi="宋体"/>
                <w:sz w:val="30"/>
                <w:szCs w:val="30"/>
              </w:rPr>
            </w:pPr>
          </w:p>
        </w:tc>
        <w:tc>
          <w:tcPr>
            <w:tcW w:w="1080" w:type="dxa"/>
          </w:tcPr>
          <w:p w14:paraId="61E33420">
            <w:pPr>
              <w:ind w:firstLine="600"/>
              <w:rPr>
                <w:rFonts w:ascii="宋体" w:hAnsi="宋体"/>
                <w:sz w:val="30"/>
                <w:szCs w:val="30"/>
              </w:rPr>
            </w:pPr>
          </w:p>
        </w:tc>
        <w:tc>
          <w:tcPr>
            <w:tcW w:w="1215" w:type="dxa"/>
          </w:tcPr>
          <w:p w14:paraId="199D9D9A">
            <w:pPr>
              <w:ind w:firstLine="600"/>
              <w:rPr>
                <w:rFonts w:ascii="宋体" w:hAnsi="宋体"/>
                <w:sz w:val="30"/>
                <w:szCs w:val="30"/>
              </w:rPr>
            </w:pPr>
          </w:p>
        </w:tc>
        <w:tc>
          <w:tcPr>
            <w:tcW w:w="1230" w:type="dxa"/>
          </w:tcPr>
          <w:p w14:paraId="27B826F6">
            <w:pPr>
              <w:ind w:firstLine="600"/>
              <w:rPr>
                <w:rFonts w:ascii="宋体" w:hAnsi="宋体"/>
                <w:sz w:val="30"/>
                <w:szCs w:val="30"/>
              </w:rPr>
            </w:pPr>
          </w:p>
        </w:tc>
        <w:tc>
          <w:tcPr>
            <w:tcW w:w="1380" w:type="dxa"/>
          </w:tcPr>
          <w:p w14:paraId="694F9505">
            <w:pPr>
              <w:ind w:firstLine="600"/>
              <w:rPr>
                <w:rFonts w:ascii="宋体" w:hAnsi="宋体"/>
                <w:sz w:val="30"/>
                <w:szCs w:val="30"/>
              </w:rPr>
            </w:pPr>
          </w:p>
        </w:tc>
      </w:tr>
      <w:tr w14:paraId="1E71FD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89" w:type="dxa"/>
            <w:gridSpan w:val="3"/>
          </w:tcPr>
          <w:p w14:paraId="29D5F9AF">
            <w:pPr>
              <w:ind w:firstLine="600"/>
              <w:rPr>
                <w:rFonts w:ascii="宋体" w:hAnsi="宋体"/>
                <w:sz w:val="30"/>
                <w:szCs w:val="30"/>
              </w:rPr>
            </w:pPr>
            <w:r>
              <w:rPr>
                <w:rFonts w:hint="eastAsia" w:ascii="宋体" w:hAnsi="宋体"/>
                <w:sz w:val="30"/>
                <w:szCs w:val="30"/>
              </w:rPr>
              <w:t>合计</w:t>
            </w:r>
          </w:p>
        </w:tc>
        <w:tc>
          <w:tcPr>
            <w:tcW w:w="2295" w:type="dxa"/>
            <w:gridSpan w:val="2"/>
          </w:tcPr>
          <w:p w14:paraId="79F7BB07">
            <w:pPr>
              <w:ind w:firstLine="600"/>
              <w:rPr>
                <w:rFonts w:ascii="宋体" w:hAnsi="宋体"/>
                <w:sz w:val="30"/>
                <w:szCs w:val="30"/>
              </w:rPr>
            </w:pPr>
          </w:p>
        </w:tc>
        <w:tc>
          <w:tcPr>
            <w:tcW w:w="2445" w:type="dxa"/>
            <w:gridSpan w:val="2"/>
          </w:tcPr>
          <w:p w14:paraId="23678F6B">
            <w:pPr>
              <w:ind w:firstLine="600"/>
              <w:rPr>
                <w:rFonts w:ascii="宋体" w:hAnsi="宋体"/>
                <w:sz w:val="30"/>
                <w:szCs w:val="30"/>
              </w:rPr>
            </w:pPr>
          </w:p>
        </w:tc>
        <w:tc>
          <w:tcPr>
            <w:tcW w:w="1380" w:type="dxa"/>
          </w:tcPr>
          <w:p w14:paraId="0516E83A">
            <w:pPr>
              <w:ind w:firstLine="600"/>
              <w:rPr>
                <w:rFonts w:ascii="宋体" w:hAnsi="宋体"/>
                <w:sz w:val="30"/>
                <w:szCs w:val="30"/>
              </w:rPr>
            </w:pPr>
          </w:p>
        </w:tc>
      </w:tr>
    </w:tbl>
    <w:p w14:paraId="12331641">
      <w:pPr>
        <w:ind w:firstLine="600"/>
        <w:rPr>
          <w:rFonts w:ascii="宋体" w:hAnsi="宋体"/>
          <w:sz w:val="30"/>
          <w:szCs w:val="30"/>
        </w:rPr>
      </w:pPr>
    </w:p>
    <w:p w14:paraId="4033DB70">
      <w:pPr>
        <w:ind w:firstLine="600"/>
        <w:rPr>
          <w:rFonts w:ascii="宋体" w:hAnsi="宋体"/>
          <w:sz w:val="30"/>
          <w:szCs w:val="30"/>
        </w:rPr>
      </w:pPr>
    </w:p>
    <w:p w14:paraId="0067C8A7">
      <w:pPr>
        <w:ind w:firstLine="600"/>
        <w:rPr>
          <w:rFonts w:ascii="宋体" w:hAnsi="宋体"/>
          <w:sz w:val="30"/>
          <w:szCs w:val="30"/>
        </w:rPr>
      </w:pPr>
    </w:p>
    <w:p w14:paraId="6AF7298C">
      <w:pPr>
        <w:ind w:firstLine="600"/>
        <w:rPr>
          <w:rFonts w:ascii="宋体" w:hAnsi="宋体"/>
          <w:sz w:val="30"/>
          <w:szCs w:val="30"/>
        </w:rPr>
      </w:pPr>
    </w:p>
    <w:p w14:paraId="7FFF4506">
      <w:pPr>
        <w:ind w:firstLine="600"/>
        <w:rPr>
          <w:rFonts w:ascii="宋体" w:hAnsi="宋体"/>
          <w:sz w:val="30"/>
          <w:szCs w:val="30"/>
        </w:rPr>
      </w:pPr>
    </w:p>
    <w:p w14:paraId="34717573">
      <w:pPr>
        <w:ind w:firstLine="600"/>
        <w:rPr>
          <w:rFonts w:ascii="宋体" w:hAnsi="宋体"/>
          <w:sz w:val="30"/>
          <w:szCs w:val="30"/>
        </w:rPr>
      </w:pPr>
    </w:p>
    <w:p w14:paraId="14B20682">
      <w:pPr>
        <w:ind w:firstLine="600"/>
        <w:rPr>
          <w:rFonts w:ascii="宋体" w:hAnsi="宋体"/>
          <w:sz w:val="30"/>
          <w:szCs w:val="30"/>
        </w:rPr>
      </w:pPr>
    </w:p>
    <w:p w14:paraId="4D39E0F9">
      <w:pPr>
        <w:ind w:firstLine="600"/>
        <w:rPr>
          <w:rFonts w:ascii="宋体" w:hAnsi="宋体"/>
          <w:sz w:val="30"/>
          <w:szCs w:val="30"/>
        </w:rPr>
      </w:pPr>
    </w:p>
    <w:p w14:paraId="5AC351E8">
      <w:pPr>
        <w:pStyle w:val="19"/>
      </w:pPr>
    </w:p>
    <w:p w14:paraId="7527BE06">
      <w:pPr>
        <w:pStyle w:val="19"/>
      </w:pPr>
    </w:p>
    <w:p w14:paraId="0870C0B4">
      <w:pPr>
        <w:pStyle w:val="19"/>
      </w:pPr>
    </w:p>
    <w:p w14:paraId="561D53D2">
      <w:pPr>
        <w:pStyle w:val="19"/>
      </w:pPr>
    </w:p>
    <w:p w14:paraId="711142B8">
      <w:pPr>
        <w:pStyle w:val="85"/>
        <w:rPr>
          <w:rStyle w:val="95"/>
          <w:rFonts w:ascii="Times New Roman" w:hAnsi="Times New Roman"/>
        </w:rPr>
      </w:pPr>
    </w:p>
    <w:p w14:paraId="42FF9548">
      <w:pPr>
        <w:pStyle w:val="42"/>
        <w:rPr>
          <w:rStyle w:val="95"/>
          <w:rFonts w:ascii="Times New Roman" w:hAnsi="Times New Roman" w:cs="Times New Roman"/>
        </w:rPr>
      </w:pPr>
    </w:p>
    <w:p w14:paraId="53A24C60">
      <w:pPr>
        <w:pStyle w:val="42"/>
        <w:rPr>
          <w:rStyle w:val="95"/>
          <w:rFonts w:ascii="Times New Roman" w:hAnsi="Times New Roman" w:cs="Times New Roman"/>
          <w:sz w:val="44"/>
          <w:szCs w:val="44"/>
        </w:rPr>
      </w:pPr>
    </w:p>
    <w:p w14:paraId="3EC2295F">
      <w:pPr>
        <w:pStyle w:val="42"/>
        <w:rPr>
          <w:rStyle w:val="95"/>
          <w:rFonts w:ascii="Times New Roman" w:hAnsi="Times New Roman" w:cs="Times New Roman"/>
          <w:sz w:val="44"/>
          <w:szCs w:val="44"/>
        </w:rPr>
      </w:pPr>
    </w:p>
    <w:p w14:paraId="3BBB120E">
      <w:pPr>
        <w:pStyle w:val="42"/>
        <w:rPr>
          <w:rStyle w:val="95"/>
          <w:rFonts w:ascii="Times New Roman" w:hAnsi="Times New Roman" w:cs="Times New Roman"/>
          <w:sz w:val="44"/>
          <w:szCs w:val="44"/>
        </w:rPr>
      </w:pPr>
    </w:p>
    <w:p w14:paraId="530AAA70">
      <w:pPr>
        <w:pStyle w:val="42"/>
        <w:rPr>
          <w:rStyle w:val="95"/>
          <w:rFonts w:ascii="Times New Roman" w:hAnsi="Times New Roman" w:cs="Times New Roman"/>
          <w:sz w:val="44"/>
          <w:szCs w:val="44"/>
        </w:rPr>
      </w:pPr>
      <w:r>
        <w:rPr>
          <w:rStyle w:val="95"/>
          <w:rFonts w:hint="eastAsia" w:ascii="Times New Roman" w:hAnsi="Times New Roman" w:cs="Times New Roman"/>
          <w:sz w:val="44"/>
          <w:szCs w:val="44"/>
        </w:rPr>
        <w:t>第五章</w:t>
      </w:r>
      <w:r>
        <w:rPr>
          <w:rStyle w:val="95"/>
          <w:rFonts w:ascii="Times New Roman" w:hAnsi="Times New Roman" w:cs="Times New Roman"/>
          <w:sz w:val="44"/>
          <w:szCs w:val="44"/>
        </w:rPr>
        <w:t xml:space="preserve">  </w:t>
      </w:r>
      <w:r>
        <w:rPr>
          <w:rStyle w:val="95"/>
          <w:rFonts w:hint="eastAsia" w:ascii="Times New Roman" w:hAnsi="Times New Roman" w:cs="Times New Roman"/>
          <w:sz w:val="44"/>
          <w:szCs w:val="44"/>
        </w:rPr>
        <w:t>投标文件格式</w:t>
      </w:r>
    </w:p>
    <w:p w14:paraId="3CA9E2FD">
      <w:pPr>
        <w:pStyle w:val="19"/>
      </w:pPr>
    </w:p>
    <w:p w14:paraId="49F70D47">
      <w:pPr>
        <w:pStyle w:val="19"/>
      </w:pPr>
    </w:p>
    <w:p w14:paraId="7EEB38CB">
      <w:pPr>
        <w:jc w:val="center"/>
        <w:rPr>
          <w:rFonts w:ascii="宋体"/>
          <w:sz w:val="28"/>
          <w:szCs w:val="28"/>
        </w:rPr>
      </w:pPr>
      <w:r>
        <w:rPr>
          <w:rFonts w:ascii="黑体" w:eastAsia="黑体"/>
          <w:sz w:val="32"/>
          <w:szCs w:val="32"/>
          <w:u w:val="single"/>
        </w:rPr>
        <w:t xml:space="preserve">             </w:t>
      </w:r>
      <w:r>
        <w:rPr>
          <w:rFonts w:hint="eastAsia" w:ascii="宋体" w:hAnsi="宋体"/>
          <w:sz w:val="28"/>
          <w:szCs w:val="28"/>
        </w:rPr>
        <w:t>（工程总承包〈标段〉名称）</w:t>
      </w:r>
    </w:p>
    <w:p w14:paraId="67D0EABE">
      <w:pPr>
        <w:rPr>
          <w:sz w:val="30"/>
          <w:szCs w:val="30"/>
        </w:rPr>
      </w:pPr>
    </w:p>
    <w:p w14:paraId="05EAB2E3">
      <w:pPr>
        <w:spacing w:before="311" w:beforeLines="100"/>
        <w:jc w:val="center"/>
        <w:rPr>
          <w:rFonts w:ascii="黑体" w:eastAsia="黑体"/>
          <w:sz w:val="52"/>
          <w:szCs w:val="52"/>
        </w:rPr>
      </w:pPr>
    </w:p>
    <w:p w14:paraId="2607EAB1">
      <w:pPr>
        <w:pStyle w:val="19"/>
      </w:pPr>
    </w:p>
    <w:p w14:paraId="4398912E">
      <w:pPr>
        <w:pStyle w:val="19"/>
      </w:pPr>
    </w:p>
    <w:p w14:paraId="57C02690">
      <w:pPr>
        <w:spacing w:before="311" w:beforeLines="100"/>
        <w:jc w:val="center"/>
        <w:rPr>
          <w:rFonts w:ascii="黑体" w:eastAsia="黑体"/>
          <w:sz w:val="52"/>
          <w:szCs w:val="52"/>
        </w:rPr>
      </w:pPr>
      <w:r>
        <w:rPr>
          <w:rFonts w:hint="eastAsia" w:ascii="黑体" w:eastAsia="黑体"/>
          <w:sz w:val="52"/>
          <w:szCs w:val="52"/>
        </w:rPr>
        <w:t>投</w:t>
      </w:r>
      <w:r>
        <w:rPr>
          <w:rFonts w:ascii="黑体" w:eastAsia="黑体"/>
          <w:sz w:val="52"/>
          <w:szCs w:val="52"/>
        </w:rPr>
        <w:t xml:space="preserve">  </w:t>
      </w:r>
      <w:r>
        <w:rPr>
          <w:rFonts w:hint="eastAsia" w:ascii="黑体" w:eastAsia="黑体"/>
          <w:sz w:val="52"/>
          <w:szCs w:val="52"/>
        </w:rPr>
        <w:t>标</w:t>
      </w:r>
      <w:r>
        <w:rPr>
          <w:rFonts w:ascii="黑体" w:eastAsia="黑体"/>
          <w:sz w:val="52"/>
          <w:szCs w:val="52"/>
        </w:rPr>
        <w:t xml:space="preserve">  </w:t>
      </w:r>
      <w:r>
        <w:rPr>
          <w:rFonts w:hint="eastAsia" w:ascii="黑体" w:eastAsia="黑体"/>
          <w:sz w:val="52"/>
          <w:szCs w:val="52"/>
        </w:rPr>
        <w:t>文</w:t>
      </w:r>
      <w:r>
        <w:rPr>
          <w:rFonts w:ascii="黑体" w:eastAsia="黑体"/>
          <w:sz w:val="52"/>
          <w:szCs w:val="52"/>
        </w:rPr>
        <w:t xml:space="preserve">  </w:t>
      </w:r>
      <w:r>
        <w:rPr>
          <w:rFonts w:hint="eastAsia" w:ascii="黑体" w:eastAsia="黑体"/>
          <w:sz w:val="52"/>
          <w:szCs w:val="52"/>
        </w:rPr>
        <w:t>件</w:t>
      </w:r>
    </w:p>
    <w:p w14:paraId="23927DC7">
      <w:pPr>
        <w:rPr>
          <w:rFonts w:ascii="宋体"/>
          <w:sz w:val="52"/>
          <w:szCs w:val="52"/>
        </w:rPr>
      </w:pPr>
      <w:r>
        <w:rPr>
          <w:rFonts w:ascii="黑体" w:eastAsia="黑体"/>
          <w:sz w:val="52"/>
          <w:szCs w:val="52"/>
        </w:rPr>
        <w:t xml:space="preserve">         </w:t>
      </w:r>
      <w:r>
        <w:rPr>
          <w:rFonts w:ascii="宋体" w:hAnsi="宋体"/>
          <w:sz w:val="52"/>
          <w:szCs w:val="52"/>
        </w:rPr>
        <w:t xml:space="preserve"> </w:t>
      </w:r>
    </w:p>
    <w:p w14:paraId="4009471A">
      <w:pPr>
        <w:pStyle w:val="19"/>
      </w:pPr>
    </w:p>
    <w:p w14:paraId="795FC959">
      <w:pPr>
        <w:ind w:firstLine="2880" w:firstLineChars="900"/>
        <w:rPr>
          <w:rFonts w:ascii="黑体" w:eastAsia="黑体"/>
          <w:sz w:val="32"/>
          <w:szCs w:val="32"/>
          <w:u w:val="single"/>
        </w:rPr>
      </w:pPr>
      <w:r>
        <w:rPr>
          <w:rFonts w:hint="eastAsia" w:ascii="黑体" w:eastAsia="黑体"/>
          <w:sz w:val="32"/>
          <w:szCs w:val="32"/>
        </w:rPr>
        <w:t>编号：</w:t>
      </w:r>
      <w:r>
        <w:rPr>
          <w:rFonts w:ascii="黑体" w:eastAsia="黑体"/>
          <w:sz w:val="32"/>
          <w:szCs w:val="32"/>
          <w:u w:val="single"/>
        </w:rPr>
        <w:t xml:space="preserve">           </w:t>
      </w:r>
    </w:p>
    <w:p w14:paraId="637F4A81">
      <w:pPr>
        <w:jc w:val="center"/>
        <w:rPr>
          <w:rFonts w:ascii="黑体" w:eastAsia="黑体"/>
          <w:sz w:val="32"/>
          <w:szCs w:val="32"/>
        </w:rPr>
      </w:pPr>
    </w:p>
    <w:p w14:paraId="0973BBC7">
      <w:pPr>
        <w:jc w:val="center"/>
        <w:rPr>
          <w:rFonts w:ascii="黑体" w:eastAsia="黑体"/>
          <w:sz w:val="32"/>
          <w:szCs w:val="32"/>
        </w:rPr>
      </w:pPr>
    </w:p>
    <w:p w14:paraId="469EA7D5">
      <w:pPr>
        <w:jc w:val="center"/>
        <w:rPr>
          <w:rFonts w:ascii="黑体" w:eastAsia="黑体"/>
          <w:sz w:val="32"/>
          <w:szCs w:val="32"/>
        </w:rPr>
      </w:pPr>
    </w:p>
    <w:p w14:paraId="098CFC95">
      <w:pPr>
        <w:jc w:val="center"/>
        <w:rPr>
          <w:rFonts w:ascii="黑体" w:eastAsia="黑体"/>
          <w:sz w:val="32"/>
          <w:szCs w:val="32"/>
        </w:rPr>
      </w:pPr>
    </w:p>
    <w:p w14:paraId="23F1C3CB">
      <w:pPr>
        <w:jc w:val="center"/>
        <w:rPr>
          <w:rFonts w:ascii="黑体" w:eastAsia="黑体"/>
          <w:sz w:val="32"/>
          <w:szCs w:val="32"/>
        </w:rPr>
      </w:pPr>
    </w:p>
    <w:p w14:paraId="0AC84ACF">
      <w:pPr>
        <w:pStyle w:val="19"/>
      </w:pPr>
    </w:p>
    <w:p w14:paraId="5DBBD31E">
      <w:pPr>
        <w:pStyle w:val="19"/>
      </w:pPr>
    </w:p>
    <w:p w14:paraId="4DCD5DBC">
      <w:pPr>
        <w:pStyle w:val="19"/>
      </w:pPr>
    </w:p>
    <w:p w14:paraId="33BDA469">
      <w:pPr>
        <w:pStyle w:val="19"/>
      </w:pPr>
    </w:p>
    <w:p w14:paraId="0D17EC5F">
      <w:pPr>
        <w:pStyle w:val="19"/>
      </w:pPr>
    </w:p>
    <w:p w14:paraId="7AE2F8E2">
      <w:pPr>
        <w:rPr>
          <w:rFonts w:ascii="黑体" w:eastAsia="黑体"/>
          <w:sz w:val="32"/>
          <w:szCs w:val="32"/>
        </w:rPr>
      </w:pPr>
    </w:p>
    <w:p w14:paraId="098C328C">
      <w:pPr>
        <w:spacing w:line="360" w:lineRule="auto"/>
        <w:jc w:val="center"/>
        <w:rPr>
          <w:rFonts w:ascii="黑体" w:eastAsia="黑体"/>
          <w:sz w:val="28"/>
          <w:szCs w:val="28"/>
        </w:rPr>
      </w:pPr>
      <w:r>
        <w:rPr>
          <w:rFonts w:hint="eastAsia" w:ascii="黑体" w:eastAsia="黑体"/>
          <w:sz w:val="28"/>
          <w:szCs w:val="28"/>
        </w:rPr>
        <w:t>投标人：</w:t>
      </w:r>
      <w:r>
        <w:rPr>
          <w:rFonts w:ascii="黑体" w:eastAsia="黑体"/>
          <w:sz w:val="28"/>
          <w:szCs w:val="28"/>
          <w:u w:val="single"/>
        </w:rPr>
        <w:t xml:space="preserve">                               </w:t>
      </w:r>
      <w:r>
        <w:rPr>
          <w:rFonts w:hint="eastAsia" w:ascii="黑体" w:eastAsia="黑体"/>
          <w:sz w:val="28"/>
          <w:szCs w:val="28"/>
        </w:rPr>
        <w:t>（盖单位章）</w:t>
      </w:r>
    </w:p>
    <w:p w14:paraId="073D1018">
      <w:pPr>
        <w:spacing w:line="360" w:lineRule="auto"/>
        <w:jc w:val="center"/>
        <w:rPr>
          <w:rFonts w:ascii="黑体" w:eastAsia="黑体"/>
          <w:sz w:val="28"/>
          <w:szCs w:val="28"/>
        </w:rPr>
      </w:pPr>
    </w:p>
    <w:p w14:paraId="77C3159E">
      <w:pPr>
        <w:spacing w:line="360" w:lineRule="auto"/>
        <w:jc w:val="center"/>
        <w:rPr>
          <w:rFonts w:ascii="黑体" w:eastAsia="黑体"/>
          <w:sz w:val="28"/>
          <w:szCs w:val="28"/>
        </w:rPr>
      </w:pPr>
      <w:r>
        <w:rPr>
          <w:rFonts w:hint="eastAsia" w:ascii="黑体" w:eastAsia="黑体"/>
          <w:sz w:val="28"/>
          <w:szCs w:val="28"/>
        </w:rPr>
        <w:t>法定代表人或其委托代理人：</w:t>
      </w:r>
      <w:r>
        <w:rPr>
          <w:rFonts w:ascii="黑体" w:eastAsia="黑体"/>
          <w:sz w:val="28"/>
          <w:szCs w:val="28"/>
          <w:u w:val="single"/>
        </w:rPr>
        <w:t xml:space="preserve">                 </w:t>
      </w:r>
      <w:r>
        <w:rPr>
          <w:rFonts w:hint="eastAsia" w:ascii="黑体" w:eastAsia="黑体"/>
          <w:sz w:val="28"/>
          <w:szCs w:val="28"/>
        </w:rPr>
        <w:t>（签字）</w:t>
      </w:r>
    </w:p>
    <w:p w14:paraId="47887AC6">
      <w:pPr>
        <w:jc w:val="center"/>
        <w:rPr>
          <w:rFonts w:ascii="黑体" w:eastAsia="黑体"/>
          <w:sz w:val="28"/>
          <w:szCs w:val="28"/>
        </w:rPr>
      </w:pPr>
    </w:p>
    <w:p w14:paraId="6310BAD7">
      <w:pPr>
        <w:jc w:val="center"/>
        <w:rPr>
          <w:rFonts w:ascii="黑体" w:eastAsia="黑体"/>
          <w:sz w:val="28"/>
          <w:szCs w:val="28"/>
        </w:rPr>
      </w:pPr>
    </w:p>
    <w:p w14:paraId="72BA0F02">
      <w:pPr>
        <w:ind w:firstLine="1960" w:firstLineChars="700"/>
        <w:rPr>
          <w:rStyle w:val="95"/>
        </w:rPr>
      </w:pPr>
      <w:r>
        <w:rPr>
          <w:rFonts w:ascii="黑体" w:eastAsia="黑体"/>
          <w:sz w:val="28"/>
          <w:szCs w:val="28"/>
          <w:u w:val="single"/>
        </w:rPr>
        <w:t xml:space="preserve">         </w:t>
      </w:r>
      <w:r>
        <w:rPr>
          <w:rFonts w:hint="eastAsia" w:ascii="黑体" w:eastAsia="黑体"/>
          <w:sz w:val="28"/>
          <w:szCs w:val="28"/>
        </w:rPr>
        <w:t>年</w:t>
      </w:r>
      <w:r>
        <w:rPr>
          <w:rFonts w:ascii="黑体" w:eastAsia="黑体"/>
          <w:sz w:val="28"/>
          <w:szCs w:val="28"/>
          <w:u w:val="single"/>
        </w:rPr>
        <w:t xml:space="preserve">         </w:t>
      </w:r>
      <w:r>
        <w:rPr>
          <w:rFonts w:hint="eastAsia" w:ascii="黑体" w:eastAsia="黑体"/>
          <w:sz w:val="28"/>
          <w:szCs w:val="28"/>
        </w:rPr>
        <w:t>月</w:t>
      </w:r>
      <w:r>
        <w:rPr>
          <w:rFonts w:ascii="黑体" w:eastAsia="黑体"/>
          <w:sz w:val="28"/>
          <w:szCs w:val="28"/>
          <w:u w:val="single"/>
        </w:rPr>
        <w:t xml:space="preserve">         </w:t>
      </w:r>
      <w:r>
        <w:rPr>
          <w:rFonts w:hint="eastAsia" w:ascii="黑体" w:eastAsia="黑体"/>
          <w:sz w:val="28"/>
          <w:szCs w:val="28"/>
        </w:rPr>
        <w:t>日</w:t>
      </w:r>
    </w:p>
    <w:p w14:paraId="3E662758">
      <w:pPr>
        <w:rPr>
          <w:rStyle w:val="95"/>
        </w:rPr>
      </w:pPr>
    </w:p>
    <w:p w14:paraId="638FF615">
      <w:pPr>
        <w:rPr>
          <w:rStyle w:val="95"/>
        </w:rPr>
      </w:pPr>
    </w:p>
    <w:p w14:paraId="6FDA708D">
      <w:pPr>
        <w:rPr>
          <w:rStyle w:val="95"/>
        </w:rPr>
      </w:pPr>
    </w:p>
    <w:p w14:paraId="606ABCC3">
      <w:pPr>
        <w:rPr>
          <w:rStyle w:val="95"/>
        </w:rPr>
      </w:pPr>
    </w:p>
    <w:p w14:paraId="1A427206">
      <w:pPr>
        <w:rPr>
          <w:rStyle w:val="95"/>
        </w:rPr>
      </w:pPr>
    </w:p>
    <w:p w14:paraId="5D2FD651">
      <w:pPr>
        <w:rPr>
          <w:rStyle w:val="95"/>
        </w:rPr>
      </w:pPr>
    </w:p>
    <w:p w14:paraId="5E6C4CC0">
      <w:pPr>
        <w:rPr>
          <w:rStyle w:val="95"/>
        </w:rPr>
      </w:pPr>
    </w:p>
    <w:p w14:paraId="1DB09A9E">
      <w:pPr>
        <w:rPr>
          <w:rStyle w:val="95"/>
        </w:rPr>
      </w:pPr>
    </w:p>
    <w:p w14:paraId="3F234797">
      <w:pPr>
        <w:rPr>
          <w:rStyle w:val="95"/>
        </w:rPr>
      </w:pPr>
    </w:p>
    <w:p w14:paraId="02CE9EAF">
      <w:pPr>
        <w:rPr>
          <w:rStyle w:val="95"/>
        </w:rPr>
      </w:pPr>
    </w:p>
    <w:p w14:paraId="4D844EC6">
      <w:pPr>
        <w:pStyle w:val="182"/>
        <w:ind w:firstLine="480"/>
        <w:rPr>
          <w:rStyle w:val="95"/>
          <w:rFonts w:eastAsia="宋体"/>
        </w:rPr>
      </w:pPr>
    </w:p>
    <w:p w14:paraId="47545C86">
      <w:pPr>
        <w:pStyle w:val="183"/>
        <w:rPr>
          <w:rStyle w:val="95"/>
          <w:rFonts w:ascii="Times New Roman" w:hAnsi="Times New Roman"/>
        </w:rPr>
      </w:pPr>
    </w:p>
    <w:p w14:paraId="16A03E1A">
      <w:pPr>
        <w:pStyle w:val="183"/>
        <w:rPr>
          <w:rStyle w:val="95"/>
          <w:rFonts w:ascii="Times New Roman" w:hAnsi="Times New Roman"/>
        </w:rPr>
      </w:pPr>
    </w:p>
    <w:p w14:paraId="3D52AD52">
      <w:pPr>
        <w:pStyle w:val="183"/>
        <w:rPr>
          <w:rStyle w:val="95"/>
          <w:rFonts w:ascii="Times New Roman" w:hAnsi="Times New Roman"/>
        </w:rPr>
      </w:pPr>
    </w:p>
    <w:p w14:paraId="2FB92447">
      <w:pPr>
        <w:pStyle w:val="183"/>
        <w:rPr>
          <w:rStyle w:val="95"/>
          <w:rFonts w:ascii="Times New Roman" w:hAnsi="Times New Roman"/>
        </w:rPr>
      </w:pPr>
    </w:p>
    <w:p w14:paraId="00395544">
      <w:pPr>
        <w:pStyle w:val="183"/>
        <w:rPr>
          <w:rStyle w:val="95"/>
          <w:rFonts w:ascii="Times New Roman" w:hAnsi="Times New Roman"/>
        </w:rPr>
      </w:pPr>
    </w:p>
    <w:p w14:paraId="76B8AB04">
      <w:pPr>
        <w:pStyle w:val="183"/>
        <w:rPr>
          <w:rStyle w:val="95"/>
          <w:rFonts w:ascii="Times New Roman" w:hAnsi="Times New Roman"/>
        </w:rPr>
      </w:pPr>
    </w:p>
    <w:p w14:paraId="0D71BCC8">
      <w:pPr>
        <w:pStyle w:val="183"/>
        <w:rPr>
          <w:rStyle w:val="95"/>
          <w:rFonts w:ascii="Times New Roman" w:hAnsi="Times New Roman"/>
        </w:rPr>
      </w:pPr>
    </w:p>
    <w:p w14:paraId="5E42DD62">
      <w:pPr>
        <w:pStyle w:val="183"/>
        <w:rPr>
          <w:rStyle w:val="95"/>
          <w:rFonts w:ascii="Times New Roman" w:hAnsi="Times New Roman"/>
        </w:rPr>
      </w:pPr>
    </w:p>
    <w:p w14:paraId="439C754E">
      <w:pPr>
        <w:pStyle w:val="182"/>
        <w:ind w:firstLine="480"/>
        <w:rPr>
          <w:rStyle w:val="95"/>
          <w:rFonts w:eastAsia="宋体"/>
        </w:rPr>
      </w:pPr>
    </w:p>
    <w:p w14:paraId="485C2D5E">
      <w:pPr>
        <w:pStyle w:val="183"/>
        <w:rPr>
          <w:rFonts w:ascii="Times New Roman" w:hAnsi="Times New Roman"/>
        </w:rPr>
      </w:pPr>
    </w:p>
    <w:p w14:paraId="1C5360EC">
      <w:pPr>
        <w:pStyle w:val="182"/>
        <w:ind w:firstLine="480"/>
        <w:rPr>
          <w:rStyle w:val="95"/>
          <w:rFonts w:eastAsia="宋体"/>
        </w:rPr>
      </w:pPr>
    </w:p>
    <w:p w14:paraId="2703E89F">
      <w:pPr>
        <w:pStyle w:val="182"/>
        <w:ind w:firstLine="480"/>
        <w:rPr>
          <w:rStyle w:val="95"/>
          <w:rFonts w:eastAsia="宋体"/>
        </w:rPr>
      </w:pPr>
    </w:p>
    <w:p w14:paraId="3B684765">
      <w:pPr>
        <w:pStyle w:val="182"/>
        <w:ind w:firstLine="480"/>
        <w:rPr>
          <w:rStyle w:val="95"/>
          <w:rFonts w:eastAsia="宋体"/>
        </w:rPr>
      </w:pPr>
    </w:p>
    <w:p w14:paraId="7EF7978B">
      <w:pPr>
        <w:pStyle w:val="183"/>
      </w:pPr>
    </w:p>
    <w:p w14:paraId="781ECA94">
      <w:pPr>
        <w:pStyle w:val="183"/>
      </w:pPr>
    </w:p>
    <w:p w14:paraId="7B31735D">
      <w:pPr>
        <w:pStyle w:val="183"/>
      </w:pPr>
    </w:p>
    <w:p w14:paraId="497995F4">
      <w:pPr>
        <w:pStyle w:val="86"/>
        <w:spacing w:before="155" w:beforeLines="50"/>
        <w:rPr>
          <w:rStyle w:val="95"/>
          <w:rFonts w:ascii="Times New Roman" w:hAnsi="Times New Roman"/>
          <w:b/>
          <w:sz w:val="36"/>
          <w:szCs w:val="36"/>
        </w:rPr>
      </w:pPr>
      <w:r>
        <w:rPr>
          <w:rStyle w:val="95"/>
          <w:rFonts w:hint="eastAsia" w:ascii="Times New Roman" w:hAnsi="Times New Roman"/>
          <w:b/>
          <w:sz w:val="36"/>
          <w:szCs w:val="36"/>
        </w:rPr>
        <w:t>第一节</w:t>
      </w:r>
      <w:r>
        <w:rPr>
          <w:rStyle w:val="95"/>
          <w:rFonts w:ascii="Times New Roman" w:hAnsi="Times New Roman"/>
          <w:b/>
          <w:sz w:val="36"/>
          <w:szCs w:val="36"/>
        </w:rPr>
        <w:t xml:space="preserve"> </w:t>
      </w:r>
      <w:r>
        <w:rPr>
          <w:rStyle w:val="95"/>
          <w:rFonts w:hint="eastAsia" w:ascii="Times New Roman" w:hAnsi="Times New Roman"/>
          <w:b/>
          <w:sz w:val="36"/>
          <w:szCs w:val="36"/>
        </w:rPr>
        <w:t>投标函文件</w:t>
      </w:r>
    </w:p>
    <w:p w14:paraId="07C31A20">
      <w:pPr>
        <w:pStyle w:val="608"/>
        <w:spacing w:line="400" w:lineRule="exact"/>
        <w:jc w:val="center"/>
        <w:rPr>
          <w:rStyle w:val="95"/>
          <w:rFonts w:ascii="Times New Roman" w:hAnsi="Times New Roman"/>
        </w:rPr>
      </w:pPr>
      <w:r>
        <w:rPr>
          <w:rStyle w:val="95"/>
          <w:rFonts w:ascii="Times New Roman" w:hAnsi="Times New Roman"/>
        </w:rPr>
        <w:br w:type="page"/>
      </w:r>
    </w:p>
    <w:p w14:paraId="6A6D697C">
      <w:pPr>
        <w:pStyle w:val="608"/>
        <w:spacing w:line="400" w:lineRule="exact"/>
        <w:ind w:firstLine="3373" w:firstLineChars="1200"/>
        <w:jc w:val="both"/>
        <w:rPr>
          <w:rStyle w:val="95"/>
          <w:rFonts w:ascii="Times New Roman" w:hAnsi="Times New Roman"/>
          <w:sz w:val="28"/>
          <w:szCs w:val="28"/>
        </w:rPr>
      </w:pPr>
      <w:r>
        <w:rPr>
          <w:rStyle w:val="95"/>
          <w:rFonts w:hint="eastAsia" w:ascii="Times New Roman" w:hAnsi="Times New Roman"/>
          <w:b/>
          <w:sz w:val="28"/>
          <w:szCs w:val="28"/>
          <w:lang w:eastAsia="zh-CN"/>
        </w:rPr>
        <w:t>一</w:t>
      </w:r>
      <w:r>
        <w:rPr>
          <w:rStyle w:val="95"/>
          <w:rFonts w:hint="eastAsia" w:ascii="Times New Roman" w:hAnsi="Times New Roman"/>
          <w:b/>
          <w:sz w:val="28"/>
          <w:szCs w:val="28"/>
        </w:rPr>
        <w:t>、投标函</w:t>
      </w:r>
    </w:p>
    <w:p w14:paraId="72EC3471">
      <w:pPr>
        <w:spacing w:line="400" w:lineRule="exact"/>
        <w:rPr>
          <w:rStyle w:val="95"/>
          <w:szCs w:val="21"/>
        </w:rPr>
      </w:pPr>
      <w:r>
        <w:rPr>
          <w:rStyle w:val="95"/>
          <w:rFonts w:hint="eastAsia"/>
          <w:szCs w:val="21"/>
        </w:rPr>
        <w:t>（招标人名称）</w:t>
      </w:r>
      <w:r>
        <w:rPr>
          <w:rStyle w:val="95"/>
          <w:szCs w:val="21"/>
          <w:u w:val="single"/>
        </w:rPr>
        <w:t xml:space="preserve">             </w:t>
      </w:r>
      <w:r>
        <w:rPr>
          <w:rStyle w:val="95"/>
          <w:rFonts w:hint="eastAsia"/>
          <w:szCs w:val="21"/>
        </w:rPr>
        <w:t>：</w:t>
      </w:r>
    </w:p>
    <w:p w14:paraId="736F4C01">
      <w:pPr>
        <w:numPr>
          <w:ilvl w:val="0"/>
          <w:numId w:val="6"/>
        </w:numPr>
        <w:spacing w:before="120" w:line="380" w:lineRule="exact"/>
        <w:ind w:firstLine="420" w:firstLineChars="200"/>
        <w:rPr>
          <w:rStyle w:val="95"/>
          <w:szCs w:val="21"/>
        </w:rPr>
      </w:pPr>
      <w:r>
        <w:rPr>
          <w:rStyle w:val="95"/>
          <w:rFonts w:hint="eastAsia"/>
          <w:szCs w:val="21"/>
        </w:rPr>
        <w:t>我方已仔细研究了（项目名称）</w:t>
      </w:r>
      <w:r>
        <w:rPr>
          <w:rStyle w:val="95"/>
          <w:szCs w:val="21"/>
          <w:u w:val="single"/>
        </w:rPr>
        <w:t xml:space="preserve">                  </w:t>
      </w:r>
      <w:r>
        <w:rPr>
          <w:rStyle w:val="95"/>
          <w:rFonts w:hint="eastAsia"/>
          <w:szCs w:val="21"/>
        </w:rPr>
        <w:t>（标段）（如有）招标文件的全部内容，施工图设计服务费愿意以人民币（大写）</w:t>
      </w:r>
      <w:r>
        <w:rPr>
          <w:rStyle w:val="95"/>
          <w:szCs w:val="21"/>
          <w:u w:val="single"/>
        </w:rPr>
        <w:t xml:space="preserve">             </w:t>
      </w:r>
      <w:r>
        <w:rPr>
          <w:rStyle w:val="95"/>
          <w:rFonts w:hint="eastAsia"/>
          <w:szCs w:val="21"/>
        </w:rPr>
        <w:t>万元、（小写）</w:t>
      </w:r>
      <w:r>
        <w:rPr>
          <w:rStyle w:val="95"/>
          <w:rFonts w:hint="eastAsia"/>
          <w:szCs w:val="21"/>
          <w:u w:val="single"/>
        </w:rPr>
        <w:t>￥</w:t>
      </w:r>
      <w:r>
        <w:rPr>
          <w:rStyle w:val="95"/>
          <w:szCs w:val="21"/>
          <w:u w:val="single"/>
        </w:rPr>
        <w:t xml:space="preserve">       </w:t>
      </w:r>
      <w:r>
        <w:rPr>
          <w:rStyle w:val="95"/>
          <w:rFonts w:hint="eastAsia"/>
          <w:szCs w:val="21"/>
        </w:rPr>
        <w:t>万元和建安工程费愿意以人民币（大写）</w:t>
      </w:r>
      <w:r>
        <w:rPr>
          <w:rStyle w:val="95"/>
          <w:szCs w:val="21"/>
          <w:u w:val="single"/>
        </w:rPr>
        <w:t xml:space="preserve">             </w:t>
      </w:r>
      <w:r>
        <w:rPr>
          <w:rStyle w:val="95"/>
          <w:rFonts w:hint="eastAsia"/>
          <w:szCs w:val="21"/>
        </w:rPr>
        <w:t>万元、（小写）</w:t>
      </w:r>
      <w:r>
        <w:rPr>
          <w:rStyle w:val="95"/>
          <w:rFonts w:hint="eastAsia"/>
          <w:szCs w:val="21"/>
          <w:u w:val="single"/>
        </w:rPr>
        <w:t>￥</w:t>
      </w:r>
      <w:r>
        <w:rPr>
          <w:rStyle w:val="95"/>
          <w:szCs w:val="21"/>
          <w:u w:val="single"/>
        </w:rPr>
        <w:t xml:space="preserve">       </w:t>
      </w:r>
      <w:r>
        <w:rPr>
          <w:rStyle w:val="95"/>
          <w:rFonts w:hint="eastAsia"/>
          <w:szCs w:val="21"/>
        </w:rPr>
        <w:t>万元的投标报价，总承包工期</w:t>
      </w:r>
      <w:r>
        <w:rPr>
          <w:rStyle w:val="95"/>
          <w:szCs w:val="21"/>
          <w:u w:val="single"/>
        </w:rPr>
        <w:t xml:space="preserve">        </w:t>
      </w:r>
      <w:r>
        <w:rPr>
          <w:rStyle w:val="95"/>
          <w:rFonts w:hint="eastAsia"/>
          <w:szCs w:val="21"/>
        </w:rPr>
        <w:t>（其中包含设计</w:t>
      </w:r>
      <w:r>
        <w:rPr>
          <w:rStyle w:val="95"/>
          <w:szCs w:val="21"/>
          <w:u w:val="single"/>
        </w:rPr>
        <w:t xml:space="preserve">      </w:t>
      </w:r>
      <w:r>
        <w:rPr>
          <w:rStyle w:val="95"/>
          <w:rFonts w:hint="eastAsia"/>
          <w:szCs w:val="21"/>
        </w:rPr>
        <w:t>），按合同约定实施和完成承包工程，修补工程中的任何缺陷，工程质量达到。</w:t>
      </w:r>
    </w:p>
    <w:p w14:paraId="75EBE2EE">
      <w:pPr>
        <w:pStyle w:val="85"/>
        <w:spacing w:line="380" w:lineRule="exact"/>
        <w:ind w:firstLine="420" w:firstLineChars="200"/>
        <w:rPr>
          <w:rStyle w:val="95"/>
          <w:rFonts w:ascii="Times New Roman" w:hAnsi="Times New Roman"/>
          <w:sz w:val="21"/>
          <w:szCs w:val="21"/>
        </w:rPr>
      </w:pPr>
      <w:r>
        <w:rPr>
          <w:rStyle w:val="95"/>
          <w:rFonts w:hint="eastAsia" w:ascii="Times New Roman" w:hAnsi="Times New Roman"/>
          <w:sz w:val="21"/>
          <w:szCs w:val="21"/>
        </w:rPr>
        <w:t>上述报价中，包括：</w:t>
      </w:r>
    </w:p>
    <w:p w14:paraId="192FC300">
      <w:pPr>
        <w:pStyle w:val="85"/>
        <w:spacing w:line="380" w:lineRule="exact"/>
        <w:ind w:firstLine="420" w:firstLineChars="200"/>
        <w:rPr>
          <w:rStyle w:val="95"/>
          <w:rFonts w:ascii="Times New Roman" w:hAnsi="Times New Roman"/>
          <w:sz w:val="21"/>
          <w:szCs w:val="21"/>
        </w:rPr>
      </w:pPr>
      <w:r>
        <w:rPr>
          <w:rStyle w:val="95"/>
          <w:rFonts w:hint="eastAsia" w:ascii="Times New Roman" w:hAnsi="Times New Roman"/>
          <w:sz w:val="21"/>
          <w:szCs w:val="21"/>
        </w:rPr>
        <w:t>其中分部分项工程费合价</w:t>
      </w:r>
      <w:r>
        <w:rPr>
          <w:rStyle w:val="95"/>
          <w:rFonts w:ascii="Times New Roman" w:hAnsi="Times New Roman"/>
          <w:sz w:val="21"/>
          <w:szCs w:val="21"/>
          <w:u w:val="single"/>
        </w:rPr>
        <w:t xml:space="preserve">             </w:t>
      </w:r>
      <w:r>
        <w:rPr>
          <w:rStyle w:val="95"/>
          <w:rFonts w:hint="eastAsia" w:ascii="Times New Roman" w:hAnsi="Times New Roman"/>
          <w:sz w:val="21"/>
          <w:szCs w:val="21"/>
        </w:rPr>
        <w:t>元、</w:t>
      </w:r>
    </w:p>
    <w:p w14:paraId="0D51BC0F">
      <w:pPr>
        <w:pStyle w:val="85"/>
        <w:spacing w:line="380" w:lineRule="exact"/>
        <w:ind w:firstLine="420" w:firstLineChars="200"/>
        <w:rPr>
          <w:rStyle w:val="95"/>
          <w:rFonts w:ascii="Times New Roman" w:hAnsi="Times New Roman"/>
          <w:sz w:val="21"/>
          <w:szCs w:val="21"/>
        </w:rPr>
      </w:pPr>
      <w:r>
        <w:rPr>
          <w:rStyle w:val="95"/>
          <w:rFonts w:hint="eastAsia" w:ascii="Times New Roman" w:hAnsi="Times New Roman"/>
          <w:sz w:val="21"/>
          <w:szCs w:val="21"/>
        </w:rPr>
        <w:t>措施项目费合价</w:t>
      </w:r>
      <w:r>
        <w:rPr>
          <w:rStyle w:val="95"/>
          <w:rFonts w:ascii="Times New Roman" w:hAnsi="Times New Roman"/>
          <w:sz w:val="21"/>
          <w:szCs w:val="21"/>
          <w:u w:val="single"/>
        </w:rPr>
        <w:t xml:space="preserve">                  </w:t>
      </w:r>
      <w:r>
        <w:rPr>
          <w:rStyle w:val="95"/>
          <w:rFonts w:hint="eastAsia" w:ascii="Times New Roman" w:hAnsi="Times New Roman"/>
          <w:sz w:val="21"/>
          <w:szCs w:val="21"/>
        </w:rPr>
        <w:t>元、</w:t>
      </w:r>
    </w:p>
    <w:p w14:paraId="03A3CFC0">
      <w:pPr>
        <w:pStyle w:val="85"/>
        <w:spacing w:line="380" w:lineRule="exact"/>
        <w:ind w:firstLine="420" w:firstLineChars="200"/>
        <w:rPr>
          <w:rStyle w:val="95"/>
          <w:rFonts w:ascii="Times New Roman" w:hAnsi="Times New Roman"/>
          <w:sz w:val="21"/>
          <w:szCs w:val="21"/>
        </w:rPr>
      </w:pPr>
      <w:r>
        <w:rPr>
          <w:rStyle w:val="95"/>
          <w:rFonts w:hint="eastAsia" w:ascii="Times New Roman" w:hAnsi="Times New Roman"/>
          <w:sz w:val="21"/>
          <w:szCs w:val="21"/>
        </w:rPr>
        <w:t>其他项目费</w:t>
      </w:r>
      <w:r>
        <w:rPr>
          <w:rStyle w:val="95"/>
          <w:rFonts w:ascii="Times New Roman" w:hAnsi="Times New Roman"/>
          <w:sz w:val="21"/>
          <w:szCs w:val="21"/>
          <w:u w:val="single"/>
        </w:rPr>
        <w:t xml:space="preserve">                      </w:t>
      </w:r>
      <w:r>
        <w:rPr>
          <w:rStyle w:val="95"/>
          <w:rFonts w:hint="eastAsia" w:ascii="Times New Roman" w:hAnsi="Times New Roman"/>
          <w:sz w:val="21"/>
          <w:szCs w:val="21"/>
        </w:rPr>
        <w:t>元、</w:t>
      </w:r>
    </w:p>
    <w:p w14:paraId="7CD88E96">
      <w:pPr>
        <w:pStyle w:val="85"/>
        <w:spacing w:line="380" w:lineRule="exact"/>
        <w:ind w:firstLine="420" w:firstLineChars="200"/>
        <w:rPr>
          <w:rStyle w:val="95"/>
          <w:rFonts w:ascii="Times New Roman" w:hAnsi="Times New Roman"/>
          <w:szCs w:val="21"/>
        </w:rPr>
      </w:pPr>
      <w:r>
        <w:rPr>
          <w:rStyle w:val="95"/>
          <w:rFonts w:hint="eastAsia" w:ascii="Times New Roman" w:hAnsi="Times New Roman"/>
          <w:sz w:val="21"/>
          <w:szCs w:val="21"/>
        </w:rPr>
        <w:t>税金</w:t>
      </w:r>
      <w:r>
        <w:rPr>
          <w:rStyle w:val="95"/>
          <w:rFonts w:ascii="Times New Roman" w:hAnsi="Times New Roman"/>
          <w:sz w:val="21"/>
          <w:szCs w:val="21"/>
          <w:u w:val="single"/>
        </w:rPr>
        <w:t xml:space="preserve">                            </w:t>
      </w:r>
      <w:r>
        <w:rPr>
          <w:rStyle w:val="95"/>
          <w:rFonts w:hint="eastAsia" w:ascii="Times New Roman" w:hAnsi="Times New Roman"/>
          <w:sz w:val="21"/>
          <w:szCs w:val="21"/>
        </w:rPr>
        <w:t>元</w:t>
      </w:r>
    </w:p>
    <w:p w14:paraId="4FDB511D">
      <w:pPr>
        <w:spacing w:line="380" w:lineRule="exact"/>
        <w:ind w:firstLine="420" w:firstLineChars="200"/>
        <w:rPr>
          <w:rStyle w:val="95"/>
          <w:szCs w:val="21"/>
        </w:rPr>
      </w:pPr>
      <w:r>
        <w:rPr>
          <w:rStyle w:val="95"/>
          <w:szCs w:val="21"/>
        </w:rPr>
        <w:t>2</w:t>
      </w:r>
      <w:r>
        <w:rPr>
          <w:rStyle w:val="95"/>
          <w:rFonts w:hint="eastAsia"/>
          <w:szCs w:val="21"/>
        </w:rPr>
        <w:t>．我方承诺在投标有效期内不修改、撤销投标文件。</w:t>
      </w:r>
    </w:p>
    <w:p w14:paraId="25157511">
      <w:pPr>
        <w:spacing w:line="380" w:lineRule="exact"/>
        <w:ind w:firstLine="420" w:firstLineChars="200"/>
        <w:rPr>
          <w:rStyle w:val="95"/>
          <w:szCs w:val="21"/>
        </w:rPr>
      </w:pPr>
      <w:r>
        <w:rPr>
          <w:rStyle w:val="95"/>
          <w:szCs w:val="21"/>
        </w:rPr>
        <w:t>3</w:t>
      </w:r>
      <w:r>
        <w:rPr>
          <w:rStyle w:val="95"/>
          <w:rFonts w:hint="eastAsia"/>
          <w:szCs w:val="21"/>
        </w:rPr>
        <w:t>．我方已按招标文件要求提交投标保证金一份，金额为人民币（大写）</w:t>
      </w:r>
      <w:r>
        <w:rPr>
          <w:rStyle w:val="95"/>
          <w:szCs w:val="21"/>
          <w:u w:val="single"/>
        </w:rPr>
        <w:t xml:space="preserve">    </w:t>
      </w:r>
      <w:r>
        <w:rPr>
          <w:rStyle w:val="95"/>
          <w:rFonts w:hint="eastAsia"/>
          <w:szCs w:val="21"/>
        </w:rPr>
        <w:t>万元（小写）</w:t>
      </w:r>
      <w:r>
        <w:rPr>
          <w:rStyle w:val="95"/>
          <w:szCs w:val="21"/>
        </w:rPr>
        <w:t>¥</w:t>
      </w:r>
      <w:r>
        <w:rPr>
          <w:rStyle w:val="95"/>
          <w:szCs w:val="21"/>
          <w:u w:val="single"/>
        </w:rPr>
        <w:t xml:space="preserve">    </w:t>
      </w:r>
      <w:r>
        <w:rPr>
          <w:rStyle w:val="95"/>
          <w:rFonts w:hint="eastAsia"/>
          <w:szCs w:val="21"/>
        </w:rPr>
        <w:t>万元</w:t>
      </w:r>
      <w:r>
        <w:rPr>
          <w:rFonts w:hint="eastAsia"/>
          <w:szCs w:val="21"/>
        </w:rPr>
        <w:t>，保证金形式为□银行保函；□担保保函；□保险保函；□转账。</w:t>
      </w:r>
    </w:p>
    <w:p w14:paraId="39B5EC02">
      <w:pPr>
        <w:spacing w:line="380" w:lineRule="exact"/>
        <w:ind w:firstLine="420" w:firstLineChars="200"/>
        <w:rPr>
          <w:rStyle w:val="95"/>
          <w:szCs w:val="21"/>
        </w:rPr>
      </w:pPr>
      <w:r>
        <w:rPr>
          <w:rStyle w:val="95"/>
          <w:szCs w:val="21"/>
        </w:rPr>
        <w:t>4</w:t>
      </w:r>
      <w:r>
        <w:rPr>
          <w:rStyle w:val="95"/>
          <w:rFonts w:hint="eastAsia"/>
          <w:szCs w:val="21"/>
        </w:rPr>
        <w:t>．如我方中标：</w:t>
      </w:r>
    </w:p>
    <w:p w14:paraId="2DECBD3F">
      <w:pPr>
        <w:spacing w:line="380" w:lineRule="exact"/>
        <w:ind w:firstLine="718" w:firstLineChars="342"/>
        <w:rPr>
          <w:rStyle w:val="95"/>
          <w:szCs w:val="21"/>
        </w:rPr>
      </w:pPr>
      <w:r>
        <w:rPr>
          <w:rStyle w:val="95"/>
          <w:rFonts w:hint="eastAsia"/>
          <w:szCs w:val="21"/>
        </w:rPr>
        <w:t>（</w:t>
      </w:r>
      <w:r>
        <w:rPr>
          <w:rStyle w:val="95"/>
          <w:szCs w:val="21"/>
        </w:rPr>
        <w:t>1</w:t>
      </w:r>
      <w:r>
        <w:rPr>
          <w:rStyle w:val="95"/>
          <w:rFonts w:hint="eastAsia"/>
          <w:szCs w:val="21"/>
        </w:rPr>
        <w:t>）我方承诺在收到中标通知书后，在中标通知书规定的期限内与你方签订合同。</w:t>
      </w:r>
    </w:p>
    <w:p w14:paraId="7C5CD5F3">
      <w:pPr>
        <w:spacing w:line="380" w:lineRule="exact"/>
        <w:ind w:firstLine="718" w:firstLineChars="342"/>
        <w:rPr>
          <w:rStyle w:val="95"/>
          <w:szCs w:val="21"/>
        </w:rPr>
      </w:pPr>
      <w:r>
        <w:rPr>
          <w:rStyle w:val="95"/>
          <w:rFonts w:hint="eastAsia"/>
          <w:szCs w:val="21"/>
        </w:rPr>
        <w:t>（</w:t>
      </w:r>
      <w:r>
        <w:rPr>
          <w:rStyle w:val="95"/>
          <w:szCs w:val="21"/>
        </w:rPr>
        <w:t>2</w:t>
      </w:r>
      <w:r>
        <w:rPr>
          <w:rStyle w:val="95"/>
          <w:rFonts w:hint="eastAsia"/>
          <w:szCs w:val="21"/>
        </w:rPr>
        <w:t>）我方承诺同意发包人可以直接支付分包人实施分包工程的工程款项，我方投标报价中已包含总承包服务费，分包人不再向我方支付总承包服务费。</w:t>
      </w:r>
    </w:p>
    <w:p w14:paraId="20757AD8">
      <w:pPr>
        <w:spacing w:line="380" w:lineRule="exact"/>
        <w:ind w:firstLine="718" w:firstLineChars="342"/>
        <w:rPr>
          <w:rStyle w:val="95"/>
          <w:szCs w:val="21"/>
        </w:rPr>
      </w:pPr>
      <w:r>
        <w:rPr>
          <w:rStyle w:val="95"/>
          <w:rFonts w:hint="eastAsia"/>
          <w:szCs w:val="21"/>
        </w:rPr>
        <w:t>（</w:t>
      </w:r>
      <w:r>
        <w:rPr>
          <w:rStyle w:val="95"/>
          <w:szCs w:val="21"/>
        </w:rPr>
        <w:t>3</w:t>
      </w:r>
      <w:r>
        <w:rPr>
          <w:rStyle w:val="95"/>
          <w:rFonts w:hint="eastAsia"/>
          <w:szCs w:val="21"/>
        </w:rPr>
        <w:t>）我方承诺在合同约定的期限内完成并移交全部合同工程。</w:t>
      </w:r>
    </w:p>
    <w:p w14:paraId="5B5382E0">
      <w:pPr>
        <w:spacing w:line="380" w:lineRule="exact"/>
        <w:ind w:firstLine="718" w:firstLineChars="342"/>
        <w:rPr>
          <w:rStyle w:val="95"/>
          <w:szCs w:val="21"/>
        </w:rPr>
      </w:pPr>
      <w:r>
        <w:rPr>
          <w:rStyle w:val="95"/>
          <w:rFonts w:hint="eastAsia"/>
          <w:szCs w:val="21"/>
        </w:rPr>
        <w:t>（</w:t>
      </w:r>
      <w:r>
        <w:rPr>
          <w:rStyle w:val="95"/>
          <w:szCs w:val="21"/>
        </w:rPr>
        <w:t>4</w:t>
      </w:r>
      <w:r>
        <w:rPr>
          <w:rStyle w:val="95"/>
          <w:rFonts w:hint="eastAsia"/>
          <w:szCs w:val="21"/>
        </w:rPr>
        <w:t>）我方理解并同意中标价为固定价，即在投标有效期和合同有效期内，该价格固定不变。</w:t>
      </w:r>
    </w:p>
    <w:p w14:paraId="5F6AF377">
      <w:pPr>
        <w:spacing w:line="380" w:lineRule="exact"/>
        <w:ind w:firstLine="420" w:firstLineChars="200"/>
        <w:rPr>
          <w:rStyle w:val="95"/>
        </w:rPr>
      </w:pPr>
      <w:r>
        <w:rPr>
          <w:rStyle w:val="95"/>
          <w:szCs w:val="21"/>
        </w:rPr>
        <w:t>5</w:t>
      </w:r>
      <w:r>
        <w:rPr>
          <w:rStyle w:val="95"/>
          <w:rFonts w:hint="eastAsia"/>
          <w:szCs w:val="21"/>
        </w:rPr>
        <w:t>．</w:t>
      </w:r>
      <w:r>
        <w:rPr>
          <w:rStyle w:val="95"/>
          <w:rFonts w:hint="eastAsia"/>
        </w:rPr>
        <w:t>我方在此声明，所递交的投标文件及有关资料内容完整、真实和准确，且不存在第二章</w:t>
      </w:r>
      <w:r>
        <w:rPr>
          <w:rStyle w:val="95"/>
        </w:rPr>
        <w:t>“</w:t>
      </w:r>
      <w:r>
        <w:rPr>
          <w:rStyle w:val="95"/>
          <w:rFonts w:hint="eastAsia"/>
        </w:rPr>
        <w:t>投标人须知</w:t>
      </w:r>
      <w:r>
        <w:rPr>
          <w:rStyle w:val="95"/>
        </w:rPr>
        <w:t>”</w:t>
      </w:r>
      <w:r>
        <w:rPr>
          <w:rStyle w:val="95"/>
          <w:rFonts w:hint="eastAsia"/>
        </w:rPr>
        <w:t>第</w:t>
      </w:r>
      <w:r>
        <w:rPr>
          <w:rStyle w:val="95"/>
        </w:rPr>
        <w:t>1.4.3</w:t>
      </w:r>
      <w:r>
        <w:rPr>
          <w:rStyle w:val="95"/>
          <w:rFonts w:hint="eastAsia"/>
        </w:rPr>
        <w:t>项规定的任何一种情形。</w:t>
      </w:r>
    </w:p>
    <w:p w14:paraId="35C4B139">
      <w:pPr>
        <w:spacing w:line="380" w:lineRule="exact"/>
        <w:ind w:firstLine="420" w:firstLineChars="200"/>
        <w:rPr>
          <w:rStyle w:val="95"/>
          <w:szCs w:val="21"/>
        </w:rPr>
      </w:pPr>
      <w:r>
        <w:rPr>
          <w:rStyle w:val="95"/>
        </w:rPr>
        <w:t>6</w:t>
      </w:r>
      <w:r>
        <w:rPr>
          <w:rStyle w:val="95"/>
          <w:b/>
        </w:rPr>
        <w:t xml:space="preserve">.  </w:t>
      </w:r>
      <w:r>
        <w:rPr>
          <w:rStyle w:val="95"/>
          <w:rFonts w:hint="eastAsia"/>
        </w:rPr>
        <w:t>若我方中标，我方自愿全额支付本项目的招标代理费和相关服务费用。</w:t>
      </w:r>
    </w:p>
    <w:p w14:paraId="5FD2AB9D">
      <w:pPr>
        <w:spacing w:line="380" w:lineRule="exact"/>
        <w:ind w:firstLine="420" w:firstLineChars="200"/>
        <w:rPr>
          <w:rStyle w:val="95"/>
          <w:szCs w:val="21"/>
        </w:rPr>
      </w:pPr>
      <w:r>
        <w:rPr>
          <w:rStyle w:val="95"/>
        </w:rPr>
        <w:t>7</w:t>
      </w:r>
      <w:r>
        <w:rPr>
          <w:rStyle w:val="95"/>
          <w:rFonts w:hint="eastAsia"/>
        </w:rPr>
        <w:t>．在合同协议书正式签署生效之前，本投标函连同你方的中标通知书将构成我们双方之间共同遵守的文件，对双方具有约束力。</w:t>
      </w:r>
    </w:p>
    <w:p w14:paraId="762ACFEB">
      <w:pPr>
        <w:spacing w:line="320" w:lineRule="exact"/>
        <w:ind w:firstLine="3675" w:firstLineChars="1750"/>
        <w:rPr>
          <w:rStyle w:val="95"/>
          <w:szCs w:val="21"/>
        </w:rPr>
      </w:pPr>
      <w:r>
        <w:rPr>
          <w:rStyle w:val="95"/>
          <w:rFonts w:hint="eastAsia"/>
          <w:szCs w:val="21"/>
        </w:rPr>
        <w:t>投</w:t>
      </w:r>
      <w:r>
        <w:rPr>
          <w:rStyle w:val="95"/>
          <w:szCs w:val="21"/>
        </w:rPr>
        <w:t xml:space="preserve"> </w:t>
      </w:r>
      <w:r>
        <w:rPr>
          <w:rStyle w:val="95"/>
          <w:rFonts w:hint="eastAsia"/>
          <w:szCs w:val="21"/>
        </w:rPr>
        <w:t>标</w:t>
      </w:r>
      <w:r>
        <w:rPr>
          <w:rStyle w:val="95"/>
          <w:szCs w:val="21"/>
        </w:rPr>
        <w:t xml:space="preserve"> </w:t>
      </w:r>
      <w:r>
        <w:rPr>
          <w:rStyle w:val="95"/>
          <w:rFonts w:hint="eastAsia"/>
          <w:szCs w:val="21"/>
        </w:rPr>
        <w:t>人：（盖单位章）</w:t>
      </w:r>
    </w:p>
    <w:p w14:paraId="59021ADE">
      <w:pPr>
        <w:spacing w:line="320" w:lineRule="exact"/>
        <w:ind w:firstLine="3675" w:firstLineChars="1750"/>
        <w:rPr>
          <w:rStyle w:val="95"/>
          <w:szCs w:val="21"/>
        </w:rPr>
      </w:pPr>
      <w:r>
        <w:rPr>
          <w:rStyle w:val="95"/>
          <w:rFonts w:hint="eastAsia"/>
          <w:szCs w:val="21"/>
        </w:rPr>
        <w:t>法定代表人或其委托代理人：（签字）</w:t>
      </w:r>
    </w:p>
    <w:p w14:paraId="6E938CC7">
      <w:pPr>
        <w:spacing w:line="320" w:lineRule="exact"/>
        <w:ind w:firstLine="3675" w:firstLineChars="1750"/>
        <w:rPr>
          <w:rStyle w:val="95"/>
          <w:szCs w:val="21"/>
        </w:rPr>
      </w:pPr>
      <w:r>
        <w:rPr>
          <w:rStyle w:val="95"/>
          <w:rFonts w:hint="eastAsia"/>
          <w:szCs w:val="21"/>
        </w:rPr>
        <w:t>地址：</w:t>
      </w:r>
    </w:p>
    <w:p w14:paraId="68F38742">
      <w:pPr>
        <w:spacing w:line="320" w:lineRule="exact"/>
        <w:ind w:firstLine="3675" w:firstLineChars="1750"/>
        <w:rPr>
          <w:rStyle w:val="95"/>
          <w:szCs w:val="21"/>
        </w:rPr>
      </w:pPr>
      <w:r>
        <w:rPr>
          <w:rStyle w:val="95"/>
          <w:rFonts w:hint="eastAsia"/>
          <w:szCs w:val="21"/>
        </w:rPr>
        <w:t>网址：</w:t>
      </w:r>
    </w:p>
    <w:p w14:paraId="56B02B65">
      <w:pPr>
        <w:spacing w:line="320" w:lineRule="exact"/>
        <w:ind w:firstLine="3675" w:firstLineChars="1750"/>
        <w:rPr>
          <w:rStyle w:val="95"/>
          <w:szCs w:val="21"/>
        </w:rPr>
      </w:pPr>
      <w:r>
        <w:rPr>
          <w:rStyle w:val="95"/>
          <w:rFonts w:hint="eastAsia"/>
          <w:szCs w:val="21"/>
        </w:rPr>
        <w:t>电话：</w:t>
      </w:r>
    </w:p>
    <w:p w14:paraId="2BF3D3F7">
      <w:pPr>
        <w:spacing w:line="320" w:lineRule="exact"/>
        <w:ind w:firstLine="3675" w:firstLineChars="1750"/>
        <w:rPr>
          <w:rStyle w:val="95"/>
          <w:szCs w:val="21"/>
        </w:rPr>
      </w:pPr>
      <w:r>
        <w:rPr>
          <w:rStyle w:val="95"/>
          <w:rFonts w:hint="eastAsia"/>
          <w:szCs w:val="21"/>
        </w:rPr>
        <w:t>传真：</w:t>
      </w:r>
    </w:p>
    <w:p w14:paraId="068FA2EF">
      <w:pPr>
        <w:spacing w:line="320" w:lineRule="exact"/>
        <w:ind w:firstLine="3675" w:firstLineChars="1750"/>
        <w:rPr>
          <w:rStyle w:val="95"/>
          <w:szCs w:val="21"/>
        </w:rPr>
      </w:pPr>
      <w:r>
        <w:rPr>
          <w:rStyle w:val="95"/>
          <w:rFonts w:hint="eastAsia"/>
          <w:szCs w:val="21"/>
        </w:rPr>
        <w:t>邮政编码：</w:t>
      </w:r>
    </w:p>
    <w:p w14:paraId="044B3780">
      <w:pPr>
        <w:spacing w:line="320" w:lineRule="exact"/>
        <w:jc w:val="center"/>
        <w:rPr>
          <w:rStyle w:val="95"/>
          <w:szCs w:val="21"/>
        </w:rPr>
      </w:pPr>
      <w:r>
        <w:rPr>
          <w:rStyle w:val="95"/>
          <w:rFonts w:hint="eastAsia"/>
          <w:szCs w:val="21"/>
        </w:rPr>
        <w:t>年</w:t>
      </w:r>
      <w:r>
        <w:rPr>
          <w:rStyle w:val="95"/>
          <w:szCs w:val="21"/>
        </w:rPr>
        <w:t xml:space="preserve">   </w:t>
      </w:r>
      <w:r>
        <w:rPr>
          <w:rStyle w:val="95"/>
          <w:rFonts w:hint="eastAsia"/>
          <w:szCs w:val="21"/>
        </w:rPr>
        <w:t>月</w:t>
      </w:r>
      <w:r>
        <w:rPr>
          <w:rStyle w:val="95"/>
          <w:szCs w:val="21"/>
        </w:rPr>
        <w:t xml:space="preserve">   </w:t>
      </w:r>
      <w:r>
        <w:rPr>
          <w:rStyle w:val="95"/>
          <w:rFonts w:hint="eastAsia"/>
          <w:szCs w:val="21"/>
        </w:rPr>
        <w:t>日</w:t>
      </w:r>
      <w:r>
        <w:rPr>
          <w:rStyle w:val="95"/>
        </w:rPr>
        <w:br w:type="page"/>
      </w:r>
    </w:p>
    <w:p w14:paraId="5071DA84">
      <w:pPr>
        <w:pStyle w:val="608"/>
        <w:spacing w:line="400" w:lineRule="exact"/>
        <w:jc w:val="center"/>
        <w:rPr>
          <w:rStyle w:val="95"/>
          <w:rFonts w:ascii="Times New Roman" w:hAnsi="Times New Roman"/>
          <w:szCs w:val="23"/>
        </w:rPr>
      </w:pPr>
      <w:r>
        <w:rPr>
          <w:rStyle w:val="95"/>
          <w:rFonts w:hint="eastAsia" w:ascii="Times New Roman" w:hAnsi="Times New Roman"/>
          <w:b/>
          <w:sz w:val="28"/>
          <w:szCs w:val="28"/>
        </w:rPr>
        <w:t>投标函附录</w:t>
      </w:r>
    </w:p>
    <w:p w14:paraId="2A30B918">
      <w:pPr>
        <w:spacing w:line="440" w:lineRule="exact"/>
        <w:rPr>
          <w:rStyle w:val="95"/>
          <w:sz w:val="20"/>
          <w:szCs w:val="20"/>
        </w:rPr>
      </w:pPr>
    </w:p>
    <w:tbl>
      <w:tblPr>
        <w:tblStyle w:val="45"/>
        <w:tblW w:w="891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282"/>
        <w:gridCol w:w="1843"/>
        <w:gridCol w:w="3816"/>
        <w:gridCol w:w="1972"/>
      </w:tblGrid>
      <w:tr w14:paraId="6F9C60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1" w:hRule="atLeast"/>
          <w:jc w:val="center"/>
        </w:trPr>
        <w:tc>
          <w:tcPr>
            <w:tcW w:w="1282" w:type="dxa"/>
            <w:vAlign w:val="center"/>
          </w:tcPr>
          <w:p w14:paraId="5DDD2FAC">
            <w:pPr>
              <w:jc w:val="center"/>
              <w:rPr>
                <w:rStyle w:val="95"/>
                <w:b/>
                <w:szCs w:val="21"/>
              </w:rPr>
            </w:pPr>
            <w:r>
              <w:rPr>
                <w:rStyle w:val="95"/>
                <w:rFonts w:hint="eastAsia"/>
                <w:b/>
                <w:szCs w:val="21"/>
              </w:rPr>
              <w:t>序号</w:t>
            </w:r>
          </w:p>
        </w:tc>
        <w:tc>
          <w:tcPr>
            <w:tcW w:w="1843" w:type="dxa"/>
            <w:vAlign w:val="center"/>
          </w:tcPr>
          <w:p w14:paraId="526418A2">
            <w:pPr>
              <w:jc w:val="center"/>
              <w:rPr>
                <w:rStyle w:val="95"/>
                <w:b/>
                <w:szCs w:val="21"/>
              </w:rPr>
            </w:pPr>
            <w:r>
              <w:rPr>
                <w:rStyle w:val="95"/>
                <w:rFonts w:hint="eastAsia"/>
                <w:b/>
                <w:szCs w:val="21"/>
              </w:rPr>
              <w:t>条款名称</w:t>
            </w:r>
          </w:p>
        </w:tc>
        <w:tc>
          <w:tcPr>
            <w:tcW w:w="3816" w:type="dxa"/>
            <w:vAlign w:val="center"/>
          </w:tcPr>
          <w:p w14:paraId="23A36DF5">
            <w:pPr>
              <w:jc w:val="center"/>
              <w:rPr>
                <w:rStyle w:val="95"/>
                <w:b/>
                <w:szCs w:val="21"/>
              </w:rPr>
            </w:pPr>
            <w:r>
              <w:rPr>
                <w:rStyle w:val="95"/>
                <w:rFonts w:hint="eastAsia"/>
                <w:b/>
                <w:szCs w:val="21"/>
              </w:rPr>
              <w:t>约定内容</w:t>
            </w:r>
          </w:p>
        </w:tc>
        <w:tc>
          <w:tcPr>
            <w:tcW w:w="1972" w:type="dxa"/>
            <w:vAlign w:val="center"/>
          </w:tcPr>
          <w:p w14:paraId="1921F60F">
            <w:pPr>
              <w:jc w:val="center"/>
              <w:rPr>
                <w:rStyle w:val="95"/>
                <w:b/>
                <w:szCs w:val="21"/>
              </w:rPr>
            </w:pPr>
            <w:r>
              <w:rPr>
                <w:rStyle w:val="95"/>
                <w:rFonts w:hint="eastAsia"/>
                <w:b/>
                <w:szCs w:val="21"/>
              </w:rPr>
              <w:t>备注</w:t>
            </w:r>
          </w:p>
        </w:tc>
      </w:tr>
      <w:tr w14:paraId="575DB8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851" w:hRule="atLeast"/>
          <w:jc w:val="center"/>
        </w:trPr>
        <w:tc>
          <w:tcPr>
            <w:tcW w:w="1282" w:type="dxa"/>
            <w:vMerge w:val="restart"/>
            <w:vAlign w:val="center"/>
          </w:tcPr>
          <w:p w14:paraId="1D77DEF6">
            <w:pPr>
              <w:jc w:val="center"/>
              <w:rPr>
                <w:rStyle w:val="95"/>
                <w:szCs w:val="21"/>
              </w:rPr>
            </w:pPr>
            <w:r>
              <w:rPr>
                <w:rStyle w:val="95"/>
                <w:szCs w:val="21"/>
              </w:rPr>
              <w:t>1</w:t>
            </w:r>
          </w:p>
        </w:tc>
        <w:tc>
          <w:tcPr>
            <w:tcW w:w="1843" w:type="dxa"/>
            <w:vAlign w:val="center"/>
          </w:tcPr>
          <w:p w14:paraId="3CF53118">
            <w:pPr>
              <w:jc w:val="center"/>
              <w:rPr>
                <w:rStyle w:val="95"/>
                <w:szCs w:val="21"/>
              </w:rPr>
            </w:pPr>
            <w:r>
              <w:rPr>
                <w:rStyle w:val="95"/>
                <w:rFonts w:hint="eastAsia"/>
                <w:szCs w:val="21"/>
              </w:rPr>
              <w:t>项目经理</w:t>
            </w:r>
          </w:p>
        </w:tc>
        <w:tc>
          <w:tcPr>
            <w:tcW w:w="3816" w:type="dxa"/>
            <w:vAlign w:val="center"/>
          </w:tcPr>
          <w:p w14:paraId="00793256">
            <w:pPr>
              <w:rPr>
                <w:rStyle w:val="95"/>
                <w:szCs w:val="21"/>
                <w:u w:val="single"/>
              </w:rPr>
            </w:pPr>
            <w:r>
              <w:rPr>
                <w:rStyle w:val="95"/>
                <w:rFonts w:hint="eastAsia"/>
                <w:szCs w:val="21"/>
              </w:rPr>
              <w:t>姓名：</w:t>
            </w:r>
          </w:p>
        </w:tc>
        <w:tc>
          <w:tcPr>
            <w:tcW w:w="1972" w:type="dxa"/>
            <w:vAlign w:val="center"/>
          </w:tcPr>
          <w:p w14:paraId="1FDDF674">
            <w:pPr>
              <w:jc w:val="center"/>
              <w:rPr>
                <w:rStyle w:val="95"/>
                <w:szCs w:val="21"/>
              </w:rPr>
            </w:pPr>
          </w:p>
        </w:tc>
      </w:tr>
      <w:tr w14:paraId="7765EE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851" w:hRule="atLeast"/>
          <w:jc w:val="center"/>
        </w:trPr>
        <w:tc>
          <w:tcPr>
            <w:tcW w:w="1282" w:type="dxa"/>
            <w:vMerge w:val="continue"/>
            <w:vAlign w:val="center"/>
          </w:tcPr>
          <w:p w14:paraId="5B979DB7">
            <w:pPr>
              <w:jc w:val="center"/>
              <w:rPr>
                <w:rStyle w:val="95"/>
                <w:szCs w:val="21"/>
              </w:rPr>
            </w:pPr>
          </w:p>
        </w:tc>
        <w:tc>
          <w:tcPr>
            <w:tcW w:w="1843" w:type="dxa"/>
            <w:vAlign w:val="center"/>
          </w:tcPr>
          <w:p w14:paraId="52155074">
            <w:pPr>
              <w:jc w:val="center"/>
              <w:rPr>
                <w:rStyle w:val="95"/>
                <w:rFonts w:hint="eastAsia" w:eastAsia="宋体"/>
                <w:szCs w:val="21"/>
                <w:lang w:eastAsia="zh-CN"/>
              </w:rPr>
            </w:pPr>
            <w:r>
              <w:rPr>
                <w:rStyle w:val="95"/>
                <w:rFonts w:hint="eastAsia"/>
                <w:szCs w:val="21"/>
              </w:rPr>
              <w:t>项目</w:t>
            </w:r>
            <w:r>
              <w:rPr>
                <w:rStyle w:val="95"/>
                <w:rFonts w:hint="eastAsia"/>
                <w:szCs w:val="21"/>
                <w:lang w:eastAsia="zh-CN"/>
              </w:rPr>
              <w:t>技术负责人</w:t>
            </w:r>
          </w:p>
        </w:tc>
        <w:tc>
          <w:tcPr>
            <w:tcW w:w="3816" w:type="dxa"/>
            <w:vAlign w:val="center"/>
          </w:tcPr>
          <w:p w14:paraId="09A57AF7">
            <w:pPr>
              <w:rPr>
                <w:rStyle w:val="95"/>
                <w:szCs w:val="21"/>
              </w:rPr>
            </w:pPr>
            <w:r>
              <w:rPr>
                <w:rStyle w:val="95"/>
                <w:rFonts w:hint="eastAsia"/>
                <w:szCs w:val="21"/>
              </w:rPr>
              <w:t>姓名：</w:t>
            </w:r>
          </w:p>
        </w:tc>
        <w:tc>
          <w:tcPr>
            <w:tcW w:w="1972" w:type="dxa"/>
            <w:vAlign w:val="center"/>
          </w:tcPr>
          <w:p w14:paraId="65AB5D6A">
            <w:pPr>
              <w:jc w:val="center"/>
              <w:rPr>
                <w:rStyle w:val="95"/>
                <w:szCs w:val="21"/>
              </w:rPr>
            </w:pPr>
          </w:p>
        </w:tc>
      </w:tr>
      <w:tr w14:paraId="6EC36F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851" w:hRule="atLeast"/>
          <w:jc w:val="center"/>
        </w:trPr>
        <w:tc>
          <w:tcPr>
            <w:tcW w:w="1282" w:type="dxa"/>
            <w:vMerge w:val="continue"/>
            <w:vAlign w:val="center"/>
          </w:tcPr>
          <w:p w14:paraId="212EB825">
            <w:pPr>
              <w:jc w:val="center"/>
              <w:rPr>
                <w:rStyle w:val="95"/>
                <w:szCs w:val="21"/>
              </w:rPr>
            </w:pPr>
          </w:p>
        </w:tc>
        <w:tc>
          <w:tcPr>
            <w:tcW w:w="1843" w:type="dxa"/>
            <w:vAlign w:val="center"/>
          </w:tcPr>
          <w:p w14:paraId="397BB8EE">
            <w:pPr>
              <w:jc w:val="center"/>
              <w:rPr>
                <w:rStyle w:val="95"/>
                <w:szCs w:val="21"/>
              </w:rPr>
            </w:pPr>
            <w:r>
              <w:rPr>
                <w:rStyle w:val="95"/>
                <w:rFonts w:hint="eastAsia"/>
                <w:szCs w:val="21"/>
              </w:rPr>
              <w:t>设计负责人</w:t>
            </w:r>
          </w:p>
        </w:tc>
        <w:tc>
          <w:tcPr>
            <w:tcW w:w="3816" w:type="dxa"/>
            <w:vAlign w:val="center"/>
          </w:tcPr>
          <w:p w14:paraId="43ED53FF">
            <w:pPr>
              <w:rPr>
                <w:rStyle w:val="95"/>
                <w:szCs w:val="21"/>
              </w:rPr>
            </w:pPr>
            <w:r>
              <w:rPr>
                <w:rStyle w:val="95"/>
                <w:rFonts w:hint="eastAsia"/>
                <w:szCs w:val="21"/>
              </w:rPr>
              <w:t>姓名：</w:t>
            </w:r>
          </w:p>
        </w:tc>
        <w:tc>
          <w:tcPr>
            <w:tcW w:w="1972" w:type="dxa"/>
            <w:vAlign w:val="center"/>
          </w:tcPr>
          <w:p w14:paraId="0BEE7456">
            <w:pPr>
              <w:jc w:val="center"/>
              <w:rPr>
                <w:rStyle w:val="95"/>
                <w:szCs w:val="21"/>
              </w:rPr>
            </w:pPr>
          </w:p>
        </w:tc>
      </w:tr>
      <w:tr w14:paraId="280EF3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1" w:hRule="atLeast"/>
          <w:jc w:val="center"/>
        </w:trPr>
        <w:tc>
          <w:tcPr>
            <w:tcW w:w="1282" w:type="dxa"/>
            <w:vAlign w:val="center"/>
          </w:tcPr>
          <w:p w14:paraId="6FE299A8">
            <w:pPr>
              <w:jc w:val="center"/>
              <w:rPr>
                <w:rStyle w:val="95"/>
                <w:szCs w:val="21"/>
              </w:rPr>
            </w:pPr>
            <w:r>
              <w:rPr>
                <w:rStyle w:val="95"/>
                <w:szCs w:val="21"/>
              </w:rPr>
              <w:t>2</w:t>
            </w:r>
          </w:p>
        </w:tc>
        <w:tc>
          <w:tcPr>
            <w:tcW w:w="1843" w:type="dxa"/>
            <w:vAlign w:val="center"/>
          </w:tcPr>
          <w:p w14:paraId="2C622788">
            <w:pPr>
              <w:jc w:val="center"/>
              <w:rPr>
                <w:rStyle w:val="95"/>
                <w:szCs w:val="21"/>
              </w:rPr>
            </w:pPr>
            <w:r>
              <w:rPr>
                <w:rStyle w:val="95"/>
                <w:rFonts w:hint="eastAsia"/>
                <w:szCs w:val="21"/>
              </w:rPr>
              <w:t>总承包工期</w:t>
            </w:r>
          </w:p>
        </w:tc>
        <w:tc>
          <w:tcPr>
            <w:tcW w:w="3816" w:type="dxa"/>
            <w:vAlign w:val="center"/>
          </w:tcPr>
          <w:p w14:paraId="07AAD7C4">
            <w:pPr>
              <w:jc w:val="left"/>
              <w:rPr>
                <w:rStyle w:val="95"/>
                <w:szCs w:val="21"/>
              </w:rPr>
            </w:pPr>
            <w:r>
              <w:rPr>
                <w:rStyle w:val="95"/>
                <w:rFonts w:hint="eastAsia"/>
                <w:szCs w:val="21"/>
              </w:rPr>
              <w:t>总承包工期：</w:t>
            </w:r>
            <w:r>
              <w:rPr>
                <w:rStyle w:val="95"/>
                <w:szCs w:val="21"/>
                <w:u w:val="single"/>
              </w:rPr>
              <w:t xml:space="preserve">  </w:t>
            </w:r>
            <w:r>
              <w:rPr>
                <w:rStyle w:val="95"/>
                <w:rFonts w:hint="eastAsia"/>
                <w:szCs w:val="21"/>
              </w:rPr>
              <w:t>（其中包含：设计</w:t>
            </w:r>
            <w:r>
              <w:rPr>
                <w:rStyle w:val="95"/>
                <w:szCs w:val="21"/>
                <w:u w:val="single"/>
              </w:rPr>
              <w:t xml:space="preserve">  </w:t>
            </w:r>
            <w:r>
              <w:rPr>
                <w:rStyle w:val="95"/>
                <w:rFonts w:hint="eastAsia"/>
                <w:szCs w:val="21"/>
              </w:rPr>
              <w:t>天）</w:t>
            </w:r>
          </w:p>
        </w:tc>
        <w:tc>
          <w:tcPr>
            <w:tcW w:w="1972" w:type="dxa"/>
            <w:vAlign w:val="center"/>
          </w:tcPr>
          <w:p w14:paraId="4EED7E11">
            <w:pPr>
              <w:jc w:val="center"/>
              <w:rPr>
                <w:rStyle w:val="95"/>
                <w:szCs w:val="21"/>
              </w:rPr>
            </w:pPr>
          </w:p>
        </w:tc>
      </w:tr>
      <w:tr w14:paraId="3010B3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1" w:hRule="atLeast"/>
          <w:jc w:val="center"/>
        </w:trPr>
        <w:tc>
          <w:tcPr>
            <w:tcW w:w="1282" w:type="dxa"/>
            <w:vAlign w:val="center"/>
          </w:tcPr>
          <w:p w14:paraId="4099677C">
            <w:pPr>
              <w:jc w:val="center"/>
              <w:rPr>
                <w:rStyle w:val="95"/>
                <w:szCs w:val="21"/>
              </w:rPr>
            </w:pPr>
            <w:r>
              <w:rPr>
                <w:rStyle w:val="95"/>
                <w:szCs w:val="21"/>
              </w:rPr>
              <w:t>3</w:t>
            </w:r>
          </w:p>
        </w:tc>
        <w:tc>
          <w:tcPr>
            <w:tcW w:w="1843" w:type="dxa"/>
            <w:vAlign w:val="center"/>
          </w:tcPr>
          <w:p w14:paraId="2F7FDDB7">
            <w:pPr>
              <w:jc w:val="center"/>
              <w:rPr>
                <w:rStyle w:val="95"/>
                <w:szCs w:val="21"/>
              </w:rPr>
            </w:pPr>
            <w:r>
              <w:rPr>
                <w:rStyle w:val="95"/>
                <w:rFonts w:hint="eastAsia"/>
                <w:szCs w:val="21"/>
              </w:rPr>
              <w:t>质量标准</w:t>
            </w:r>
          </w:p>
        </w:tc>
        <w:tc>
          <w:tcPr>
            <w:tcW w:w="3816" w:type="dxa"/>
            <w:vAlign w:val="center"/>
          </w:tcPr>
          <w:p w14:paraId="1365E130">
            <w:pPr>
              <w:jc w:val="center"/>
              <w:rPr>
                <w:rStyle w:val="95"/>
                <w:szCs w:val="21"/>
              </w:rPr>
            </w:pPr>
          </w:p>
        </w:tc>
        <w:tc>
          <w:tcPr>
            <w:tcW w:w="1972" w:type="dxa"/>
            <w:vAlign w:val="center"/>
          </w:tcPr>
          <w:p w14:paraId="6770BFE5">
            <w:pPr>
              <w:jc w:val="center"/>
              <w:rPr>
                <w:rStyle w:val="95"/>
                <w:szCs w:val="21"/>
              </w:rPr>
            </w:pPr>
          </w:p>
        </w:tc>
      </w:tr>
      <w:tr w14:paraId="1A045A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1" w:hRule="atLeast"/>
          <w:jc w:val="center"/>
        </w:trPr>
        <w:tc>
          <w:tcPr>
            <w:tcW w:w="1282" w:type="dxa"/>
            <w:vAlign w:val="center"/>
          </w:tcPr>
          <w:p w14:paraId="142E13B8">
            <w:pPr>
              <w:jc w:val="center"/>
              <w:rPr>
                <w:rStyle w:val="95"/>
                <w:szCs w:val="21"/>
              </w:rPr>
            </w:pPr>
            <w:r>
              <w:rPr>
                <w:rStyle w:val="95"/>
                <w:szCs w:val="21"/>
              </w:rPr>
              <w:t>4</w:t>
            </w:r>
          </w:p>
        </w:tc>
        <w:tc>
          <w:tcPr>
            <w:tcW w:w="1843" w:type="dxa"/>
            <w:vAlign w:val="center"/>
          </w:tcPr>
          <w:p w14:paraId="657C54D8">
            <w:pPr>
              <w:jc w:val="center"/>
              <w:rPr>
                <w:rStyle w:val="95"/>
                <w:szCs w:val="21"/>
              </w:rPr>
            </w:pPr>
            <w:r>
              <w:rPr>
                <w:rStyle w:val="95"/>
                <w:rFonts w:hint="eastAsia"/>
                <w:szCs w:val="21"/>
              </w:rPr>
              <w:t>保修期</w:t>
            </w:r>
          </w:p>
        </w:tc>
        <w:tc>
          <w:tcPr>
            <w:tcW w:w="3816" w:type="dxa"/>
            <w:vAlign w:val="center"/>
          </w:tcPr>
          <w:p w14:paraId="1ED9A67E">
            <w:pPr>
              <w:jc w:val="center"/>
              <w:rPr>
                <w:rStyle w:val="95"/>
                <w:szCs w:val="21"/>
              </w:rPr>
            </w:pPr>
            <w:r>
              <w:rPr>
                <w:rStyle w:val="95"/>
                <w:rFonts w:hint="eastAsia"/>
                <w:szCs w:val="21"/>
              </w:rPr>
              <w:t>依据保修书约定的期限</w:t>
            </w:r>
          </w:p>
        </w:tc>
        <w:tc>
          <w:tcPr>
            <w:tcW w:w="1972" w:type="dxa"/>
            <w:vAlign w:val="center"/>
          </w:tcPr>
          <w:p w14:paraId="78CB1A95">
            <w:pPr>
              <w:jc w:val="center"/>
              <w:rPr>
                <w:rStyle w:val="95"/>
                <w:szCs w:val="21"/>
              </w:rPr>
            </w:pPr>
          </w:p>
        </w:tc>
      </w:tr>
      <w:tr w14:paraId="0A6657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1" w:hRule="atLeast"/>
          <w:jc w:val="center"/>
        </w:trPr>
        <w:tc>
          <w:tcPr>
            <w:tcW w:w="1282" w:type="dxa"/>
            <w:vAlign w:val="center"/>
          </w:tcPr>
          <w:p w14:paraId="5D1B65FE">
            <w:pPr>
              <w:jc w:val="center"/>
              <w:rPr>
                <w:rStyle w:val="95"/>
                <w:szCs w:val="21"/>
              </w:rPr>
            </w:pPr>
            <w:r>
              <w:rPr>
                <w:rStyle w:val="95"/>
                <w:szCs w:val="21"/>
              </w:rPr>
              <w:t>5</w:t>
            </w:r>
          </w:p>
        </w:tc>
        <w:tc>
          <w:tcPr>
            <w:tcW w:w="1843" w:type="dxa"/>
            <w:vAlign w:val="center"/>
          </w:tcPr>
          <w:p w14:paraId="5CA54C28">
            <w:pPr>
              <w:jc w:val="center"/>
              <w:rPr>
                <w:rStyle w:val="95"/>
                <w:szCs w:val="21"/>
              </w:rPr>
            </w:pPr>
            <w:r>
              <w:rPr>
                <w:rStyle w:val="95"/>
                <w:szCs w:val="21"/>
              </w:rPr>
              <w:t>…</w:t>
            </w:r>
          </w:p>
        </w:tc>
        <w:tc>
          <w:tcPr>
            <w:tcW w:w="3816" w:type="dxa"/>
            <w:vAlign w:val="center"/>
          </w:tcPr>
          <w:p w14:paraId="3B07E6E4">
            <w:pPr>
              <w:jc w:val="center"/>
              <w:rPr>
                <w:rStyle w:val="95"/>
                <w:szCs w:val="21"/>
              </w:rPr>
            </w:pPr>
            <w:r>
              <w:rPr>
                <w:rStyle w:val="95"/>
                <w:szCs w:val="21"/>
              </w:rPr>
              <w:t>…</w:t>
            </w:r>
          </w:p>
        </w:tc>
        <w:tc>
          <w:tcPr>
            <w:tcW w:w="1972" w:type="dxa"/>
            <w:vAlign w:val="center"/>
          </w:tcPr>
          <w:p w14:paraId="1EB5D63E">
            <w:pPr>
              <w:jc w:val="center"/>
              <w:rPr>
                <w:rStyle w:val="95"/>
                <w:szCs w:val="21"/>
              </w:rPr>
            </w:pPr>
          </w:p>
        </w:tc>
      </w:tr>
      <w:tr w14:paraId="7FA7B7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1" w:hRule="atLeast"/>
          <w:jc w:val="center"/>
        </w:trPr>
        <w:tc>
          <w:tcPr>
            <w:tcW w:w="1282" w:type="dxa"/>
            <w:vAlign w:val="center"/>
          </w:tcPr>
          <w:p w14:paraId="295C9CFA">
            <w:pPr>
              <w:jc w:val="center"/>
              <w:rPr>
                <w:rStyle w:val="95"/>
                <w:szCs w:val="21"/>
              </w:rPr>
            </w:pPr>
            <w:r>
              <w:rPr>
                <w:rStyle w:val="95"/>
                <w:szCs w:val="21"/>
              </w:rPr>
              <w:t>6</w:t>
            </w:r>
          </w:p>
        </w:tc>
        <w:tc>
          <w:tcPr>
            <w:tcW w:w="1843" w:type="dxa"/>
            <w:vAlign w:val="center"/>
          </w:tcPr>
          <w:p w14:paraId="20B0280E">
            <w:pPr>
              <w:jc w:val="center"/>
              <w:rPr>
                <w:rStyle w:val="95"/>
                <w:szCs w:val="21"/>
              </w:rPr>
            </w:pPr>
            <w:r>
              <w:rPr>
                <w:rStyle w:val="95"/>
                <w:szCs w:val="21"/>
              </w:rPr>
              <w:t>…</w:t>
            </w:r>
          </w:p>
        </w:tc>
        <w:tc>
          <w:tcPr>
            <w:tcW w:w="3816" w:type="dxa"/>
            <w:vAlign w:val="center"/>
          </w:tcPr>
          <w:p w14:paraId="5ACD4667">
            <w:pPr>
              <w:jc w:val="center"/>
              <w:rPr>
                <w:rStyle w:val="95"/>
                <w:szCs w:val="21"/>
              </w:rPr>
            </w:pPr>
          </w:p>
        </w:tc>
        <w:tc>
          <w:tcPr>
            <w:tcW w:w="1972" w:type="dxa"/>
            <w:vAlign w:val="center"/>
          </w:tcPr>
          <w:p w14:paraId="6CA17F0D">
            <w:pPr>
              <w:jc w:val="center"/>
              <w:rPr>
                <w:rStyle w:val="95"/>
                <w:szCs w:val="21"/>
              </w:rPr>
            </w:pPr>
          </w:p>
        </w:tc>
      </w:tr>
    </w:tbl>
    <w:p w14:paraId="3DD27602">
      <w:pPr>
        <w:pStyle w:val="608"/>
        <w:spacing w:line="400" w:lineRule="exact"/>
        <w:jc w:val="center"/>
        <w:rPr>
          <w:rStyle w:val="95"/>
          <w:rFonts w:ascii="Times New Roman" w:hAnsi="Times New Roman"/>
        </w:rPr>
      </w:pPr>
      <w:r>
        <w:rPr>
          <w:rStyle w:val="95"/>
          <w:rFonts w:ascii="Times New Roman" w:hAnsi="Times New Roman"/>
        </w:rPr>
        <w:br w:type="page"/>
      </w:r>
    </w:p>
    <w:p w14:paraId="69CE9350">
      <w:pPr>
        <w:pStyle w:val="608"/>
        <w:spacing w:line="400" w:lineRule="exact"/>
        <w:jc w:val="center"/>
        <w:rPr>
          <w:rStyle w:val="95"/>
          <w:rFonts w:ascii="Times New Roman" w:hAnsi="Times New Roman"/>
        </w:rPr>
      </w:pPr>
    </w:p>
    <w:p w14:paraId="5C21934D">
      <w:pPr>
        <w:pStyle w:val="19"/>
        <w:ind w:left="210" w:leftChars="100"/>
        <w:rPr>
          <w:rFonts w:eastAsia="黑体"/>
          <w:b/>
          <w:sz w:val="32"/>
          <w:szCs w:val="20"/>
        </w:rPr>
      </w:pPr>
      <w:r>
        <w:rPr>
          <w:rFonts w:hint="eastAsia" w:eastAsia="黑体"/>
          <w:b/>
          <w:sz w:val="32"/>
          <w:szCs w:val="20"/>
          <w:lang w:eastAsia="zh-CN"/>
        </w:rPr>
        <w:t>二</w:t>
      </w:r>
      <w:r>
        <w:rPr>
          <w:rFonts w:hint="eastAsia"/>
          <w:szCs w:val="21"/>
        </w:rPr>
        <w:t>、</w:t>
      </w:r>
      <w:r>
        <w:rPr>
          <w:rFonts w:hint="eastAsia" w:eastAsia="黑体"/>
          <w:b/>
          <w:sz w:val="32"/>
          <w:szCs w:val="20"/>
        </w:rPr>
        <w:t>法定代表人身份证明（适用于无委托代理人的情况）</w:t>
      </w:r>
    </w:p>
    <w:p w14:paraId="28E82F17">
      <w:pPr>
        <w:pStyle w:val="19"/>
        <w:ind w:left="210" w:leftChars="100"/>
        <w:rPr>
          <w:rFonts w:eastAsia="黑体"/>
          <w:b/>
          <w:sz w:val="32"/>
          <w:szCs w:val="20"/>
        </w:rPr>
      </w:pPr>
    </w:p>
    <w:p w14:paraId="5AC48832">
      <w:pPr>
        <w:spacing w:line="440" w:lineRule="exact"/>
        <w:ind w:firstLine="420" w:firstLineChars="200"/>
        <w:rPr>
          <w:rFonts w:ascii="宋体"/>
          <w:sz w:val="24"/>
          <w:u w:val="single"/>
        </w:rPr>
      </w:pPr>
      <w:r>
        <w:rPr>
          <w:rFonts w:hint="eastAsia"/>
          <w:szCs w:val="21"/>
        </w:rPr>
        <w:t>投标人名称：</w:t>
      </w:r>
      <w:r>
        <w:rPr>
          <w:rFonts w:ascii="宋体" w:hAnsi="宋体"/>
          <w:sz w:val="24"/>
          <w:u w:val="single"/>
        </w:rPr>
        <w:t xml:space="preserve">                           </w:t>
      </w:r>
    </w:p>
    <w:p w14:paraId="00A04F3B">
      <w:pPr>
        <w:pStyle w:val="3"/>
        <w:ind w:firstLine="530"/>
        <w:rPr>
          <w:rFonts w:ascii="Times New Roman" w:hAnsi="Times New Roman" w:eastAsia="宋体"/>
          <w:b w:val="0"/>
          <w:sz w:val="21"/>
          <w:szCs w:val="21"/>
        </w:rPr>
      </w:pPr>
      <w:bookmarkStart w:id="768" w:name="_Toc492300530"/>
      <w:bookmarkStart w:id="769" w:name="_Toc17632"/>
      <w:bookmarkStart w:id="770" w:name="_Toc16673"/>
      <w:r>
        <w:rPr>
          <w:rFonts w:hint="eastAsia" w:ascii="Times New Roman" w:hAnsi="Times New Roman" w:eastAsia="宋体"/>
          <w:b w:val="0"/>
          <w:sz w:val="21"/>
          <w:szCs w:val="21"/>
        </w:rPr>
        <w:t>姓名：</w:t>
      </w:r>
      <w:r>
        <w:rPr>
          <w:rFonts w:ascii="Times New Roman" w:hAnsi="Times New Roman" w:eastAsia="宋体"/>
          <w:b w:val="0"/>
          <w:sz w:val="21"/>
          <w:szCs w:val="21"/>
        </w:rPr>
        <w:t>_________</w:t>
      </w:r>
      <w:r>
        <w:rPr>
          <w:rFonts w:hint="eastAsia" w:ascii="Times New Roman" w:hAnsi="Times New Roman" w:eastAsia="宋体"/>
          <w:b w:val="0"/>
          <w:sz w:val="21"/>
          <w:szCs w:val="21"/>
        </w:rPr>
        <w:t>性别：</w:t>
      </w:r>
      <w:r>
        <w:rPr>
          <w:rFonts w:ascii="Times New Roman" w:hAnsi="Times New Roman" w:eastAsia="宋体"/>
          <w:b w:val="0"/>
          <w:sz w:val="21"/>
          <w:szCs w:val="21"/>
        </w:rPr>
        <w:t>_______</w:t>
      </w:r>
      <w:r>
        <w:rPr>
          <w:rFonts w:hint="eastAsia" w:ascii="Times New Roman" w:hAnsi="Times New Roman" w:eastAsia="宋体"/>
          <w:b w:val="0"/>
          <w:sz w:val="21"/>
          <w:szCs w:val="21"/>
        </w:rPr>
        <w:t>年龄：</w:t>
      </w:r>
      <w:r>
        <w:rPr>
          <w:rFonts w:ascii="Times New Roman" w:hAnsi="Times New Roman" w:eastAsia="宋体"/>
          <w:b w:val="0"/>
          <w:sz w:val="21"/>
          <w:szCs w:val="21"/>
        </w:rPr>
        <w:t>_________</w:t>
      </w:r>
      <w:r>
        <w:rPr>
          <w:rFonts w:hint="eastAsia" w:ascii="Times New Roman" w:hAnsi="Times New Roman" w:eastAsia="宋体"/>
          <w:b w:val="0"/>
          <w:sz w:val="21"/>
          <w:szCs w:val="21"/>
        </w:rPr>
        <w:t>职务：</w:t>
      </w:r>
      <w:r>
        <w:rPr>
          <w:rFonts w:ascii="Times New Roman" w:hAnsi="Times New Roman" w:eastAsia="宋体"/>
          <w:b w:val="0"/>
          <w:sz w:val="21"/>
          <w:szCs w:val="21"/>
        </w:rPr>
        <w:t>_____________</w:t>
      </w:r>
    </w:p>
    <w:p w14:paraId="1D0DEAB3">
      <w:pPr>
        <w:pStyle w:val="3"/>
        <w:ind w:firstLine="530"/>
        <w:rPr>
          <w:rFonts w:ascii="Times New Roman" w:hAnsi="Times New Roman" w:eastAsia="宋体"/>
          <w:b w:val="0"/>
          <w:sz w:val="21"/>
          <w:szCs w:val="21"/>
        </w:rPr>
      </w:pPr>
      <w:r>
        <w:rPr>
          <w:rFonts w:hint="eastAsia" w:ascii="Times New Roman" w:hAnsi="Times New Roman" w:eastAsia="宋体"/>
          <w:b w:val="0"/>
          <w:sz w:val="21"/>
          <w:szCs w:val="21"/>
        </w:rPr>
        <w:t>系</w:t>
      </w:r>
      <w:r>
        <w:rPr>
          <w:rFonts w:ascii="Times New Roman" w:hAnsi="Times New Roman" w:eastAsia="宋体"/>
          <w:b w:val="0"/>
          <w:sz w:val="21"/>
          <w:szCs w:val="21"/>
        </w:rPr>
        <w:t>______________________</w:t>
      </w:r>
      <w:r>
        <w:rPr>
          <w:rFonts w:hint="eastAsia" w:ascii="Times New Roman" w:hAnsi="Times New Roman" w:eastAsia="宋体"/>
          <w:b w:val="0"/>
          <w:sz w:val="21"/>
          <w:szCs w:val="21"/>
        </w:rPr>
        <w:t>（投标人名称）</w:t>
      </w:r>
      <w:r>
        <w:rPr>
          <w:rFonts w:ascii="Times New Roman" w:hAnsi="Times New Roman" w:eastAsia="宋体"/>
          <w:b w:val="0"/>
          <w:sz w:val="21"/>
          <w:szCs w:val="21"/>
        </w:rPr>
        <w:t xml:space="preserve">    </w:t>
      </w:r>
      <w:r>
        <w:rPr>
          <w:rFonts w:hint="eastAsia" w:ascii="Times New Roman" w:hAnsi="Times New Roman" w:eastAsia="宋体"/>
          <w:b w:val="0"/>
          <w:sz w:val="21"/>
          <w:szCs w:val="21"/>
        </w:rPr>
        <w:t>的法定代表人。</w:t>
      </w:r>
    </w:p>
    <w:p w14:paraId="59F1C2AC">
      <w:pPr>
        <w:rPr>
          <w:szCs w:val="21"/>
        </w:rPr>
      </w:pPr>
      <w:r>
        <w:rPr>
          <w:szCs w:val="21"/>
        </w:rPr>
        <w:t xml:space="preserve">     </w:t>
      </w:r>
      <w:r>
        <w:rPr>
          <w:rFonts w:hint="eastAsia"/>
          <w:szCs w:val="21"/>
        </w:rPr>
        <w:t>特此证明。</w:t>
      </w:r>
    </w:p>
    <w:p w14:paraId="3C2606D5">
      <w:pPr>
        <w:pStyle w:val="19"/>
        <w:rPr>
          <w:szCs w:val="21"/>
        </w:rPr>
      </w:pPr>
    </w:p>
    <w:p w14:paraId="186F8FF0">
      <w:pPr>
        <w:pStyle w:val="19"/>
        <w:rPr>
          <w:szCs w:val="21"/>
        </w:rPr>
      </w:pPr>
      <w:r>
        <w:rPr>
          <w:szCs w:val="21"/>
        </w:rPr>
        <w:t xml:space="preserve">     </w:t>
      </w:r>
      <w:r>
        <w:rPr>
          <w:rFonts w:hint="eastAsia"/>
          <w:szCs w:val="21"/>
        </w:rPr>
        <w:t>附：法定代表人身份证复印件。</w:t>
      </w:r>
    </w:p>
    <w:p w14:paraId="7DCE1C5F">
      <w:pPr>
        <w:pStyle w:val="19"/>
        <w:rPr>
          <w:szCs w:val="21"/>
        </w:rPr>
      </w:pPr>
    </w:p>
    <w:p w14:paraId="105C09C2">
      <w:pPr>
        <w:pStyle w:val="19"/>
        <w:rPr>
          <w:szCs w:val="21"/>
        </w:rPr>
      </w:pPr>
    </w:p>
    <w:p w14:paraId="176565A4">
      <w:pPr>
        <w:pStyle w:val="19"/>
        <w:rPr>
          <w:szCs w:val="21"/>
        </w:rPr>
      </w:pPr>
    </w:p>
    <w:p w14:paraId="6121E8E3">
      <w:pPr>
        <w:pStyle w:val="19"/>
        <w:rPr>
          <w:szCs w:val="21"/>
        </w:rPr>
      </w:pPr>
    </w:p>
    <w:p w14:paraId="0EA94299">
      <w:pPr>
        <w:pStyle w:val="19"/>
        <w:rPr>
          <w:szCs w:val="21"/>
        </w:rPr>
      </w:pPr>
    </w:p>
    <w:p w14:paraId="658BEB60">
      <w:pPr>
        <w:pStyle w:val="19"/>
        <w:rPr>
          <w:szCs w:val="21"/>
        </w:rPr>
      </w:pPr>
      <w:r>
        <w:rPr>
          <w:szCs w:val="21"/>
        </w:rPr>
        <w:t xml:space="preserve">                                              </w:t>
      </w:r>
      <w:r>
        <w:rPr>
          <w:rFonts w:hint="eastAsia"/>
          <w:szCs w:val="21"/>
        </w:rPr>
        <w:t>投标人：</w:t>
      </w:r>
      <w:r>
        <w:rPr>
          <w:szCs w:val="21"/>
        </w:rPr>
        <w:t>__________________</w:t>
      </w:r>
      <w:r>
        <w:rPr>
          <w:rFonts w:hint="eastAsia"/>
          <w:szCs w:val="21"/>
        </w:rPr>
        <w:t>（盖单位章）</w:t>
      </w:r>
    </w:p>
    <w:p w14:paraId="235F2159">
      <w:pPr>
        <w:pStyle w:val="19"/>
        <w:rPr>
          <w:szCs w:val="21"/>
        </w:rPr>
      </w:pPr>
      <w:r>
        <w:rPr>
          <w:szCs w:val="21"/>
        </w:rPr>
        <w:t xml:space="preserve">                                 </w:t>
      </w:r>
    </w:p>
    <w:p w14:paraId="73FAA92D">
      <w:pPr>
        <w:topLinePunct/>
        <w:spacing w:line="440" w:lineRule="exact"/>
        <w:ind w:firstLine="3700" w:firstLineChars="1762"/>
        <w:rPr>
          <w:color w:val="000000"/>
        </w:rPr>
      </w:pPr>
      <w:r>
        <w:rPr>
          <w:szCs w:val="21"/>
        </w:rPr>
        <w:t xml:space="preserve">                  </w:t>
      </w:r>
      <w:r>
        <w:rPr>
          <w:color w:val="000000"/>
          <w:u w:val="single"/>
        </w:rPr>
        <w:t xml:space="preserve">       </w:t>
      </w:r>
      <w:r>
        <w:rPr>
          <w:rFonts w:hint="eastAsia"/>
          <w:color w:val="000000"/>
        </w:rPr>
        <w:t>年</w:t>
      </w:r>
      <w:r>
        <w:rPr>
          <w:color w:val="000000"/>
          <w:u w:val="single"/>
        </w:rPr>
        <w:t xml:space="preserve">       </w:t>
      </w:r>
      <w:r>
        <w:rPr>
          <w:rFonts w:hint="eastAsia"/>
          <w:color w:val="000000"/>
        </w:rPr>
        <w:t>月</w:t>
      </w:r>
      <w:r>
        <w:rPr>
          <w:color w:val="000000"/>
          <w:u w:val="single"/>
        </w:rPr>
        <w:t xml:space="preserve">       </w:t>
      </w:r>
      <w:r>
        <w:rPr>
          <w:rFonts w:hint="eastAsia"/>
          <w:color w:val="000000"/>
        </w:rPr>
        <w:t>日</w:t>
      </w:r>
    </w:p>
    <w:bookmarkEnd w:id="768"/>
    <w:bookmarkEnd w:id="769"/>
    <w:bookmarkEnd w:id="770"/>
    <w:p w14:paraId="29DF7034">
      <w:pPr>
        <w:spacing w:line="440" w:lineRule="exact"/>
        <w:rPr>
          <w:color w:val="000000"/>
        </w:rPr>
      </w:pPr>
    </w:p>
    <w:p w14:paraId="0BF31F9B">
      <w:pPr>
        <w:jc w:val="center"/>
        <w:outlineLvl w:val="0"/>
        <w:rPr>
          <w:rFonts w:ascii="黑体" w:hAnsi="宋体"/>
          <w:b/>
          <w:bCs/>
          <w:sz w:val="36"/>
          <w:szCs w:val="36"/>
        </w:rPr>
      </w:pPr>
    </w:p>
    <w:p w14:paraId="7B527601">
      <w:pPr>
        <w:spacing w:line="440" w:lineRule="exact"/>
        <w:jc w:val="center"/>
        <w:rPr>
          <w:rStyle w:val="95"/>
          <w:sz w:val="20"/>
          <w:szCs w:val="20"/>
        </w:rPr>
      </w:pPr>
      <w:r>
        <w:rPr>
          <w:rStyle w:val="95"/>
          <w:sz w:val="20"/>
          <w:szCs w:val="20"/>
        </w:rPr>
        <w:br w:type="page"/>
      </w:r>
    </w:p>
    <w:p w14:paraId="1FFF6801">
      <w:pPr>
        <w:jc w:val="center"/>
        <w:outlineLvl w:val="0"/>
        <w:rPr>
          <w:rFonts w:ascii="黑体" w:hAnsi="宋体"/>
          <w:b/>
          <w:bCs/>
          <w:sz w:val="36"/>
          <w:szCs w:val="36"/>
        </w:rPr>
      </w:pPr>
      <w:r>
        <w:rPr>
          <w:rFonts w:hint="eastAsia" w:ascii="黑体" w:hAnsi="宋体"/>
          <w:b/>
          <w:bCs/>
          <w:sz w:val="36"/>
          <w:szCs w:val="36"/>
          <w:lang w:eastAsia="zh-CN"/>
        </w:rPr>
        <w:t>三</w:t>
      </w:r>
      <w:r>
        <w:rPr>
          <w:rFonts w:hint="eastAsia" w:ascii="黑体" w:hAnsi="宋体"/>
          <w:b/>
          <w:bCs/>
          <w:sz w:val="36"/>
          <w:szCs w:val="36"/>
        </w:rPr>
        <w:t>、授权委托书</w:t>
      </w:r>
    </w:p>
    <w:p w14:paraId="308F019D">
      <w:pPr>
        <w:pStyle w:val="13"/>
        <w:spacing w:line="360" w:lineRule="auto"/>
        <w:ind w:firstLine="100"/>
        <w:jc w:val="center"/>
        <w:rPr>
          <w:rFonts w:ascii="仿宋_GB2312" w:eastAsia="仿宋_GB2312"/>
          <w:sz w:val="30"/>
          <w:szCs w:val="30"/>
        </w:rPr>
      </w:pPr>
    </w:p>
    <w:p w14:paraId="0269744C">
      <w:pPr>
        <w:spacing w:line="360" w:lineRule="auto"/>
        <w:ind w:left="458" w:leftChars="218" w:firstLine="480" w:firstLineChars="200"/>
        <w:rPr>
          <w:rFonts w:ascii="宋体"/>
          <w:sz w:val="24"/>
        </w:rPr>
      </w:pPr>
      <w:r>
        <w:rPr>
          <w:rFonts w:hint="eastAsia" w:ascii="宋体" w:hAnsi="宋体"/>
          <w:sz w:val="24"/>
        </w:rPr>
        <w:t>本人系</w:t>
      </w:r>
      <w:r>
        <w:rPr>
          <w:rFonts w:ascii="宋体" w:hAnsi="宋体"/>
          <w:sz w:val="24"/>
        </w:rPr>
        <w:t xml:space="preserve"> </w:t>
      </w:r>
      <w:r>
        <w:rPr>
          <w:rFonts w:ascii="宋体" w:hAnsi="宋体"/>
          <w:sz w:val="24"/>
          <w:u w:val="single"/>
        </w:rPr>
        <w:t xml:space="preserve"> (</w:t>
      </w:r>
      <w:r>
        <w:rPr>
          <w:rFonts w:hint="eastAsia" w:ascii="宋体" w:hAnsi="宋体"/>
          <w:sz w:val="24"/>
          <w:u w:val="single"/>
        </w:rPr>
        <w:t>单位名称</w:t>
      </w:r>
      <w:r>
        <w:rPr>
          <w:rFonts w:ascii="宋体" w:hAnsi="宋体"/>
          <w:sz w:val="24"/>
          <w:u w:val="single"/>
        </w:rPr>
        <w:t xml:space="preserve">)                               </w:t>
      </w:r>
      <w:r>
        <w:rPr>
          <w:rFonts w:hint="eastAsia" w:ascii="宋体" w:hAnsi="宋体"/>
          <w:sz w:val="24"/>
        </w:rPr>
        <w:t>法定代表人，现授权委托我单位</w:t>
      </w:r>
      <w:r>
        <w:rPr>
          <w:rFonts w:ascii="宋体" w:hAnsi="宋体"/>
          <w:sz w:val="24"/>
          <w:u w:val="single"/>
        </w:rPr>
        <w:t xml:space="preserve">            </w:t>
      </w:r>
      <w:r>
        <w:rPr>
          <w:rFonts w:hint="eastAsia" w:ascii="宋体" w:hAnsi="宋体"/>
          <w:sz w:val="24"/>
        </w:rPr>
        <w:t>（先生</w:t>
      </w:r>
      <w:r>
        <w:rPr>
          <w:rFonts w:ascii="宋体" w:hAnsi="宋体"/>
          <w:sz w:val="24"/>
        </w:rPr>
        <w:t>/</w:t>
      </w:r>
      <w:r>
        <w:rPr>
          <w:rFonts w:hint="eastAsia" w:ascii="宋体" w:hAnsi="宋体"/>
          <w:sz w:val="24"/>
        </w:rPr>
        <w:t>女士）为我方代理人。代理人根据授权，以我方名义签署、澄清、说明、补正、递交、撤回、修改</w:t>
      </w:r>
      <w:r>
        <w:rPr>
          <w:rFonts w:ascii="宋体" w:hAnsi="宋体"/>
          <w:sz w:val="24"/>
        </w:rPr>
        <w:t>__________________</w:t>
      </w:r>
      <w:r>
        <w:rPr>
          <w:rFonts w:hint="eastAsia" w:ascii="宋体" w:hAnsi="宋体"/>
          <w:sz w:val="24"/>
        </w:rPr>
        <w:t>（项目名称）</w:t>
      </w:r>
      <w:r>
        <w:rPr>
          <w:rFonts w:ascii="宋体" w:hAnsi="宋体"/>
          <w:sz w:val="24"/>
        </w:rPr>
        <w:t>_______</w:t>
      </w:r>
      <w:r>
        <w:rPr>
          <w:rFonts w:hint="eastAsia" w:ascii="宋体" w:hAnsi="宋体"/>
          <w:sz w:val="24"/>
        </w:rPr>
        <w:t>标段施工投标文件，签订合同和处理有关事宜，其法律后果由我方承担。</w:t>
      </w:r>
    </w:p>
    <w:p w14:paraId="48326EEF">
      <w:pPr>
        <w:spacing w:line="360" w:lineRule="auto"/>
        <w:ind w:firstLine="480" w:firstLineChars="200"/>
        <w:rPr>
          <w:rFonts w:ascii="宋体" w:cs="宋体"/>
          <w:kern w:val="0"/>
          <w:sz w:val="24"/>
        </w:rPr>
      </w:pPr>
    </w:p>
    <w:p w14:paraId="7A16A5AE">
      <w:pPr>
        <w:spacing w:line="360" w:lineRule="auto"/>
        <w:ind w:firstLine="480" w:firstLineChars="200"/>
        <w:rPr>
          <w:rFonts w:ascii="宋体"/>
          <w:sz w:val="24"/>
        </w:rPr>
      </w:pPr>
      <w:r>
        <w:rPr>
          <w:rFonts w:hint="eastAsia" w:ascii="宋体" w:hAnsi="宋体" w:cs="宋体"/>
          <w:kern w:val="0"/>
          <w:sz w:val="24"/>
        </w:rPr>
        <w:t>授权期限自</w:t>
      </w:r>
      <w:r>
        <w:rPr>
          <w:rFonts w:ascii="宋体" w:hAnsi="宋体" w:cs="宋体"/>
          <w:kern w:val="0"/>
          <w:sz w:val="24"/>
        </w:rPr>
        <w:t>_________</w:t>
      </w:r>
      <w:r>
        <w:rPr>
          <w:rFonts w:hint="eastAsia" w:ascii="宋体" w:hAnsi="宋体" w:cs="宋体"/>
          <w:kern w:val="0"/>
          <w:sz w:val="24"/>
        </w:rPr>
        <w:t>年</w:t>
      </w:r>
      <w:r>
        <w:rPr>
          <w:rFonts w:ascii="宋体" w:hAnsi="宋体" w:cs="宋体"/>
          <w:kern w:val="0"/>
          <w:sz w:val="24"/>
        </w:rPr>
        <w:t>_____</w:t>
      </w:r>
      <w:r>
        <w:rPr>
          <w:rFonts w:hint="eastAsia" w:ascii="宋体" w:hAnsi="宋体" w:cs="宋体"/>
          <w:kern w:val="0"/>
          <w:sz w:val="24"/>
        </w:rPr>
        <w:t>月</w:t>
      </w:r>
      <w:r>
        <w:rPr>
          <w:rFonts w:ascii="宋体" w:hAnsi="宋体" w:cs="宋体"/>
          <w:kern w:val="0"/>
          <w:sz w:val="24"/>
        </w:rPr>
        <w:t>______</w:t>
      </w:r>
      <w:r>
        <w:rPr>
          <w:rFonts w:hint="eastAsia" w:ascii="宋体" w:hAnsi="宋体" w:cs="宋体"/>
          <w:kern w:val="0"/>
          <w:sz w:val="24"/>
        </w:rPr>
        <w:t>日起至</w:t>
      </w:r>
      <w:r>
        <w:rPr>
          <w:rFonts w:ascii="宋体" w:hAnsi="宋体" w:cs="宋体"/>
          <w:kern w:val="0"/>
          <w:sz w:val="24"/>
        </w:rPr>
        <w:t>_________</w:t>
      </w:r>
      <w:r>
        <w:rPr>
          <w:rFonts w:hint="eastAsia" w:ascii="宋体" w:hAnsi="宋体" w:cs="宋体"/>
          <w:kern w:val="0"/>
          <w:sz w:val="24"/>
        </w:rPr>
        <w:t>年</w:t>
      </w:r>
      <w:r>
        <w:rPr>
          <w:rFonts w:ascii="宋体" w:hAnsi="宋体" w:cs="宋体"/>
          <w:kern w:val="0"/>
          <w:sz w:val="24"/>
        </w:rPr>
        <w:t>_____</w:t>
      </w:r>
      <w:r>
        <w:rPr>
          <w:rFonts w:hint="eastAsia" w:ascii="宋体" w:hAnsi="宋体" w:cs="宋体"/>
          <w:kern w:val="0"/>
          <w:sz w:val="24"/>
        </w:rPr>
        <w:t>月</w:t>
      </w:r>
      <w:r>
        <w:rPr>
          <w:rFonts w:ascii="宋体" w:hAnsi="宋体" w:cs="宋体"/>
          <w:kern w:val="0"/>
          <w:sz w:val="24"/>
        </w:rPr>
        <w:t>______</w:t>
      </w:r>
      <w:r>
        <w:rPr>
          <w:rFonts w:hint="eastAsia" w:ascii="宋体" w:hAnsi="宋体" w:cs="宋体"/>
          <w:kern w:val="0"/>
          <w:sz w:val="24"/>
        </w:rPr>
        <w:t>日</w:t>
      </w:r>
      <w:r>
        <w:rPr>
          <w:rFonts w:hint="eastAsia" w:ascii="宋体"/>
          <w:sz w:val="24"/>
        </w:rPr>
        <w:t>代理人无转委托权。</w:t>
      </w:r>
    </w:p>
    <w:p w14:paraId="26B2A982">
      <w:pPr>
        <w:spacing w:line="360" w:lineRule="auto"/>
        <w:ind w:firstLine="480" w:firstLineChars="200"/>
        <w:rPr>
          <w:rFonts w:ascii="宋体" w:cs="宋体"/>
          <w:kern w:val="0"/>
          <w:sz w:val="24"/>
        </w:rPr>
      </w:pPr>
    </w:p>
    <w:p w14:paraId="21423B04">
      <w:pPr>
        <w:spacing w:line="360" w:lineRule="auto"/>
        <w:ind w:firstLine="480" w:firstLineChars="200"/>
        <w:rPr>
          <w:rFonts w:ascii="宋体"/>
          <w:sz w:val="24"/>
          <w:u w:val="single"/>
        </w:rPr>
      </w:pPr>
      <w:r>
        <w:rPr>
          <w:rFonts w:hint="eastAsia" w:ascii="宋体" w:hAnsi="宋体"/>
          <w:sz w:val="24"/>
        </w:rPr>
        <w:t>授权人</w:t>
      </w:r>
      <w:r>
        <w:rPr>
          <w:rFonts w:ascii="宋体" w:hAnsi="宋体"/>
          <w:sz w:val="24"/>
        </w:rPr>
        <w:t>:</w:t>
      </w:r>
      <w:r>
        <w:rPr>
          <w:rFonts w:hint="eastAsia" w:ascii="宋体" w:hAnsi="宋体"/>
          <w:sz w:val="24"/>
          <w:u w:val="single"/>
        </w:rPr>
        <w:t>（姓名）</w:t>
      </w:r>
      <w:r>
        <w:rPr>
          <w:rFonts w:ascii="宋体" w:hAnsi="宋体"/>
          <w:sz w:val="24"/>
          <w:u w:val="single"/>
        </w:rPr>
        <w:t xml:space="preserve">       </w:t>
      </w:r>
      <w:r>
        <w:rPr>
          <w:rFonts w:hint="eastAsia" w:ascii="宋体" w:hAnsi="宋体"/>
          <w:sz w:val="24"/>
          <w:u w:val="single"/>
        </w:rPr>
        <w:t>（性别）</w:t>
      </w:r>
      <w:r>
        <w:rPr>
          <w:rFonts w:ascii="宋体" w:hAnsi="宋体"/>
          <w:sz w:val="24"/>
          <w:u w:val="single"/>
        </w:rPr>
        <w:t xml:space="preserve">    </w:t>
      </w:r>
      <w:r>
        <w:rPr>
          <w:rFonts w:hint="eastAsia" w:ascii="宋体" w:hAnsi="宋体"/>
          <w:sz w:val="24"/>
          <w:u w:val="single"/>
        </w:rPr>
        <w:t>（职务）</w:t>
      </w:r>
      <w:r>
        <w:rPr>
          <w:rFonts w:ascii="宋体" w:hAnsi="宋体"/>
          <w:sz w:val="24"/>
          <w:u w:val="single"/>
        </w:rPr>
        <w:t xml:space="preserve">          </w:t>
      </w:r>
    </w:p>
    <w:tbl>
      <w:tblPr>
        <w:tblStyle w:val="45"/>
        <w:tblpPr w:leftFromText="180" w:rightFromText="180" w:vertAnchor="text" w:horzAnchor="page" w:tblpX="4275" w:tblpY="5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6"/>
        <w:gridCol w:w="236"/>
        <w:gridCol w:w="236"/>
        <w:gridCol w:w="236"/>
        <w:gridCol w:w="236"/>
        <w:gridCol w:w="236"/>
        <w:gridCol w:w="236"/>
        <w:gridCol w:w="236"/>
        <w:gridCol w:w="236"/>
        <w:gridCol w:w="236"/>
        <w:gridCol w:w="236"/>
        <w:gridCol w:w="236"/>
        <w:gridCol w:w="236"/>
        <w:gridCol w:w="236"/>
        <w:gridCol w:w="236"/>
        <w:gridCol w:w="236"/>
        <w:gridCol w:w="236"/>
        <w:gridCol w:w="236"/>
      </w:tblGrid>
      <w:tr w14:paraId="6E9343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2" w:type="dxa"/>
          </w:tcPr>
          <w:p w14:paraId="6B9E33BA">
            <w:pPr>
              <w:spacing w:line="360" w:lineRule="auto"/>
              <w:rPr>
                <w:rFonts w:ascii="宋体"/>
                <w:sz w:val="24"/>
              </w:rPr>
            </w:pPr>
          </w:p>
        </w:tc>
        <w:tc>
          <w:tcPr>
            <w:tcW w:w="222" w:type="dxa"/>
          </w:tcPr>
          <w:p w14:paraId="55331A81">
            <w:pPr>
              <w:spacing w:line="360" w:lineRule="auto"/>
              <w:rPr>
                <w:rFonts w:ascii="宋体"/>
                <w:sz w:val="24"/>
              </w:rPr>
            </w:pPr>
          </w:p>
        </w:tc>
        <w:tc>
          <w:tcPr>
            <w:tcW w:w="222" w:type="dxa"/>
          </w:tcPr>
          <w:p w14:paraId="0FC1AE79">
            <w:pPr>
              <w:spacing w:line="360" w:lineRule="auto"/>
              <w:rPr>
                <w:rFonts w:ascii="宋体"/>
                <w:sz w:val="24"/>
              </w:rPr>
            </w:pPr>
          </w:p>
        </w:tc>
        <w:tc>
          <w:tcPr>
            <w:tcW w:w="222" w:type="dxa"/>
          </w:tcPr>
          <w:p w14:paraId="49247496">
            <w:pPr>
              <w:spacing w:line="360" w:lineRule="auto"/>
              <w:rPr>
                <w:rFonts w:ascii="宋体"/>
                <w:sz w:val="24"/>
              </w:rPr>
            </w:pPr>
          </w:p>
        </w:tc>
        <w:tc>
          <w:tcPr>
            <w:tcW w:w="222" w:type="dxa"/>
          </w:tcPr>
          <w:p w14:paraId="38E0BD26">
            <w:pPr>
              <w:spacing w:line="360" w:lineRule="auto"/>
              <w:rPr>
                <w:rFonts w:ascii="宋体"/>
                <w:sz w:val="24"/>
              </w:rPr>
            </w:pPr>
          </w:p>
        </w:tc>
        <w:tc>
          <w:tcPr>
            <w:tcW w:w="222" w:type="dxa"/>
          </w:tcPr>
          <w:p w14:paraId="2EA52866">
            <w:pPr>
              <w:spacing w:line="360" w:lineRule="auto"/>
              <w:rPr>
                <w:rFonts w:ascii="宋体"/>
                <w:sz w:val="24"/>
              </w:rPr>
            </w:pPr>
          </w:p>
        </w:tc>
        <w:tc>
          <w:tcPr>
            <w:tcW w:w="222" w:type="dxa"/>
          </w:tcPr>
          <w:p w14:paraId="2CDD4C9E">
            <w:pPr>
              <w:spacing w:line="360" w:lineRule="auto"/>
              <w:rPr>
                <w:rFonts w:ascii="宋体"/>
                <w:sz w:val="24"/>
              </w:rPr>
            </w:pPr>
          </w:p>
        </w:tc>
        <w:tc>
          <w:tcPr>
            <w:tcW w:w="222" w:type="dxa"/>
          </w:tcPr>
          <w:p w14:paraId="709931ED">
            <w:pPr>
              <w:spacing w:line="360" w:lineRule="auto"/>
              <w:rPr>
                <w:rFonts w:ascii="宋体"/>
                <w:sz w:val="24"/>
              </w:rPr>
            </w:pPr>
          </w:p>
        </w:tc>
        <w:tc>
          <w:tcPr>
            <w:tcW w:w="222" w:type="dxa"/>
          </w:tcPr>
          <w:p w14:paraId="2540B6EF">
            <w:pPr>
              <w:spacing w:line="360" w:lineRule="auto"/>
              <w:rPr>
                <w:rFonts w:ascii="宋体"/>
                <w:sz w:val="24"/>
              </w:rPr>
            </w:pPr>
          </w:p>
        </w:tc>
        <w:tc>
          <w:tcPr>
            <w:tcW w:w="222" w:type="dxa"/>
          </w:tcPr>
          <w:p w14:paraId="051DFABC">
            <w:pPr>
              <w:spacing w:line="360" w:lineRule="auto"/>
              <w:rPr>
                <w:rFonts w:ascii="宋体"/>
                <w:sz w:val="24"/>
              </w:rPr>
            </w:pPr>
          </w:p>
        </w:tc>
        <w:tc>
          <w:tcPr>
            <w:tcW w:w="222" w:type="dxa"/>
          </w:tcPr>
          <w:p w14:paraId="3740B065">
            <w:pPr>
              <w:spacing w:line="360" w:lineRule="auto"/>
              <w:rPr>
                <w:rFonts w:ascii="宋体"/>
                <w:sz w:val="24"/>
              </w:rPr>
            </w:pPr>
          </w:p>
        </w:tc>
        <w:tc>
          <w:tcPr>
            <w:tcW w:w="222" w:type="dxa"/>
          </w:tcPr>
          <w:p w14:paraId="377CA3E7">
            <w:pPr>
              <w:spacing w:line="360" w:lineRule="auto"/>
              <w:rPr>
                <w:rFonts w:ascii="宋体"/>
                <w:sz w:val="24"/>
              </w:rPr>
            </w:pPr>
          </w:p>
        </w:tc>
        <w:tc>
          <w:tcPr>
            <w:tcW w:w="222" w:type="dxa"/>
          </w:tcPr>
          <w:p w14:paraId="61F0D1C3">
            <w:pPr>
              <w:spacing w:line="360" w:lineRule="auto"/>
              <w:rPr>
                <w:rFonts w:ascii="宋体"/>
                <w:sz w:val="24"/>
              </w:rPr>
            </w:pPr>
          </w:p>
        </w:tc>
        <w:tc>
          <w:tcPr>
            <w:tcW w:w="222" w:type="dxa"/>
          </w:tcPr>
          <w:p w14:paraId="465294E0">
            <w:pPr>
              <w:spacing w:line="360" w:lineRule="auto"/>
              <w:rPr>
                <w:rFonts w:ascii="宋体"/>
                <w:sz w:val="24"/>
              </w:rPr>
            </w:pPr>
          </w:p>
        </w:tc>
        <w:tc>
          <w:tcPr>
            <w:tcW w:w="222" w:type="dxa"/>
          </w:tcPr>
          <w:p w14:paraId="3662A854">
            <w:pPr>
              <w:spacing w:line="360" w:lineRule="auto"/>
              <w:rPr>
                <w:rFonts w:ascii="宋体"/>
                <w:sz w:val="24"/>
              </w:rPr>
            </w:pPr>
          </w:p>
        </w:tc>
        <w:tc>
          <w:tcPr>
            <w:tcW w:w="222" w:type="dxa"/>
          </w:tcPr>
          <w:p w14:paraId="2BB29F61">
            <w:pPr>
              <w:spacing w:line="360" w:lineRule="auto"/>
              <w:rPr>
                <w:rFonts w:ascii="宋体"/>
                <w:sz w:val="24"/>
              </w:rPr>
            </w:pPr>
          </w:p>
        </w:tc>
        <w:tc>
          <w:tcPr>
            <w:tcW w:w="222" w:type="dxa"/>
          </w:tcPr>
          <w:p w14:paraId="6D9B504C">
            <w:pPr>
              <w:spacing w:line="360" w:lineRule="auto"/>
              <w:rPr>
                <w:rFonts w:ascii="宋体"/>
                <w:sz w:val="24"/>
              </w:rPr>
            </w:pPr>
          </w:p>
        </w:tc>
        <w:tc>
          <w:tcPr>
            <w:tcW w:w="222" w:type="dxa"/>
          </w:tcPr>
          <w:p w14:paraId="29383547">
            <w:pPr>
              <w:spacing w:line="360" w:lineRule="auto"/>
              <w:rPr>
                <w:rFonts w:ascii="宋体"/>
                <w:sz w:val="24"/>
              </w:rPr>
            </w:pPr>
          </w:p>
        </w:tc>
      </w:tr>
    </w:tbl>
    <w:p w14:paraId="36C837F9">
      <w:pPr>
        <w:spacing w:line="360" w:lineRule="auto"/>
        <w:ind w:left="189" w:leftChars="90" w:firstLine="720" w:firstLineChars="300"/>
        <w:rPr>
          <w:rFonts w:ascii="宋体"/>
          <w:sz w:val="24"/>
        </w:rPr>
      </w:pPr>
      <w:r>
        <w:rPr>
          <w:rFonts w:hint="eastAsia" w:ascii="宋体" w:hAnsi="宋体"/>
          <w:sz w:val="24"/>
        </w:rPr>
        <w:t>身份证号：</w:t>
      </w:r>
    </w:p>
    <w:p w14:paraId="3FBDDF1F">
      <w:pPr>
        <w:spacing w:line="360" w:lineRule="auto"/>
        <w:ind w:left="189" w:leftChars="90"/>
        <w:rPr>
          <w:rFonts w:ascii="宋体"/>
          <w:sz w:val="24"/>
        </w:rPr>
      </w:pPr>
    </w:p>
    <w:p w14:paraId="5994746F">
      <w:pPr>
        <w:spacing w:line="360" w:lineRule="auto"/>
        <w:ind w:firstLine="480" w:firstLineChars="200"/>
        <w:rPr>
          <w:rFonts w:ascii="宋体"/>
          <w:sz w:val="24"/>
          <w:u w:val="single"/>
        </w:rPr>
      </w:pPr>
      <w:r>
        <w:rPr>
          <w:rFonts w:hint="eastAsia" w:ascii="宋体" w:hAnsi="宋体"/>
          <w:sz w:val="24"/>
        </w:rPr>
        <w:t>被授权人：</w:t>
      </w:r>
      <w:r>
        <w:rPr>
          <w:rFonts w:hint="eastAsia" w:ascii="宋体" w:hAnsi="宋体"/>
          <w:sz w:val="24"/>
          <w:u w:val="single"/>
        </w:rPr>
        <w:t>（姓名）</w:t>
      </w:r>
      <w:r>
        <w:rPr>
          <w:rFonts w:ascii="宋体" w:hAnsi="宋体"/>
          <w:sz w:val="24"/>
          <w:u w:val="single"/>
        </w:rPr>
        <w:t xml:space="preserve">      </w:t>
      </w:r>
      <w:r>
        <w:rPr>
          <w:rFonts w:hint="eastAsia" w:ascii="宋体" w:hAnsi="宋体"/>
          <w:sz w:val="24"/>
          <w:u w:val="single"/>
        </w:rPr>
        <w:t>（性别）</w:t>
      </w:r>
      <w:r>
        <w:rPr>
          <w:rFonts w:ascii="宋体" w:hAnsi="宋体"/>
          <w:sz w:val="24"/>
          <w:u w:val="single"/>
        </w:rPr>
        <w:t xml:space="preserve">    </w:t>
      </w:r>
      <w:r>
        <w:rPr>
          <w:rFonts w:hint="eastAsia" w:ascii="宋体" w:hAnsi="宋体"/>
          <w:sz w:val="24"/>
          <w:u w:val="single"/>
        </w:rPr>
        <w:t>（职务）</w:t>
      </w:r>
      <w:r>
        <w:rPr>
          <w:rFonts w:ascii="宋体" w:hAnsi="宋体"/>
          <w:sz w:val="24"/>
          <w:u w:val="single"/>
        </w:rPr>
        <w:t xml:space="preserve">         </w:t>
      </w:r>
    </w:p>
    <w:tbl>
      <w:tblPr>
        <w:tblStyle w:val="45"/>
        <w:tblpPr w:leftFromText="180" w:rightFromText="180" w:vertAnchor="text" w:horzAnchor="page" w:tblpX="4275" w:tblpY="5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6"/>
        <w:gridCol w:w="236"/>
        <w:gridCol w:w="236"/>
        <w:gridCol w:w="236"/>
        <w:gridCol w:w="236"/>
        <w:gridCol w:w="236"/>
        <w:gridCol w:w="236"/>
        <w:gridCol w:w="236"/>
        <w:gridCol w:w="236"/>
        <w:gridCol w:w="236"/>
        <w:gridCol w:w="236"/>
        <w:gridCol w:w="236"/>
        <w:gridCol w:w="236"/>
        <w:gridCol w:w="236"/>
        <w:gridCol w:w="236"/>
        <w:gridCol w:w="236"/>
        <w:gridCol w:w="236"/>
        <w:gridCol w:w="236"/>
      </w:tblGrid>
      <w:tr w14:paraId="105A47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2" w:type="dxa"/>
          </w:tcPr>
          <w:p w14:paraId="62B6C6F4">
            <w:pPr>
              <w:spacing w:line="360" w:lineRule="auto"/>
              <w:rPr>
                <w:rFonts w:ascii="宋体"/>
                <w:sz w:val="24"/>
              </w:rPr>
            </w:pPr>
          </w:p>
        </w:tc>
        <w:tc>
          <w:tcPr>
            <w:tcW w:w="222" w:type="dxa"/>
          </w:tcPr>
          <w:p w14:paraId="7AA2FD83">
            <w:pPr>
              <w:spacing w:line="360" w:lineRule="auto"/>
              <w:rPr>
                <w:rFonts w:ascii="宋体"/>
                <w:sz w:val="24"/>
              </w:rPr>
            </w:pPr>
          </w:p>
        </w:tc>
        <w:tc>
          <w:tcPr>
            <w:tcW w:w="222" w:type="dxa"/>
          </w:tcPr>
          <w:p w14:paraId="54B3B082">
            <w:pPr>
              <w:spacing w:line="360" w:lineRule="auto"/>
              <w:rPr>
                <w:rFonts w:ascii="宋体"/>
                <w:sz w:val="24"/>
              </w:rPr>
            </w:pPr>
          </w:p>
        </w:tc>
        <w:tc>
          <w:tcPr>
            <w:tcW w:w="222" w:type="dxa"/>
          </w:tcPr>
          <w:p w14:paraId="4294FECA">
            <w:pPr>
              <w:spacing w:line="360" w:lineRule="auto"/>
              <w:rPr>
                <w:rFonts w:ascii="宋体"/>
                <w:sz w:val="24"/>
              </w:rPr>
            </w:pPr>
          </w:p>
        </w:tc>
        <w:tc>
          <w:tcPr>
            <w:tcW w:w="222" w:type="dxa"/>
          </w:tcPr>
          <w:p w14:paraId="7D437F83">
            <w:pPr>
              <w:spacing w:line="360" w:lineRule="auto"/>
              <w:rPr>
                <w:rFonts w:ascii="宋体"/>
                <w:sz w:val="24"/>
              </w:rPr>
            </w:pPr>
          </w:p>
        </w:tc>
        <w:tc>
          <w:tcPr>
            <w:tcW w:w="222" w:type="dxa"/>
          </w:tcPr>
          <w:p w14:paraId="101F82EA">
            <w:pPr>
              <w:spacing w:line="360" w:lineRule="auto"/>
              <w:rPr>
                <w:rFonts w:ascii="宋体"/>
                <w:sz w:val="24"/>
              </w:rPr>
            </w:pPr>
          </w:p>
        </w:tc>
        <w:tc>
          <w:tcPr>
            <w:tcW w:w="222" w:type="dxa"/>
          </w:tcPr>
          <w:p w14:paraId="1FAE8135">
            <w:pPr>
              <w:spacing w:line="360" w:lineRule="auto"/>
              <w:rPr>
                <w:rFonts w:ascii="宋体"/>
                <w:sz w:val="24"/>
              </w:rPr>
            </w:pPr>
          </w:p>
        </w:tc>
        <w:tc>
          <w:tcPr>
            <w:tcW w:w="222" w:type="dxa"/>
          </w:tcPr>
          <w:p w14:paraId="664DA7F2">
            <w:pPr>
              <w:spacing w:line="360" w:lineRule="auto"/>
              <w:rPr>
                <w:rFonts w:ascii="宋体"/>
                <w:sz w:val="24"/>
              </w:rPr>
            </w:pPr>
          </w:p>
        </w:tc>
        <w:tc>
          <w:tcPr>
            <w:tcW w:w="222" w:type="dxa"/>
          </w:tcPr>
          <w:p w14:paraId="5385A493">
            <w:pPr>
              <w:spacing w:line="360" w:lineRule="auto"/>
              <w:rPr>
                <w:rFonts w:ascii="宋体"/>
                <w:sz w:val="24"/>
              </w:rPr>
            </w:pPr>
          </w:p>
        </w:tc>
        <w:tc>
          <w:tcPr>
            <w:tcW w:w="222" w:type="dxa"/>
          </w:tcPr>
          <w:p w14:paraId="3FE821AC">
            <w:pPr>
              <w:spacing w:line="360" w:lineRule="auto"/>
              <w:rPr>
                <w:rFonts w:ascii="宋体"/>
                <w:sz w:val="24"/>
              </w:rPr>
            </w:pPr>
          </w:p>
        </w:tc>
        <w:tc>
          <w:tcPr>
            <w:tcW w:w="222" w:type="dxa"/>
          </w:tcPr>
          <w:p w14:paraId="0ADE34DE">
            <w:pPr>
              <w:spacing w:line="360" w:lineRule="auto"/>
              <w:rPr>
                <w:rFonts w:ascii="宋体"/>
                <w:sz w:val="24"/>
              </w:rPr>
            </w:pPr>
          </w:p>
        </w:tc>
        <w:tc>
          <w:tcPr>
            <w:tcW w:w="222" w:type="dxa"/>
          </w:tcPr>
          <w:p w14:paraId="3E21D89C">
            <w:pPr>
              <w:spacing w:line="360" w:lineRule="auto"/>
              <w:rPr>
                <w:rFonts w:ascii="宋体"/>
                <w:sz w:val="24"/>
              </w:rPr>
            </w:pPr>
          </w:p>
        </w:tc>
        <w:tc>
          <w:tcPr>
            <w:tcW w:w="222" w:type="dxa"/>
          </w:tcPr>
          <w:p w14:paraId="7B643266">
            <w:pPr>
              <w:spacing w:line="360" w:lineRule="auto"/>
              <w:rPr>
                <w:rFonts w:ascii="宋体"/>
                <w:sz w:val="24"/>
              </w:rPr>
            </w:pPr>
          </w:p>
        </w:tc>
        <w:tc>
          <w:tcPr>
            <w:tcW w:w="222" w:type="dxa"/>
          </w:tcPr>
          <w:p w14:paraId="0ABE8B52">
            <w:pPr>
              <w:spacing w:line="360" w:lineRule="auto"/>
              <w:rPr>
                <w:rFonts w:ascii="宋体"/>
                <w:sz w:val="24"/>
              </w:rPr>
            </w:pPr>
          </w:p>
        </w:tc>
        <w:tc>
          <w:tcPr>
            <w:tcW w:w="222" w:type="dxa"/>
          </w:tcPr>
          <w:p w14:paraId="16FA2208">
            <w:pPr>
              <w:spacing w:line="360" w:lineRule="auto"/>
              <w:rPr>
                <w:rFonts w:ascii="宋体"/>
                <w:sz w:val="24"/>
              </w:rPr>
            </w:pPr>
          </w:p>
        </w:tc>
        <w:tc>
          <w:tcPr>
            <w:tcW w:w="222" w:type="dxa"/>
          </w:tcPr>
          <w:p w14:paraId="7103BC89">
            <w:pPr>
              <w:spacing w:line="360" w:lineRule="auto"/>
              <w:rPr>
                <w:rFonts w:ascii="宋体"/>
                <w:sz w:val="24"/>
              </w:rPr>
            </w:pPr>
          </w:p>
        </w:tc>
        <w:tc>
          <w:tcPr>
            <w:tcW w:w="222" w:type="dxa"/>
          </w:tcPr>
          <w:p w14:paraId="2EB73EF2">
            <w:pPr>
              <w:spacing w:line="360" w:lineRule="auto"/>
              <w:rPr>
                <w:rFonts w:ascii="宋体"/>
                <w:sz w:val="24"/>
              </w:rPr>
            </w:pPr>
          </w:p>
        </w:tc>
        <w:tc>
          <w:tcPr>
            <w:tcW w:w="222" w:type="dxa"/>
          </w:tcPr>
          <w:p w14:paraId="564B4DC7">
            <w:pPr>
              <w:spacing w:line="360" w:lineRule="auto"/>
              <w:rPr>
                <w:rFonts w:ascii="宋体"/>
                <w:sz w:val="24"/>
              </w:rPr>
            </w:pPr>
          </w:p>
        </w:tc>
      </w:tr>
    </w:tbl>
    <w:p w14:paraId="3B4572D3">
      <w:pPr>
        <w:spacing w:line="360" w:lineRule="auto"/>
        <w:ind w:left="189" w:leftChars="90" w:firstLine="720" w:firstLineChars="300"/>
        <w:rPr>
          <w:rFonts w:ascii="宋体"/>
          <w:sz w:val="24"/>
        </w:rPr>
      </w:pPr>
      <w:r>
        <w:rPr>
          <w:rFonts w:hint="eastAsia" w:ascii="宋体" w:hAnsi="宋体"/>
          <w:sz w:val="24"/>
        </w:rPr>
        <w:t>身份证号：</w:t>
      </w:r>
    </w:p>
    <w:p w14:paraId="61D30556">
      <w:pPr>
        <w:spacing w:line="360" w:lineRule="auto"/>
        <w:rPr>
          <w:rFonts w:ascii="宋体"/>
          <w:sz w:val="24"/>
        </w:rPr>
      </w:pPr>
      <w:r>
        <w:rPr>
          <w:rFonts w:ascii="宋体" w:hAnsi="宋体"/>
          <w:sz w:val="24"/>
        </w:rPr>
        <w:t xml:space="preserve">    </w:t>
      </w:r>
    </w:p>
    <w:p w14:paraId="0BC1A19C">
      <w:pPr>
        <w:spacing w:line="360" w:lineRule="auto"/>
        <w:rPr>
          <w:rFonts w:ascii="宋体"/>
          <w:sz w:val="24"/>
        </w:rPr>
      </w:pPr>
    </w:p>
    <w:p w14:paraId="4ACE99C7">
      <w:pPr>
        <w:spacing w:line="360" w:lineRule="auto"/>
        <w:rPr>
          <w:rFonts w:ascii="宋体"/>
          <w:sz w:val="24"/>
        </w:rPr>
      </w:pPr>
      <w:r>
        <w:rPr>
          <w:rFonts w:ascii="宋体" w:hAnsi="宋体"/>
          <w:sz w:val="24"/>
        </w:rPr>
        <w:t xml:space="preserve"> </w:t>
      </w:r>
      <w:r>
        <w:rPr>
          <w:rFonts w:hint="eastAsia" w:ascii="宋体" w:hAnsi="宋体"/>
          <w:sz w:val="24"/>
        </w:rPr>
        <w:t>附：</w:t>
      </w:r>
      <w:r>
        <w:rPr>
          <w:rFonts w:ascii="宋体" w:hAnsi="宋体"/>
          <w:sz w:val="24"/>
        </w:rPr>
        <w:t xml:space="preserve">  1</w:t>
      </w:r>
      <w:r>
        <w:rPr>
          <w:rFonts w:hint="eastAsia" w:ascii="宋体" w:hAnsi="宋体"/>
          <w:sz w:val="24"/>
        </w:rPr>
        <w:t>、授权人身份证复印件（正反面）</w:t>
      </w:r>
    </w:p>
    <w:p w14:paraId="75F5ED0D">
      <w:pPr>
        <w:spacing w:line="360" w:lineRule="auto"/>
        <w:ind w:firstLine="720" w:firstLineChars="300"/>
        <w:rPr>
          <w:rFonts w:ascii="宋体"/>
          <w:sz w:val="24"/>
        </w:rPr>
      </w:pPr>
      <w:r>
        <w:rPr>
          <w:rFonts w:ascii="宋体" w:hAnsi="宋体"/>
          <w:sz w:val="24"/>
        </w:rPr>
        <w:t xml:space="preserve"> </w:t>
      </w:r>
    </w:p>
    <w:p w14:paraId="4A0505F5">
      <w:pPr>
        <w:spacing w:line="360" w:lineRule="auto"/>
        <w:ind w:firstLine="720" w:firstLineChars="300"/>
        <w:rPr>
          <w:rFonts w:ascii="宋体"/>
          <w:sz w:val="24"/>
        </w:rPr>
      </w:pPr>
      <w:r>
        <w:rPr>
          <w:rFonts w:ascii="宋体" w:hAnsi="宋体"/>
          <w:sz w:val="24"/>
        </w:rPr>
        <w:t>2</w:t>
      </w:r>
      <w:r>
        <w:rPr>
          <w:rFonts w:hint="eastAsia" w:ascii="宋体" w:hAnsi="宋体"/>
          <w:sz w:val="24"/>
        </w:rPr>
        <w:t>、被授权人身份证复印件（正反面）</w:t>
      </w:r>
    </w:p>
    <w:p w14:paraId="42130521">
      <w:pPr>
        <w:spacing w:line="360" w:lineRule="auto"/>
        <w:rPr>
          <w:rFonts w:ascii="宋体"/>
          <w:sz w:val="24"/>
        </w:rPr>
      </w:pPr>
    </w:p>
    <w:p w14:paraId="24034F28">
      <w:pPr>
        <w:spacing w:line="360" w:lineRule="auto"/>
        <w:ind w:firstLine="480" w:firstLineChars="200"/>
        <w:rPr>
          <w:rFonts w:ascii="宋体"/>
          <w:sz w:val="24"/>
        </w:rPr>
      </w:pPr>
    </w:p>
    <w:p w14:paraId="1FC01A01">
      <w:pPr>
        <w:spacing w:line="360" w:lineRule="auto"/>
        <w:ind w:firstLine="480" w:firstLineChars="200"/>
        <w:rPr>
          <w:rFonts w:ascii="宋体"/>
          <w:sz w:val="24"/>
        </w:rPr>
      </w:pPr>
      <w:r>
        <w:rPr>
          <w:rFonts w:hint="eastAsia" w:ascii="宋体" w:hAnsi="宋体"/>
          <w:sz w:val="24"/>
        </w:rPr>
        <w:t>投标人</w:t>
      </w:r>
      <w:r>
        <w:rPr>
          <w:rFonts w:ascii="宋体" w:hAnsi="宋体"/>
          <w:sz w:val="24"/>
        </w:rPr>
        <w:t>___________________________</w:t>
      </w:r>
      <w:r>
        <w:rPr>
          <w:rFonts w:hint="eastAsia" w:ascii="宋体" w:hAnsi="宋体"/>
          <w:sz w:val="24"/>
        </w:rPr>
        <w:t>（盖单位章）</w:t>
      </w:r>
    </w:p>
    <w:p w14:paraId="5FD7A8C0">
      <w:pPr>
        <w:rPr>
          <w:rFonts w:ascii="宋体"/>
          <w:sz w:val="24"/>
        </w:rPr>
      </w:pPr>
    </w:p>
    <w:p w14:paraId="3C2C55B8">
      <w:pPr>
        <w:ind w:firstLine="480" w:firstLineChars="200"/>
        <w:rPr>
          <w:rFonts w:ascii="宋体"/>
          <w:sz w:val="24"/>
        </w:rPr>
      </w:pPr>
      <w:r>
        <w:rPr>
          <w:rFonts w:hint="eastAsia" w:ascii="宋体" w:hAnsi="宋体"/>
          <w:sz w:val="24"/>
        </w:rPr>
        <w:t>法定代表人：</w:t>
      </w:r>
      <w:r>
        <w:rPr>
          <w:rFonts w:ascii="宋体" w:hAnsi="宋体"/>
          <w:sz w:val="24"/>
          <w:u w:val="single"/>
        </w:rPr>
        <w:t xml:space="preserve">       </w:t>
      </w:r>
      <w:r>
        <w:rPr>
          <w:rFonts w:hint="eastAsia" w:ascii="宋体" w:hAnsi="宋体"/>
          <w:sz w:val="24"/>
        </w:rPr>
        <w:t>（签字或盖章）</w:t>
      </w:r>
      <w:r>
        <w:rPr>
          <w:rFonts w:ascii="宋体" w:hAnsi="宋体"/>
          <w:sz w:val="24"/>
        </w:rPr>
        <w:t xml:space="preserve">        </w:t>
      </w:r>
      <w:r>
        <w:rPr>
          <w:rFonts w:hint="eastAsia" w:ascii="宋体" w:hAnsi="宋体"/>
          <w:sz w:val="24"/>
        </w:rPr>
        <w:t>受托人：</w:t>
      </w:r>
      <w:r>
        <w:rPr>
          <w:rFonts w:ascii="宋体" w:hAnsi="宋体"/>
          <w:sz w:val="24"/>
          <w:u w:val="single"/>
        </w:rPr>
        <w:t xml:space="preserve">       </w:t>
      </w:r>
      <w:r>
        <w:rPr>
          <w:rFonts w:hint="eastAsia" w:ascii="宋体" w:hAnsi="宋体"/>
          <w:sz w:val="24"/>
        </w:rPr>
        <w:t>（签字或盖章）</w:t>
      </w:r>
      <w:r>
        <w:rPr>
          <w:rFonts w:ascii="宋体" w:hAnsi="宋体"/>
          <w:sz w:val="24"/>
        </w:rPr>
        <w:t xml:space="preserve">              </w:t>
      </w:r>
    </w:p>
    <w:p w14:paraId="35F15AEA">
      <w:pPr>
        <w:ind w:left="189" w:leftChars="90" w:firstLine="630"/>
        <w:rPr>
          <w:rFonts w:ascii="宋体"/>
          <w:sz w:val="24"/>
        </w:rPr>
      </w:pPr>
    </w:p>
    <w:p w14:paraId="06AB564F">
      <w:pPr>
        <w:ind w:left="189" w:leftChars="90" w:firstLine="630"/>
        <w:jc w:val="center"/>
        <w:rPr>
          <w:rFonts w:ascii="宋体"/>
          <w:sz w:val="24"/>
        </w:rPr>
      </w:pPr>
      <w:r>
        <w:rPr>
          <w:rFonts w:ascii="宋体" w:hAnsi="宋体"/>
          <w:sz w:val="24"/>
        </w:rPr>
        <w:t xml:space="preserve">                          </w:t>
      </w:r>
    </w:p>
    <w:p w14:paraId="42B534C3">
      <w:pPr>
        <w:ind w:left="189" w:leftChars="90" w:firstLine="630"/>
        <w:jc w:val="center"/>
        <w:rPr>
          <w:rFonts w:ascii="黑体" w:eastAsia="黑体"/>
          <w:sz w:val="36"/>
          <w:szCs w:val="36"/>
        </w:rPr>
      </w:pPr>
      <w:r>
        <w:rPr>
          <w:rFonts w:ascii="宋体" w:hAnsi="宋体"/>
          <w:sz w:val="24"/>
        </w:rPr>
        <w:t xml:space="preserve">         </w:t>
      </w:r>
      <w:r>
        <w:rPr>
          <w:rFonts w:hint="eastAsia" w:ascii="宋体" w:hAnsi="宋体"/>
          <w:sz w:val="24"/>
        </w:rPr>
        <w:t>年</w:t>
      </w:r>
      <w:r>
        <w:rPr>
          <w:rFonts w:ascii="宋体" w:hAnsi="宋体"/>
          <w:sz w:val="24"/>
        </w:rPr>
        <w:t xml:space="preserve">    </w:t>
      </w:r>
      <w:r>
        <w:rPr>
          <w:rFonts w:hint="eastAsia" w:ascii="宋体" w:hAnsi="宋体"/>
          <w:sz w:val="24"/>
        </w:rPr>
        <w:t>月</w:t>
      </w:r>
      <w:r>
        <w:rPr>
          <w:rFonts w:ascii="宋体" w:hAnsi="宋体"/>
          <w:sz w:val="24"/>
        </w:rPr>
        <w:t xml:space="preserve">     </w:t>
      </w:r>
      <w:r>
        <w:rPr>
          <w:rFonts w:hint="eastAsia" w:ascii="宋体" w:hAnsi="宋体"/>
          <w:sz w:val="24"/>
        </w:rPr>
        <w:t>日</w:t>
      </w:r>
    </w:p>
    <w:p w14:paraId="26D636BD">
      <w:pPr>
        <w:spacing w:line="440" w:lineRule="exact"/>
        <w:ind w:firstLine="5775" w:firstLineChars="2750"/>
        <w:rPr>
          <w:rStyle w:val="95"/>
          <w:szCs w:val="21"/>
          <w:u w:val="single"/>
        </w:rPr>
      </w:pPr>
    </w:p>
    <w:p w14:paraId="3C56E886">
      <w:pPr>
        <w:spacing w:line="440" w:lineRule="exact"/>
        <w:rPr>
          <w:rStyle w:val="95"/>
          <w:sz w:val="20"/>
        </w:rPr>
      </w:pPr>
    </w:p>
    <w:p w14:paraId="1E5E7659">
      <w:pPr>
        <w:pStyle w:val="608"/>
        <w:spacing w:line="400" w:lineRule="exact"/>
        <w:jc w:val="center"/>
        <w:rPr>
          <w:rStyle w:val="95"/>
          <w:rFonts w:ascii="Times New Roman" w:hAnsi="Times New Roman"/>
          <w:sz w:val="20"/>
        </w:rPr>
      </w:pPr>
    </w:p>
    <w:p w14:paraId="2C64F8FE">
      <w:pPr>
        <w:pStyle w:val="608"/>
        <w:spacing w:line="400" w:lineRule="exact"/>
        <w:jc w:val="center"/>
        <w:rPr>
          <w:rStyle w:val="95"/>
          <w:rFonts w:ascii="Times New Roman" w:hAnsi="Times New Roman"/>
          <w:sz w:val="20"/>
        </w:rPr>
      </w:pPr>
    </w:p>
    <w:p w14:paraId="001B9945">
      <w:pPr>
        <w:pStyle w:val="608"/>
        <w:spacing w:line="400" w:lineRule="exact"/>
        <w:jc w:val="center"/>
        <w:rPr>
          <w:rStyle w:val="95"/>
          <w:rFonts w:ascii="Times New Roman" w:hAnsi="Times New Roman"/>
        </w:rPr>
      </w:pPr>
      <w:r>
        <w:rPr>
          <w:rStyle w:val="95"/>
          <w:rFonts w:hint="eastAsia" w:ascii="Times New Roman" w:hAnsi="Times New Roman"/>
          <w:b/>
          <w:sz w:val="28"/>
          <w:szCs w:val="28"/>
          <w:lang w:eastAsia="zh-CN"/>
        </w:rPr>
        <w:t>四</w:t>
      </w:r>
      <w:r>
        <w:rPr>
          <w:rStyle w:val="95"/>
          <w:rFonts w:hint="eastAsia" w:ascii="Times New Roman" w:hAnsi="Times New Roman"/>
          <w:b/>
          <w:sz w:val="28"/>
          <w:szCs w:val="28"/>
        </w:rPr>
        <w:t>、投标保证金</w:t>
      </w:r>
    </w:p>
    <w:p w14:paraId="6D48F506">
      <w:pPr>
        <w:topLinePunct/>
        <w:spacing w:line="440" w:lineRule="exact"/>
        <w:ind w:firstLine="420" w:firstLineChars="200"/>
        <w:rPr>
          <w:rStyle w:val="95"/>
        </w:rPr>
      </w:pPr>
    </w:p>
    <w:p w14:paraId="0CBEE733">
      <w:pPr>
        <w:topLinePunct/>
        <w:spacing w:line="440" w:lineRule="exact"/>
        <w:ind w:firstLine="420" w:firstLineChars="200"/>
        <w:rPr>
          <w:rStyle w:val="95"/>
        </w:rPr>
      </w:pPr>
      <w:r>
        <w:rPr>
          <w:rStyle w:val="95"/>
          <w:rFonts w:hint="eastAsia"/>
        </w:rPr>
        <w:t>投标人投标保证金银行电汇凭证或保函的扫描件。</w:t>
      </w:r>
    </w:p>
    <w:p w14:paraId="1C0B9BA9">
      <w:pPr>
        <w:topLinePunct/>
        <w:spacing w:line="440" w:lineRule="exact"/>
        <w:ind w:firstLine="420" w:firstLineChars="200"/>
        <w:rPr>
          <w:rStyle w:val="95"/>
        </w:rPr>
      </w:pPr>
    </w:p>
    <w:p w14:paraId="2E0CE5E9">
      <w:pPr>
        <w:pStyle w:val="182"/>
        <w:ind w:firstLine="480"/>
        <w:rPr>
          <w:rStyle w:val="95"/>
          <w:rFonts w:eastAsia="宋体"/>
        </w:rPr>
      </w:pPr>
    </w:p>
    <w:p w14:paraId="793A1914">
      <w:pPr>
        <w:pStyle w:val="182"/>
        <w:ind w:firstLine="480"/>
        <w:rPr>
          <w:rStyle w:val="95"/>
          <w:rFonts w:eastAsia="宋体"/>
        </w:rPr>
      </w:pPr>
    </w:p>
    <w:p w14:paraId="2D702F41">
      <w:pPr>
        <w:pStyle w:val="182"/>
        <w:ind w:firstLine="480"/>
        <w:rPr>
          <w:rStyle w:val="95"/>
          <w:rFonts w:eastAsia="宋体"/>
        </w:rPr>
      </w:pPr>
    </w:p>
    <w:p w14:paraId="059BF889">
      <w:pPr>
        <w:pStyle w:val="182"/>
        <w:ind w:firstLine="480"/>
        <w:rPr>
          <w:rStyle w:val="95"/>
          <w:rFonts w:eastAsia="宋体"/>
        </w:rPr>
      </w:pPr>
    </w:p>
    <w:p w14:paraId="0B94A5C1">
      <w:pPr>
        <w:pStyle w:val="182"/>
        <w:ind w:firstLine="480"/>
        <w:rPr>
          <w:rStyle w:val="95"/>
          <w:rFonts w:eastAsia="宋体"/>
        </w:rPr>
      </w:pPr>
    </w:p>
    <w:p w14:paraId="29B0C05D">
      <w:pPr>
        <w:pStyle w:val="183"/>
        <w:rPr>
          <w:rStyle w:val="95"/>
          <w:rFonts w:ascii="Times New Roman" w:hAnsi="Times New Roman"/>
        </w:rPr>
      </w:pPr>
    </w:p>
    <w:p w14:paraId="242AA4EC">
      <w:pPr>
        <w:pStyle w:val="183"/>
        <w:rPr>
          <w:rStyle w:val="95"/>
          <w:rFonts w:ascii="Times New Roman" w:hAnsi="Times New Roman"/>
        </w:rPr>
      </w:pPr>
    </w:p>
    <w:p w14:paraId="5CCE0967">
      <w:pPr>
        <w:pStyle w:val="183"/>
        <w:rPr>
          <w:rStyle w:val="95"/>
          <w:rFonts w:ascii="Times New Roman" w:hAnsi="Times New Roman"/>
        </w:rPr>
      </w:pPr>
    </w:p>
    <w:p w14:paraId="62974B0D">
      <w:pPr>
        <w:pStyle w:val="183"/>
        <w:rPr>
          <w:rStyle w:val="95"/>
          <w:rFonts w:ascii="Times New Roman" w:hAnsi="Times New Roman"/>
        </w:rPr>
      </w:pPr>
    </w:p>
    <w:p w14:paraId="243EC74E">
      <w:pPr>
        <w:pStyle w:val="183"/>
        <w:rPr>
          <w:rStyle w:val="95"/>
          <w:rFonts w:ascii="Times New Roman" w:hAnsi="Times New Roman"/>
        </w:rPr>
      </w:pPr>
    </w:p>
    <w:p w14:paraId="11BA9A82">
      <w:pPr>
        <w:pStyle w:val="183"/>
        <w:rPr>
          <w:rStyle w:val="95"/>
          <w:rFonts w:ascii="Times New Roman" w:hAnsi="Times New Roman"/>
        </w:rPr>
      </w:pPr>
    </w:p>
    <w:p w14:paraId="541EBB1A">
      <w:pPr>
        <w:pStyle w:val="183"/>
        <w:rPr>
          <w:rStyle w:val="95"/>
          <w:rFonts w:ascii="Times New Roman" w:hAnsi="Times New Roman"/>
        </w:rPr>
      </w:pPr>
    </w:p>
    <w:p w14:paraId="2B0177E8">
      <w:pPr>
        <w:pStyle w:val="183"/>
        <w:rPr>
          <w:rStyle w:val="95"/>
          <w:rFonts w:ascii="Times New Roman" w:hAnsi="Times New Roman"/>
        </w:rPr>
      </w:pPr>
    </w:p>
    <w:p w14:paraId="28E021FB">
      <w:pPr>
        <w:pStyle w:val="183"/>
        <w:rPr>
          <w:rStyle w:val="95"/>
          <w:rFonts w:ascii="Times New Roman" w:hAnsi="Times New Roman"/>
        </w:rPr>
      </w:pPr>
    </w:p>
    <w:p w14:paraId="3664FFF1">
      <w:pPr>
        <w:pStyle w:val="183"/>
        <w:rPr>
          <w:rStyle w:val="95"/>
          <w:rFonts w:ascii="Times New Roman" w:hAnsi="Times New Roman"/>
        </w:rPr>
      </w:pPr>
    </w:p>
    <w:p w14:paraId="035C395E">
      <w:pPr>
        <w:pStyle w:val="183"/>
        <w:rPr>
          <w:rStyle w:val="95"/>
          <w:rFonts w:ascii="Times New Roman" w:hAnsi="Times New Roman"/>
        </w:rPr>
      </w:pPr>
    </w:p>
    <w:p w14:paraId="5E4921B3">
      <w:pPr>
        <w:pStyle w:val="183"/>
        <w:rPr>
          <w:rStyle w:val="95"/>
          <w:rFonts w:ascii="Times New Roman" w:hAnsi="Times New Roman"/>
        </w:rPr>
      </w:pPr>
    </w:p>
    <w:p w14:paraId="5FA3669C">
      <w:pPr>
        <w:pStyle w:val="183"/>
        <w:rPr>
          <w:rStyle w:val="95"/>
          <w:rFonts w:ascii="Times New Roman" w:hAnsi="Times New Roman"/>
        </w:rPr>
      </w:pPr>
    </w:p>
    <w:p w14:paraId="06AF41CF">
      <w:pPr>
        <w:pStyle w:val="183"/>
        <w:rPr>
          <w:rStyle w:val="95"/>
          <w:rFonts w:ascii="Times New Roman" w:hAnsi="Times New Roman"/>
        </w:rPr>
      </w:pPr>
    </w:p>
    <w:p w14:paraId="1BF8E8CE">
      <w:pPr>
        <w:pStyle w:val="183"/>
        <w:rPr>
          <w:rStyle w:val="95"/>
          <w:rFonts w:ascii="Times New Roman" w:hAnsi="Times New Roman"/>
        </w:rPr>
      </w:pPr>
    </w:p>
    <w:p w14:paraId="1FB336AC">
      <w:pPr>
        <w:pStyle w:val="183"/>
        <w:rPr>
          <w:rStyle w:val="95"/>
          <w:rFonts w:ascii="Times New Roman" w:hAnsi="Times New Roman"/>
        </w:rPr>
      </w:pPr>
    </w:p>
    <w:p w14:paraId="55452669">
      <w:pPr>
        <w:pStyle w:val="183"/>
        <w:rPr>
          <w:rStyle w:val="95"/>
          <w:rFonts w:ascii="Times New Roman" w:hAnsi="Times New Roman"/>
        </w:rPr>
      </w:pPr>
    </w:p>
    <w:p w14:paraId="78549F7C">
      <w:pPr>
        <w:pStyle w:val="183"/>
        <w:rPr>
          <w:rStyle w:val="95"/>
          <w:rFonts w:ascii="Times New Roman" w:hAnsi="Times New Roman"/>
        </w:rPr>
      </w:pPr>
    </w:p>
    <w:p w14:paraId="2181B29C">
      <w:pPr>
        <w:pStyle w:val="183"/>
        <w:rPr>
          <w:rStyle w:val="95"/>
          <w:rFonts w:ascii="Times New Roman" w:hAnsi="Times New Roman"/>
        </w:rPr>
      </w:pPr>
    </w:p>
    <w:p w14:paraId="74C966C4">
      <w:pPr>
        <w:pStyle w:val="183"/>
        <w:rPr>
          <w:rStyle w:val="95"/>
          <w:rFonts w:ascii="Times New Roman" w:hAnsi="Times New Roman"/>
        </w:rPr>
      </w:pPr>
    </w:p>
    <w:p w14:paraId="3AA28515">
      <w:pPr>
        <w:pStyle w:val="183"/>
        <w:rPr>
          <w:rStyle w:val="95"/>
          <w:rFonts w:ascii="Times New Roman" w:hAnsi="Times New Roman"/>
        </w:rPr>
      </w:pPr>
    </w:p>
    <w:p w14:paraId="3A816BAE">
      <w:pPr>
        <w:pStyle w:val="183"/>
        <w:rPr>
          <w:rStyle w:val="95"/>
          <w:rFonts w:ascii="Times New Roman" w:hAnsi="Times New Roman"/>
        </w:rPr>
      </w:pPr>
    </w:p>
    <w:p w14:paraId="6A2DAB77">
      <w:pPr>
        <w:pStyle w:val="183"/>
        <w:rPr>
          <w:rStyle w:val="95"/>
          <w:rFonts w:ascii="Times New Roman" w:hAnsi="Times New Roman"/>
        </w:rPr>
      </w:pPr>
    </w:p>
    <w:p w14:paraId="4E86409D">
      <w:pPr>
        <w:pStyle w:val="183"/>
        <w:rPr>
          <w:rStyle w:val="95"/>
          <w:rFonts w:ascii="Times New Roman" w:hAnsi="Times New Roman"/>
        </w:rPr>
      </w:pPr>
    </w:p>
    <w:p w14:paraId="48950D61">
      <w:pPr>
        <w:pStyle w:val="182"/>
        <w:ind w:firstLine="480"/>
        <w:rPr>
          <w:rStyle w:val="95"/>
          <w:rFonts w:eastAsia="宋体"/>
        </w:rPr>
      </w:pPr>
    </w:p>
    <w:p w14:paraId="3E285644">
      <w:pPr>
        <w:pStyle w:val="183"/>
        <w:rPr>
          <w:rStyle w:val="95"/>
          <w:rFonts w:ascii="Times New Roman" w:hAnsi="Times New Roman"/>
        </w:rPr>
      </w:pPr>
    </w:p>
    <w:p w14:paraId="52328E87">
      <w:pPr>
        <w:pStyle w:val="183"/>
        <w:rPr>
          <w:rStyle w:val="95"/>
          <w:rFonts w:ascii="Times New Roman" w:hAnsi="Times New Roman"/>
        </w:rPr>
      </w:pPr>
    </w:p>
    <w:p w14:paraId="4D4D4CE2">
      <w:pPr>
        <w:pStyle w:val="182"/>
        <w:ind w:firstLine="480"/>
        <w:rPr>
          <w:rStyle w:val="95"/>
          <w:rFonts w:eastAsia="宋体"/>
        </w:rPr>
      </w:pPr>
    </w:p>
    <w:p w14:paraId="05741721">
      <w:pPr>
        <w:spacing w:line="400" w:lineRule="exact"/>
        <w:ind w:firstLine="2835" w:firstLineChars="1350"/>
        <w:rPr>
          <w:rStyle w:val="95"/>
          <w:u w:val="single"/>
        </w:rPr>
      </w:pPr>
      <w:r>
        <w:rPr>
          <w:rStyle w:val="95"/>
          <w:rFonts w:hint="eastAsia"/>
        </w:rPr>
        <w:t>投标人（盖章）：</w:t>
      </w:r>
    </w:p>
    <w:p w14:paraId="2F371C55">
      <w:pPr>
        <w:spacing w:line="400" w:lineRule="exact"/>
        <w:ind w:firstLine="2835" w:firstLineChars="1350"/>
        <w:rPr>
          <w:rStyle w:val="95"/>
          <w:u w:val="single"/>
        </w:rPr>
      </w:pPr>
      <w:r>
        <w:rPr>
          <w:rStyle w:val="95"/>
          <w:rFonts w:hint="eastAsia"/>
        </w:rPr>
        <w:t>法定代表人或授权代理人（签字）：</w:t>
      </w:r>
    </w:p>
    <w:p w14:paraId="6E742AFE">
      <w:pPr>
        <w:spacing w:line="400" w:lineRule="exact"/>
        <w:ind w:firstLine="3780" w:firstLineChars="1800"/>
        <w:rPr>
          <w:rStyle w:val="95"/>
        </w:rPr>
      </w:pPr>
      <w:r>
        <w:rPr>
          <w:rStyle w:val="95"/>
          <w:rFonts w:hint="eastAsia"/>
          <w:szCs w:val="21"/>
        </w:rPr>
        <w:t>年</w:t>
      </w:r>
      <w:r>
        <w:rPr>
          <w:rStyle w:val="95"/>
          <w:szCs w:val="21"/>
        </w:rPr>
        <w:t xml:space="preserve">   </w:t>
      </w:r>
      <w:r>
        <w:rPr>
          <w:rStyle w:val="95"/>
          <w:rFonts w:hint="eastAsia"/>
          <w:szCs w:val="21"/>
        </w:rPr>
        <w:t>月</w:t>
      </w:r>
      <w:r>
        <w:rPr>
          <w:rStyle w:val="95"/>
          <w:szCs w:val="21"/>
        </w:rPr>
        <w:t xml:space="preserve">   </w:t>
      </w:r>
      <w:r>
        <w:rPr>
          <w:rStyle w:val="95"/>
          <w:rFonts w:hint="eastAsia"/>
          <w:szCs w:val="21"/>
        </w:rPr>
        <w:t>日</w:t>
      </w:r>
    </w:p>
    <w:p w14:paraId="364C410C">
      <w:pPr>
        <w:pStyle w:val="183"/>
        <w:rPr>
          <w:rStyle w:val="95"/>
          <w:rFonts w:ascii="Times New Roman" w:hAnsi="Times New Roman"/>
        </w:rPr>
      </w:pPr>
    </w:p>
    <w:p w14:paraId="72519845">
      <w:pPr>
        <w:pStyle w:val="183"/>
        <w:rPr>
          <w:rStyle w:val="95"/>
          <w:rFonts w:ascii="Times New Roman" w:hAnsi="Times New Roman"/>
        </w:rPr>
      </w:pPr>
    </w:p>
    <w:p w14:paraId="495A9708">
      <w:pPr>
        <w:pStyle w:val="608"/>
        <w:spacing w:line="800" w:lineRule="exact"/>
        <w:jc w:val="center"/>
        <w:rPr>
          <w:rStyle w:val="95"/>
          <w:rFonts w:ascii="Times New Roman" w:hAnsi="Times New Roman"/>
          <w:b/>
          <w:sz w:val="28"/>
          <w:szCs w:val="28"/>
        </w:rPr>
      </w:pPr>
      <w:r>
        <w:rPr>
          <w:rStyle w:val="95"/>
          <w:rFonts w:hint="eastAsia" w:ascii="Times New Roman" w:hAnsi="Times New Roman"/>
          <w:b/>
          <w:sz w:val="28"/>
          <w:szCs w:val="28"/>
          <w:lang w:eastAsia="zh-CN"/>
        </w:rPr>
        <w:t>五</w:t>
      </w:r>
      <w:r>
        <w:rPr>
          <w:rStyle w:val="95"/>
          <w:rFonts w:hint="eastAsia" w:ascii="Times New Roman" w:hAnsi="Times New Roman"/>
          <w:b/>
          <w:sz w:val="28"/>
          <w:szCs w:val="28"/>
        </w:rPr>
        <w:t>、联合体协议书（如有）</w:t>
      </w:r>
    </w:p>
    <w:p w14:paraId="383DE8C6">
      <w:pPr>
        <w:spacing w:line="360" w:lineRule="exact"/>
        <w:rPr>
          <w:rStyle w:val="95"/>
          <w:szCs w:val="21"/>
        </w:rPr>
      </w:pPr>
    </w:p>
    <w:p w14:paraId="21C7AE0B">
      <w:pPr>
        <w:spacing w:line="360" w:lineRule="exact"/>
        <w:rPr>
          <w:rStyle w:val="95"/>
          <w:szCs w:val="21"/>
        </w:rPr>
      </w:pPr>
      <w:r>
        <w:rPr>
          <w:rStyle w:val="95"/>
          <w:rFonts w:hint="eastAsia"/>
          <w:szCs w:val="21"/>
        </w:rPr>
        <w:t>牵头人名称：</w:t>
      </w:r>
    </w:p>
    <w:p w14:paraId="127B1D08">
      <w:pPr>
        <w:spacing w:line="360" w:lineRule="exact"/>
        <w:rPr>
          <w:rStyle w:val="95"/>
          <w:szCs w:val="21"/>
        </w:rPr>
      </w:pPr>
      <w:r>
        <w:rPr>
          <w:rStyle w:val="95"/>
          <w:rFonts w:hint="eastAsia"/>
          <w:szCs w:val="21"/>
        </w:rPr>
        <w:t>法定代表人：</w:t>
      </w:r>
    </w:p>
    <w:p w14:paraId="1029B094">
      <w:pPr>
        <w:spacing w:line="360" w:lineRule="exact"/>
        <w:rPr>
          <w:rStyle w:val="95"/>
          <w:szCs w:val="21"/>
        </w:rPr>
      </w:pPr>
      <w:r>
        <w:rPr>
          <w:rStyle w:val="95"/>
          <w:rFonts w:hint="eastAsia"/>
          <w:szCs w:val="21"/>
        </w:rPr>
        <w:t>法定住所：</w:t>
      </w:r>
    </w:p>
    <w:p w14:paraId="7E71BC16">
      <w:pPr>
        <w:spacing w:line="360" w:lineRule="exact"/>
        <w:rPr>
          <w:rStyle w:val="95"/>
          <w:szCs w:val="21"/>
          <w:u w:val="single"/>
        </w:rPr>
      </w:pPr>
      <w:r>
        <w:rPr>
          <w:rStyle w:val="95"/>
          <w:rFonts w:hint="eastAsia"/>
          <w:szCs w:val="21"/>
        </w:rPr>
        <w:t>成员二名称：</w:t>
      </w:r>
    </w:p>
    <w:p w14:paraId="4980E36F">
      <w:pPr>
        <w:spacing w:line="360" w:lineRule="exact"/>
        <w:rPr>
          <w:rStyle w:val="95"/>
          <w:szCs w:val="21"/>
          <w:u w:val="single"/>
        </w:rPr>
      </w:pPr>
      <w:r>
        <w:rPr>
          <w:rStyle w:val="95"/>
          <w:rFonts w:hint="eastAsia"/>
          <w:szCs w:val="21"/>
        </w:rPr>
        <w:t>法定代表人：</w:t>
      </w:r>
    </w:p>
    <w:p w14:paraId="351C8BDB">
      <w:pPr>
        <w:spacing w:line="360" w:lineRule="exact"/>
        <w:rPr>
          <w:rStyle w:val="95"/>
          <w:szCs w:val="21"/>
          <w:u w:val="single"/>
        </w:rPr>
      </w:pPr>
      <w:r>
        <w:rPr>
          <w:rStyle w:val="95"/>
          <w:rFonts w:hint="eastAsia"/>
          <w:szCs w:val="21"/>
        </w:rPr>
        <w:t>法定住所：</w:t>
      </w:r>
    </w:p>
    <w:p w14:paraId="67EB6A71">
      <w:pPr>
        <w:spacing w:line="360" w:lineRule="exact"/>
        <w:ind w:firstLine="428" w:firstLineChars="204"/>
        <w:rPr>
          <w:rStyle w:val="95"/>
          <w:szCs w:val="21"/>
        </w:rPr>
      </w:pPr>
      <w:r>
        <w:rPr>
          <w:rStyle w:val="95"/>
          <w:szCs w:val="21"/>
        </w:rPr>
        <w:t>……</w:t>
      </w:r>
    </w:p>
    <w:p w14:paraId="3E58793F">
      <w:pPr>
        <w:spacing w:line="360" w:lineRule="exact"/>
        <w:ind w:firstLine="420" w:firstLineChars="200"/>
        <w:rPr>
          <w:rStyle w:val="95"/>
          <w:szCs w:val="21"/>
        </w:rPr>
      </w:pPr>
      <w:r>
        <w:rPr>
          <w:rStyle w:val="95"/>
          <w:rFonts w:hint="eastAsia"/>
          <w:szCs w:val="21"/>
        </w:rPr>
        <w:t>鉴于上述各成员单位经过友好协商，自愿组成（联合体名称）联合体，共同参加</w:t>
      </w:r>
      <w:r>
        <w:rPr>
          <w:rStyle w:val="95"/>
          <w:szCs w:val="21"/>
        </w:rPr>
        <w:t xml:space="preserve">                  </w:t>
      </w:r>
      <w:r>
        <w:rPr>
          <w:rStyle w:val="95"/>
          <w:rFonts w:hint="eastAsia"/>
          <w:szCs w:val="21"/>
        </w:rPr>
        <w:t>（招标人名称）（以下简称招标人）（项目名称）（标段）（如有）（以下简称本工程）的施工投标并争取赢得本工程施工承包合同（以下简称合同）。现就联合体投标事宜订立如下协议：</w:t>
      </w:r>
    </w:p>
    <w:p w14:paraId="32DCAAAE">
      <w:pPr>
        <w:spacing w:line="360" w:lineRule="exact"/>
        <w:ind w:firstLine="420" w:firstLineChars="200"/>
        <w:rPr>
          <w:rStyle w:val="95"/>
          <w:szCs w:val="21"/>
        </w:rPr>
      </w:pPr>
      <w:r>
        <w:rPr>
          <w:rStyle w:val="95"/>
          <w:szCs w:val="21"/>
        </w:rPr>
        <w:t>1</w:t>
      </w:r>
      <w:r>
        <w:rPr>
          <w:rStyle w:val="95"/>
          <w:rFonts w:hint="eastAsia"/>
          <w:szCs w:val="21"/>
        </w:rPr>
        <w:t>．（某成员单位名称）为（联合体名称）牵头人。</w:t>
      </w:r>
    </w:p>
    <w:p w14:paraId="59D4DBCC">
      <w:pPr>
        <w:spacing w:line="360" w:lineRule="exact"/>
        <w:ind w:firstLine="420" w:firstLineChars="200"/>
        <w:rPr>
          <w:rStyle w:val="95"/>
          <w:szCs w:val="21"/>
        </w:rPr>
      </w:pPr>
      <w:r>
        <w:rPr>
          <w:rStyle w:val="95"/>
          <w:szCs w:val="21"/>
        </w:rPr>
        <w:t>2</w:t>
      </w:r>
      <w:r>
        <w:rPr>
          <w:rStyle w:val="95"/>
          <w:rFonts w:hint="eastAsia"/>
          <w:szCs w:val="21"/>
        </w:rPr>
        <w:t>．在本工程投标阶段，联合体牵头人合法代表联合体各成员负责本工程投标文件编制活动，代表联合体提交和接收相关的资料、信息及指示，并处理与投标和中标有关的一切事务；联合体中标后，联合体牵头人负责合同订立和合同实施阶段的主办、组织和协调工作。</w:t>
      </w:r>
    </w:p>
    <w:p w14:paraId="2371B2B6">
      <w:pPr>
        <w:spacing w:line="360" w:lineRule="exact"/>
        <w:ind w:firstLine="420" w:firstLineChars="200"/>
        <w:rPr>
          <w:rStyle w:val="95"/>
          <w:szCs w:val="21"/>
        </w:rPr>
      </w:pPr>
      <w:r>
        <w:rPr>
          <w:rStyle w:val="95"/>
          <w:szCs w:val="21"/>
        </w:rPr>
        <w:t>3</w:t>
      </w:r>
      <w:r>
        <w:rPr>
          <w:rStyle w:val="95"/>
          <w:rFonts w:hint="eastAsia"/>
          <w:szCs w:val="21"/>
        </w:rPr>
        <w:t>．联合体将严格按照招标文件的各项要求，递交投标文件，履行投标义务和中标后的合同，共同承担合同规定的一切义务和责任，联合体各成员单位按照内部职责的部分，承担各自所负的责任和风险，并向招标人承担连带责任。</w:t>
      </w:r>
    </w:p>
    <w:p w14:paraId="0E91395D">
      <w:pPr>
        <w:spacing w:line="360" w:lineRule="exact"/>
        <w:ind w:firstLine="420" w:firstLineChars="200"/>
        <w:rPr>
          <w:rStyle w:val="95"/>
          <w:szCs w:val="21"/>
        </w:rPr>
      </w:pPr>
      <w:r>
        <w:rPr>
          <w:rStyle w:val="95"/>
          <w:szCs w:val="21"/>
        </w:rPr>
        <w:t>4</w:t>
      </w:r>
      <w:r>
        <w:rPr>
          <w:rStyle w:val="95"/>
          <w:rFonts w:hint="eastAsia"/>
          <w:szCs w:val="21"/>
        </w:rPr>
        <w:t>．联合体各成员单位内部的职责分工如下：。按照本条上述分工，联合体成员单位各自所承担的合同工作量比例如下：。</w:t>
      </w:r>
    </w:p>
    <w:p w14:paraId="6D14461F">
      <w:pPr>
        <w:spacing w:line="360" w:lineRule="exact"/>
        <w:ind w:firstLine="420" w:firstLineChars="200"/>
        <w:rPr>
          <w:rStyle w:val="95"/>
          <w:szCs w:val="21"/>
        </w:rPr>
      </w:pPr>
      <w:r>
        <w:rPr>
          <w:rStyle w:val="95"/>
          <w:szCs w:val="21"/>
        </w:rPr>
        <w:t>5</w:t>
      </w:r>
      <w:r>
        <w:rPr>
          <w:rStyle w:val="95"/>
          <w:rFonts w:hint="eastAsia"/>
          <w:szCs w:val="21"/>
        </w:rPr>
        <w:t>．投标工作和联合体在中标后工程实施过程中的有关费用按各自承担的工作量分摊。</w:t>
      </w:r>
    </w:p>
    <w:p w14:paraId="1DF7A0A4">
      <w:pPr>
        <w:spacing w:line="360" w:lineRule="exact"/>
        <w:ind w:firstLine="420" w:firstLineChars="200"/>
        <w:rPr>
          <w:rStyle w:val="95"/>
          <w:szCs w:val="21"/>
        </w:rPr>
      </w:pPr>
      <w:r>
        <w:rPr>
          <w:rStyle w:val="95"/>
          <w:szCs w:val="21"/>
        </w:rPr>
        <w:t>6</w:t>
      </w:r>
      <w:r>
        <w:rPr>
          <w:rStyle w:val="95"/>
          <w:rFonts w:hint="eastAsia"/>
          <w:szCs w:val="21"/>
        </w:rPr>
        <w:t>．联合体中标后，本联合体协议是合同的附件，对联合体各成员单位有合同约束力。</w:t>
      </w:r>
    </w:p>
    <w:p w14:paraId="6D7CF576">
      <w:pPr>
        <w:spacing w:line="360" w:lineRule="exact"/>
        <w:ind w:firstLine="420" w:firstLineChars="200"/>
        <w:rPr>
          <w:rStyle w:val="95"/>
          <w:szCs w:val="21"/>
        </w:rPr>
      </w:pPr>
      <w:r>
        <w:rPr>
          <w:rStyle w:val="95"/>
          <w:szCs w:val="21"/>
        </w:rPr>
        <w:t>7</w:t>
      </w:r>
      <w:r>
        <w:rPr>
          <w:rStyle w:val="95"/>
          <w:rFonts w:hint="eastAsia"/>
          <w:szCs w:val="21"/>
        </w:rPr>
        <w:t>．本协议书自签署之日起生效，联合体未中标或者中标时合同履行完毕后自动失效。</w:t>
      </w:r>
    </w:p>
    <w:p w14:paraId="1A2A45A4">
      <w:pPr>
        <w:spacing w:line="360" w:lineRule="exact"/>
        <w:ind w:firstLine="420" w:firstLineChars="200"/>
        <w:rPr>
          <w:rStyle w:val="95"/>
          <w:szCs w:val="21"/>
        </w:rPr>
      </w:pPr>
      <w:r>
        <w:rPr>
          <w:rStyle w:val="95"/>
          <w:szCs w:val="21"/>
        </w:rPr>
        <w:t>8</w:t>
      </w:r>
      <w:r>
        <w:rPr>
          <w:rStyle w:val="95"/>
          <w:rFonts w:hint="eastAsia"/>
          <w:szCs w:val="21"/>
        </w:rPr>
        <w:t>．本协议书一式份，联合体成员和招标人各执一份。</w:t>
      </w:r>
    </w:p>
    <w:p w14:paraId="156FE94D">
      <w:pPr>
        <w:spacing w:line="360" w:lineRule="exact"/>
        <w:rPr>
          <w:rStyle w:val="95"/>
          <w:szCs w:val="21"/>
        </w:rPr>
      </w:pPr>
    </w:p>
    <w:p w14:paraId="12A587DD">
      <w:pPr>
        <w:spacing w:line="360" w:lineRule="exact"/>
        <w:ind w:firstLine="1176" w:firstLineChars="560"/>
        <w:rPr>
          <w:rStyle w:val="95"/>
          <w:szCs w:val="21"/>
        </w:rPr>
      </w:pPr>
      <w:r>
        <w:rPr>
          <w:rStyle w:val="95"/>
          <w:rFonts w:hint="eastAsia"/>
          <w:szCs w:val="21"/>
        </w:rPr>
        <w:t>牵头人名称：（盖单位章）</w:t>
      </w:r>
    </w:p>
    <w:p w14:paraId="7D0501B1">
      <w:pPr>
        <w:spacing w:line="360" w:lineRule="exact"/>
        <w:ind w:firstLine="1176" w:firstLineChars="560"/>
        <w:rPr>
          <w:rStyle w:val="95"/>
          <w:szCs w:val="21"/>
        </w:rPr>
      </w:pPr>
      <w:r>
        <w:rPr>
          <w:rStyle w:val="95"/>
          <w:rFonts w:hint="eastAsia"/>
          <w:szCs w:val="21"/>
        </w:rPr>
        <w:t>法定代表人或其委托代理人：（签字）</w:t>
      </w:r>
    </w:p>
    <w:p w14:paraId="5E1D2004">
      <w:pPr>
        <w:spacing w:line="360" w:lineRule="exact"/>
        <w:ind w:firstLine="1785" w:firstLineChars="850"/>
        <w:rPr>
          <w:rStyle w:val="95"/>
          <w:szCs w:val="21"/>
        </w:rPr>
      </w:pPr>
    </w:p>
    <w:p w14:paraId="47A40C9B">
      <w:pPr>
        <w:spacing w:line="360" w:lineRule="exact"/>
        <w:ind w:firstLine="1188" w:firstLineChars="566"/>
        <w:rPr>
          <w:rStyle w:val="95"/>
          <w:szCs w:val="21"/>
        </w:rPr>
      </w:pPr>
      <w:r>
        <w:rPr>
          <w:rStyle w:val="95"/>
          <w:rFonts w:hint="eastAsia"/>
          <w:szCs w:val="21"/>
        </w:rPr>
        <w:t>成员二名称：（盖单位章）</w:t>
      </w:r>
    </w:p>
    <w:p w14:paraId="3EC33226">
      <w:pPr>
        <w:spacing w:line="360" w:lineRule="exact"/>
        <w:ind w:firstLine="1188" w:firstLineChars="566"/>
        <w:rPr>
          <w:rStyle w:val="95"/>
          <w:szCs w:val="21"/>
        </w:rPr>
      </w:pPr>
      <w:r>
        <w:rPr>
          <w:rStyle w:val="95"/>
          <w:rFonts w:hint="eastAsia"/>
          <w:szCs w:val="21"/>
        </w:rPr>
        <w:t>法定代表人或其委托代理人：（签字）</w:t>
      </w:r>
    </w:p>
    <w:p w14:paraId="0BA0F02C">
      <w:pPr>
        <w:spacing w:line="360" w:lineRule="exact"/>
        <w:ind w:firstLine="1176" w:firstLineChars="560"/>
        <w:rPr>
          <w:rStyle w:val="95"/>
          <w:szCs w:val="21"/>
        </w:rPr>
      </w:pPr>
      <w:r>
        <w:rPr>
          <w:rStyle w:val="95"/>
          <w:szCs w:val="21"/>
        </w:rPr>
        <w:t>……</w:t>
      </w:r>
    </w:p>
    <w:p w14:paraId="5232F2BA">
      <w:pPr>
        <w:wordWrap w:val="0"/>
        <w:spacing w:line="360" w:lineRule="exact"/>
        <w:jc w:val="right"/>
        <w:rPr>
          <w:rStyle w:val="95"/>
          <w:szCs w:val="21"/>
        </w:rPr>
      </w:pPr>
      <w:r>
        <w:rPr>
          <w:rStyle w:val="95"/>
          <w:rFonts w:hint="eastAsia"/>
          <w:szCs w:val="21"/>
        </w:rPr>
        <w:t>年</w:t>
      </w:r>
      <w:r>
        <w:rPr>
          <w:rStyle w:val="95"/>
          <w:szCs w:val="21"/>
        </w:rPr>
        <w:t xml:space="preserve">   </w:t>
      </w:r>
      <w:r>
        <w:rPr>
          <w:rStyle w:val="95"/>
          <w:rFonts w:hint="eastAsia"/>
          <w:szCs w:val="21"/>
        </w:rPr>
        <w:t>月</w:t>
      </w:r>
      <w:r>
        <w:rPr>
          <w:rStyle w:val="95"/>
          <w:szCs w:val="21"/>
        </w:rPr>
        <w:t xml:space="preserve">   </w:t>
      </w:r>
      <w:r>
        <w:rPr>
          <w:rStyle w:val="95"/>
          <w:rFonts w:hint="eastAsia"/>
          <w:szCs w:val="21"/>
        </w:rPr>
        <w:t>日</w:t>
      </w:r>
      <w:r>
        <w:rPr>
          <w:rStyle w:val="95"/>
          <w:szCs w:val="21"/>
        </w:rPr>
        <w:t xml:space="preserve">           </w:t>
      </w:r>
    </w:p>
    <w:p w14:paraId="6AFF2AAA">
      <w:pPr>
        <w:spacing w:line="360" w:lineRule="exact"/>
        <w:rPr>
          <w:rStyle w:val="95"/>
          <w:rFonts w:eastAsia="黑体"/>
          <w:szCs w:val="21"/>
        </w:rPr>
      </w:pPr>
    </w:p>
    <w:p w14:paraId="69F530D6">
      <w:pPr>
        <w:spacing w:line="360" w:lineRule="exact"/>
        <w:rPr>
          <w:rStyle w:val="95"/>
          <w:szCs w:val="21"/>
        </w:rPr>
      </w:pPr>
      <w:r>
        <w:rPr>
          <w:rStyle w:val="95"/>
          <w:rFonts w:hint="eastAsia"/>
          <w:szCs w:val="21"/>
        </w:rPr>
        <w:t>备注：本协议书由委托代理人签字的，应附法定代表人签字的授权委托书。</w:t>
      </w:r>
    </w:p>
    <w:p w14:paraId="54000BB0">
      <w:pPr>
        <w:jc w:val="center"/>
        <w:rPr>
          <w:rStyle w:val="95"/>
        </w:rPr>
      </w:pPr>
    </w:p>
    <w:p w14:paraId="066C8176">
      <w:pPr>
        <w:rPr>
          <w:rStyle w:val="95"/>
        </w:rPr>
      </w:pPr>
    </w:p>
    <w:p w14:paraId="70CA389A">
      <w:pPr>
        <w:rPr>
          <w:rStyle w:val="95"/>
        </w:rPr>
      </w:pPr>
    </w:p>
    <w:p w14:paraId="08046EE1">
      <w:pPr>
        <w:rPr>
          <w:rStyle w:val="95"/>
        </w:rPr>
      </w:pPr>
    </w:p>
    <w:p w14:paraId="6DB80AF1">
      <w:pPr>
        <w:rPr>
          <w:rStyle w:val="95"/>
        </w:rPr>
      </w:pPr>
    </w:p>
    <w:p w14:paraId="29EC5313">
      <w:pPr>
        <w:rPr>
          <w:rStyle w:val="95"/>
        </w:rPr>
      </w:pPr>
    </w:p>
    <w:p w14:paraId="2D592EB2">
      <w:pPr>
        <w:rPr>
          <w:rStyle w:val="95"/>
        </w:rPr>
      </w:pPr>
    </w:p>
    <w:p w14:paraId="00F118FC">
      <w:pPr>
        <w:rPr>
          <w:rStyle w:val="95"/>
        </w:rPr>
      </w:pPr>
    </w:p>
    <w:p w14:paraId="16F7E62D">
      <w:pPr>
        <w:rPr>
          <w:rStyle w:val="95"/>
        </w:rPr>
      </w:pPr>
    </w:p>
    <w:p w14:paraId="19FE101E">
      <w:pPr>
        <w:rPr>
          <w:rStyle w:val="95"/>
        </w:rPr>
      </w:pPr>
    </w:p>
    <w:p w14:paraId="0B143312">
      <w:pPr>
        <w:rPr>
          <w:rStyle w:val="95"/>
        </w:rPr>
      </w:pPr>
    </w:p>
    <w:p w14:paraId="72BD155D">
      <w:pPr>
        <w:rPr>
          <w:rStyle w:val="95"/>
        </w:rPr>
      </w:pPr>
    </w:p>
    <w:p w14:paraId="2D7C64CC">
      <w:pPr>
        <w:rPr>
          <w:rStyle w:val="95"/>
        </w:rPr>
      </w:pPr>
    </w:p>
    <w:p w14:paraId="1D34666D">
      <w:pPr>
        <w:pStyle w:val="182"/>
        <w:ind w:firstLine="480"/>
        <w:rPr>
          <w:rStyle w:val="95"/>
          <w:rFonts w:eastAsia="宋体"/>
        </w:rPr>
      </w:pPr>
    </w:p>
    <w:p w14:paraId="59717BBC">
      <w:pPr>
        <w:pStyle w:val="183"/>
        <w:rPr>
          <w:rStyle w:val="95"/>
          <w:rFonts w:ascii="Times New Roman" w:hAnsi="Times New Roman"/>
        </w:rPr>
      </w:pPr>
    </w:p>
    <w:p w14:paraId="382C0F8B">
      <w:pPr>
        <w:pStyle w:val="183"/>
        <w:rPr>
          <w:rStyle w:val="95"/>
          <w:rFonts w:ascii="Times New Roman" w:hAnsi="Times New Roman"/>
        </w:rPr>
      </w:pPr>
    </w:p>
    <w:p w14:paraId="741A19D5">
      <w:pPr>
        <w:pStyle w:val="183"/>
        <w:rPr>
          <w:rStyle w:val="95"/>
          <w:rFonts w:ascii="Times New Roman" w:hAnsi="Times New Roman"/>
        </w:rPr>
      </w:pPr>
    </w:p>
    <w:p w14:paraId="58A4187F">
      <w:pPr>
        <w:pStyle w:val="183"/>
        <w:rPr>
          <w:rStyle w:val="95"/>
          <w:rFonts w:ascii="Times New Roman" w:hAnsi="Times New Roman"/>
        </w:rPr>
      </w:pPr>
    </w:p>
    <w:p w14:paraId="70AB0C99">
      <w:pPr>
        <w:pStyle w:val="183"/>
        <w:rPr>
          <w:rStyle w:val="95"/>
          <w:rFonts w:ascii="Times New Roman" w:hAnsi="Times New Roman"/>
        </w:rPr>
      </w:pPr>
    </w:p>
    <w:p w14:paraId="06B6D01F">
      <w:pPr>
        <w:pStyle w:val="183"/>
        <w:rPr>
          <w:rStyle w:val="95"/>
          <w:rFonts w:ascii="Times New Roman" w:hAnsi="Times New Roman"/>
        </w:rPr>
      </w:pPr>
    </w:p>
    <w:p w14:paraId="02F2B14C">
      <w:pPr>
        <w:pStyle w:val="183"/>
        <w:rPr>
          <w:rStyle w:val="95"/>
          <w:rFonts w:ascii="Times New Roman" w:hAnsi="Times New Roman"/>
        </w:rPr>
      </w:pPr>
    </w:p>
    <w:p w14:paraId="42110AD9">
      <w:pPr>
        <w:pStyle w:val="183"/>
        <w:rPr>
          <w:rStyle w:val="95"/>
          <w:rFonts w:ascii="Times New Roman" w:hAnsi="Times New Roman"/>
        </w:rPr>
      </w:pPr>
    </w:p>
    <w:p w14:paraId="50C32AA7">
      <w:pPr>
        <w:pStyle w:val="182"/>
        <w:ind w:firstLine="480"/>
        <w:rPr>
          <w:rStyle w:val="95"/>
          <w:rFonts w:eastAsia="宋体"/>
        </w:rPr>
      </w:pPr>
    </w:p>
    <w:p w14:paraId="755C1908">
      <w:pPr>
        <w:pStyle w:val="183"/>
        <w:rPr>
          <w:rFonts w:ascii="Times New Roman" w:hAnsi="Times New Roman"/>
        </w:rPr>
      </w:pPr>
    </w:p>
    <w:p w14:paraId="6A54D239">
      <w:pPr>
        <w:pStyle w:val="182"/>
        <w:ind w:firstLine="480"/>
        <w:rPr>
          <w:rStyle w:val="95"/>
          <w:rFonts w:eastAsia="宋体"/>
        </w:rPr>
      </w:pPr>
    </w:p>
    <w:p w14:paraId="752C3405">
      <w:pPr>
        <w:pStyle w:val="182"/>
        <w:ind w:firstLine="480"/>
        <w:rPr>
          <w:rStyle w:val="95"/>
          <w:rFonts w:eastAsia="宋体"/>
        </w:rPr>
      </w:pPr>
    </w:p>
    <w:p w14:paraId="1BD151E4">
      <w:pPr>
        <w:pStyle w:val="182"/>
        <w:ind w:firstLine="480"/>
        <w:rPr>
          <w:rStyle w:val="95"/>
          <w:rFonts w:eastAsia="宋体"/>
        </w:rPr>
      </w:pPr>
    </w:p>
    <w:p w14:paraId="4B8F67DB">
      <w:pPr>
        <w:pStyle w:val="86"/>
        <w:spacing w:line="240" w:lineRule="auto"/>
        <w:rPr>
          <w:rStyle w:val="95"/>
          <w:rFonts w:ascii="Times New Roman" w:hAnsi="Times New Roman"/>
          <w:b/>
          <w:sz w:val="36"/>
          <w:szCs w:val="36"/>
        </w:rPr>
      </w:pPr>
      <w:r>
        <w:rPr>
          <w:rStyle w:val="95"/>
          <w:rFonts w:hint="eastAsia" w:ascii="Times New Roman" w:hAnsi="Times New Roman"/>
          <w:b/>
          <w:sz w:val="36"/>
          <w:szCs w:val="36"/>
        </w:rPr>
        <w:t>第二节</w:t>
      </w:r>
      <w:r>
        <w:rPr>
          <w:rStyle w:val="95"/>
          <w:rFonts w:ascii="Times New Roman" w:hAnsi="Times New Roman"/>
          <w:b/>
          <w:sz w:val="36"/>
          <w:szCs w:val="36"/>
        </w:rPr>
        <w:t xml:space="preserve"> </w:t>
      </w:r>
      <w:r>
        <w:rPr>
          <w:rStyle w:val="95"/>
          <w:rFonts w:hint="eastAsia" w:ascii="Times New Roman" w:hAnsi="Times New Roman"/>
          <w:b/>
          <w:sz w:val="36"/>
          <w:szCs w:val="36"/>
        </w:rPr>
        <w:t>投标报价文件</w:t>
      </w:r>
    </w:p>
    <w:p w14:paraId="78BFB6D5">
      <w:pPr>
        <w:pStyle w:val="245"/>
        <w:tabs>
          <w:tab w:val="left" w:pos="840"/>
        </w:tabs>
        <w:spacing w:line="360" w:lineRule="exact"/>
        <w:rPr>
          <w:rStyle w:val="95"/>
        </w:rPr>
      </w:pPr>
    </w:p>
    <w:p w14:paraId="58F778EC">
      <w:pPr>
        <w:pStyle w:val="245"/>
        <w:tabs>
          <w:tab w:val="left" w:pos="840"/>
        </w:tabs>
        <w:spacing w:line="360" w:lineRule="exact"/>
        <w:rPr>
          <w:rStyle w:val="95"/>
        </w:rPr>
      </w:pPr>
    </w:p>
    <w:p w14:paraId="51E818BF">
      <w:pPr>
        <w:pStyle w:val="245"/>
        <w:tabs>
          <w:tab w:val="left" w:pos="840"/>
        </w:tabs>
        <w:spacing w:line="360" w:lineRule="exact"/>
        <w:rPr>
          <w:rStyle w:val="95"/>
        </w:rPr>
      </w:pPr>
    </w:p>
    <w:p w14:paraId="714E930D">
      <w:pPr>
        <w:pStyle w:val="245"/>
        <w:tabs>
          <w:tab w:val="left" w:pos="840"/>
        </w:tabs>
        <w:spacing w:line="360" w:lineRule="exact"/>
        <w:rPr>
          <w:rStyle w:val="95"/>
        </w:rPr>
      </w:pPr>
    </w:p>
    <w:p w14:paraId="06E22612">
      <w:pPr>
        <w:pStyle w:val="245"/>
        <w:tabs>
          <w:tab w:val="left" w:pos="840"/>
        </w:tabs>
        <w:spacing w:line="360" w:lineRule="exact"/>
        <w:rPr>
          <w:rStyle w:val="95"/>
        </w:rPr>
      </w:pPr>
    </w:p>
    <w:p w14:paraId="2FEB096D">
      <w:pPr>
        <w:pStyle w:val="245"/>
        <w:tabs>
          <w:tab w:val="left" w:pos="840"/>
        </w:tabs>
        <w:spacing w:line="360" w:lineRule="exact"/>
        <w:rPr>
          <w:rStyle w:val="95"/>
        </w:rPr>
      </w:pPr>
    </w:p>
    <w:p w14:paraId="7E3BD916">
      <w:pPr>
        <w:pStyle w:val="245"/>
        <w:tabs>
          <w:tab w:val="left" w:pos="840"/>
        </w:tabs>
        <w:spacing w:line="360" w:lineRule="exact"/>
        <w:rPr>
          <w:rStyle w:val="95"/>
        </w:rPr>
      </w:pPr>
    </w:p>
    <w:p w14:paraId="0EE775E2">
      <w:pPr>
        <w:pStyle w:val="245"/>
        <w:tabs>
          <w:tab w:val="left" w:pos="840"/>
        </w:tabs>
        <w:spacing w:line="360" w:lineRule="exact"/>
        <w:rPr>
          <w:rStyle w:val="95"/>
        </w:rPr>
      </w:pPr>
    </w:p>
    <w:p w14:paraId="11F3CE0E">
      <w:pPr>
        <w:pStyle w:val="245"/>
        <w:tabs>
          <w:tab w:val="left" w:pos="840"/>
        </w:tabs>
        <w:spacing w:line="360" w:lineRule="exact"/>
        <w:rPr>
          <w:rStyle w:val="95"/>
        </w:rPr>
      </w:pPr>
    </w:p>
    <w:p w14:paraId="74091448">
      <w:pPr>
        <w:pStyle w:val="245"/>
        <w:tabs>
          <w:tab w:val="left" w:pos="840"/>
        </w:tabs>
        <w:spacing w:line="360" w:lineRule="exact"/>
        <w:rPr>
          <w:rStyle w:val="95"/>
        </w:rPr>
      </w:pPr>
    </w:p>
    <w:p w14:paraId="76F80EB7">
      <w:pPr>
        <w:pStyle w:val="245"/>
        <w:tabs>
          <w:tab w:val="left" w:pos="840"/>
        </w:tabs>
        <w:spacing w:line="360" w:lineRule="exact"/>
        <w:rPr>
          <w:rStyle w:val="95"/>
        </w:rPr>
      </w:pPr>
    </w:p>
    <w:p w14:paraId="708BD95A">
      <w:pPr>
        <w:pStyle w:val="245"/>
        <w:tabs>
          <w:tab w:val="left" w:pos="840"/>
        </w:tabs>
        <w:spacing w:line="360" w:lineRule="exact"/>
        <w:rPr>
          <w:rStyle w:val="95"/>
        </w:rPr>
      </w:pPr>
    </w:p>
    <w:p w14:paraId="4E7D634F">
      <w:pPr>
        <w:pStyle w:val="245"/>
        <w:tabs>
          <w:tab w:val="left" w:pos="840"/>
        </w:tabs>
        <w:spacing w:line="360" w:lineRule="exact"/>
        <w:rPr>
          <w:rStyle w:val="95"/>
        </w:rPr>
      </w:pPr>
    </w:p>
    <w:p w14:paraId="4C8010BE">
      <w:pPr>
        <w:pStyle w:val="245"/>
        <w:tabs>
          <w:tab w:val="left" w:pos="840"/>
        </w:tabs>
        <w:spacing w:line="360" w:lineRule="exact"/>
        <w:rPr>
          <w:rStyle w:val="95"/>
        </w:rPr>
      </w:pPr>
    </w:p>
    <w:p w14:paraId="79328D03">
      <w:pPr>
        <w:pStyle w:val="245"/>
        <w:tabs>
          <w:tab w:val="left" w:pos="840"/>
        </w:tabs>
        <w:spacing w:line="360" w:lineRule="exact"/>
        <w:rPr>
          <w:rStyle w:val="95"/>
        </w:rPr>
      </w:pPr>
    </w:p>
    <w:p w14:paraId="58A55B3A">
      <w:pPr>
        <w:pStyle w:val="245"/>
        <w:tabs>
          <w:tab w:val="left" w:pos="840"/>
        </w:tabs>
        <w:spacing w:line="400" w:lineRule="exact"/>
        <w:rPr>
          <w:rStyle w:val="95"/>
        </w:rPr>
      </w:pPr>
      <w:r>
        <w:rPr>
          <w:rStyle w:val="95"/>
        </w:rPr>
        <w:br w:type="page"/>
      </w:r>
    </w:p>
    <w:p w14:paraId="5CDF5B8A">
      <w:pPr>
        <w:pStyle w:val="13"/>
        <w:spacing w:line="500" w:lineRule="exact"/>
        <w:ind w:firstLine="0"/>
        <w:rPr>
          <w:rFonts w:ascii="Times New Roman" w:hAnsi="Times New Roman" w:eastAsia="黑体"/>
          <w:sz w:val="36"/>
          <w:szCs w:val="36"/>
        </w:rPr>
      </w:pPr>
      <w:bookmarkStart w:id="771" w:name="_Toc17645"/>
      <w:r>
        <w:rPr>
          <w:rFonts w:hint="eastAsia" w:ascii="Times New Roman" w:hAnsi="Times New Roman" w:eastAsia="黑体"/>
          <w:sz w:val="36"/>
          <w:szCs w:val="36"/>
        </w:rPr>
        <w:t>一、一般规定</w:t>
      </w:r>
      <w:bookmarkEnd w:id="771"/>
    </w:p>
    <w:p w14:paraId="1704DD5A">
      <w:pPr>
        <w:snapToGrid w:val="0"/>
        <w:spacing w:line="500" w:lineRule="exact"/>
        <w:ind w:firstLine="480" w:firstLineChars="200"/>
        <w:rPr>
          <w:sz w:val="24"/>
        </w:rPr>
      </w:pPr>
      <w:r>
        <w:rPr>
          <w:sz w:val="24"/>
        </w:rPr>
        <w:t>1.1</w:t>
      </w:r>
      <w:r>
        <w:rPr>
          <w:rFonts w:hint="eastAsia"/>
          <w:sz w:val="24"/>
        </w:rPr>
        <w:t>投标价应由投标人或受其委托具有相应资质的工程造价咨询人编制。</w:t>
      </w:r>
    </w:p>
    <w:p w14:paraId="0B7C1C48">
      <w:pPr>
        <w:snapToGrid w:val="0"/>
        <w:spacing w:line="500" w:lineRule="exact"/>
        <w:ind w:firstLine="480" w:firstLineChars="200"/>
        <w:rPr>
          <w:sz w:val="24"/>
        </w:rPr>
      </w:pPr>
      <w:r>
        <w:rPr>
          <w:sz w:val="24"/>
        </w:rPr>
        <w:t>1.2</w:t>
      </w:r>
      <w:r>
        <w:rPr>
          <w:rFonts w:hint="eastAsia"/>
          <w:sz w:val="24"/>
        </w:rPr>
        <w:t>投标人应依据</w:t>
      </w:r>
      <w:r>
        <w:rPr>
          <w:sz w:val="24"/>
        </w:rPr>
        <w:t>2013</w:t>
      </w:r>
      <w:r>
        <w:rPr>
          <w:rFonts w:hint="eastAsia"/>
          <w:sz w:val="24"/>
        </w:rPr>
        <w:t>《清单计价规范》第</w:t>
      </w:r>
      <w:r>
        <w:rPr>
          <w:sz w:val="24"/>
        </w:rPr>
        <w:t>6.2.1</w:t>
      </w:r>
      <w:r>
        <w:rPr>
          <w:rFonts w:hint="eastAsia"/>
          <w:sz w:val="24"/>
        </w:rPr>
        <w:t>条的规定自主确定投标报价。</w:t>
      </w:r>
    </w:p>
    <w:p w14:paraId="43CA06B0">
      <w:pPr>
        <w:snapToGrid w:val="0"/>
        <w:spacing w:line="500" w:lineRule="exact"/>
        <w:ind w:firstLine="480" w:firstLineChars="200"/>
        <w:rPr>
          <w:sz w:val="24"/>
        </w:rPr>
      </w:pPr>
      <w:r>
        <w:rPr>
          <w:sz w:val="24"/>
        </w:rPr>
        <w:t>1.3</w:t>
      </w:r>
      <w:r>
        <w:rPr>
          <w:rFonts w:hint="eastAsia"/>
          <w:sz w:val="24"/>
        </w:rPr>
        <w:t>投标报价不得低于工程成本。</w:t>
      </w:r>
    </w:p>
    <w:p w14:paraId="08B0CD9C">
      <w:pPr>
        <w:snapToGrid w:val="0"/>
        <w:spacing w:line="500" w:lineRule="exact"/>
        <w:ind w:firstLine="480" w:firstLineChars="200"/>
        <w:rPr>
          <w:sz w:val="24"/>
        </w:rPr>
      </w:pPr>
      <w:r>
        <w:rPr>
          <w:sz w:val="24"/>
        </w:rPr>
        <w:t>1.4</w:t>
      </w:r>
      <w:r>
        <w:rPr>
          <w:rFonts w:hint="eastAsia"/>
          <w:sz w:val="24"/>
        </w:rPr>
        <w:t>投标人必须按招标工程量清单填报价格。项目编码、项目名称、项目特征、计量单位、工程量必须与招标工程量清单一致。</w:t>
      </w:r>
    </w:p>
    <w:p w14:paraId="70C45C82">
      <w:pPr>
        <w:snapToGrid w:val="0"/>
        <w:spacing w:line="500" w:lineRule="exact"/>
        <w:ind w:firstLine="480" w:firstLineChars="200"/>
        <w:rPr>
          <w:szCs w:val="21"/>
        </w:rPr>
      </w:pPr>
      <w:r>
        <w:rPr>
          <w:sz w:val="24"/>
        </w:rPr>
        <w:t>1.5</w:t>
      </w:r>
      <w:r>
        <w:rPr>
          <w:rFonts w:hint="eastAsia"/>
          <w:sz w:val="24"/>
        </w:rPr>
        <w:t>投标人的投标报价高于招标控制价的应予废标。</w:t>
      </w:r>
    </w:p>
    <w:p w14:paraId="015E23C1">
      <w:pPr>
        <w:snapToGrid w:val="0"/>
        <w:spacing w:line="500" w:lineRule="exact"/>
        <w:rPr>
          <w:rFonts w:eastAsia="黑体"/>
          <w:kern w:val="0"/>
          <w:sz w:val="36"/>
          <w:szCs w:val="36"/>
        </w:rPr>
      </w:pPr>
      <w:r>
        <w:rPr>
          <w:rFonts w:hint="eastAsia" w:eastAsia="黑体"/>
          <w:kern w:val="0"/>
          <w:sz w:val="36"/>
          <w:szCs w:val="36"/>
        </w:rPr>
        <w:t>二、编制与复核</w:t>
      </w:r>
    </w:p>
    <w:p w14:paraId="7B3EFDEF">
      <w:pPr>
        <w:snapToGrid w:val="0"/>
        <w:spacing w:line="500" w:lineRule="exact"/>
        <w:ind w:firstLine="480" w:firstLineChars="200"/>
        <w:rPr>
          <w:sz w:val="24"/>
        </w:rPr>
      </w:pPr>
      <w:r>
        <w:rPr>
          <w:sz w:val="24"/>
        </w:rPr>
        <w:t>2.1</w:t>
      </w:r>
      <w:r>
        <w:rPr>
          <w:rFonts w:hint="eastAsia"/>
          <w:sz w:val="24"/>
        </w:rPr>
        <w:t>投标报价应根据下列依据编制和复核：</w:t>
      </w:r>
    </w:p>
    <w:p w14:paraId="2B7BE6A6">
      <w:pPr>
        <w:snapToGrid w:val="0"/>
        <w:spacing w:line="500" w:lineRule="exact"/>
        <w:ind w:firstLine="480" w:firstLineChars="200"/>
        <w:rPr>
          <w:sz w:val="24"/>
        </w:rPr>
      </w:pPr>
      <w:r>
        <w:rPr>
          <w:sz w:val="24"/>
        </w:rPr>
        <w:t>1</w:t>
      </w:r>
      <w:r>
        <w:rPr>
          <w:rFonts w:hint="eastAsia"/>
          <w:sz w:val="24"/>
        </w:rPr>
        <w:t>）</w:t>
      </w:r>
      <w:r>
        <w:rPr>
          <w:sz w:val="24"/>
        </w:rPr>
        <w:t>2013</w:t>
      </w:r>
      <w:r>
        <w:rPr>
          <w:rFonts w:hint="eastAsia"/>
          <w:sz w:val="24"/>
        </w:rPr>
        <w:t>《清单计价规范》；</w:t>
      </w:r>
    </w:p>
    <w:p w14:paraId="6CB94CF1">
      <w:pPr>
        <w:snapToGrid w:val="0"/>
        <w:spacing w:line="500" w:lineRule="exact"/>
        <w:ind w:firstLine="480" w:firstLineChars="200"/>
        <w:rPr>
          <w:sz w:val="24"/>
        </w:rPr>
      </w:pPr>
      <w:r>
        <w:rPr>
          <w:sz w:val="24"/>
        </w:rPr>
        <w:t>2</w:t>
      </w:r>
      <w:r>
        <w:rPr>
          <w:rFonts w:hint="eastAsia"/>
          <w:sz w:val="24"/>
        </w:rPr>
        <w:t>）国家或省级、行业建设主管部门颁发的计价办法；</w:t>
      </w:r>
    </w:p>
    <w:p w14:paraId="6F914457">
      <w:pPr>
        <w:snapToGrid w:val="0"/>
        <w:spacing w:line="500" w:lineRule="exact"/>
        <w:ind w:firstLine="480" w:firstLineChars="200"/>
        <w:rPr>
          <w:sz w:val="24"/>
        </w:rPr>
      </w:pPr>
      <w:r>
        <w:rPr>
          <w:sz w:val="24"/>
        </w:rPr>
        <w:t>3</w:t>
      </w:r>
      <w:r>
        <w:rPr>
          <w:rFonts w:hint="eastAsia"/>
          <w:sz w:val="24"/>
        </w:rPr>
        <w:t>）企业定额，国家或省级、行业建设主管部门颁发的计价定额和计价办法；</w:t>
      </w:r>
    </w:p>
    <w:p w14:paraId="62EDB309">
      <w:pPr>
        <w:snapToGrid w:val="0"/>
        <w:spacing w:line="500" w:lineRule="exact"/>
        <w:ind w:firstLine="480" w:firstLineChars="200"/>
        <w:rPr>
          <w:sz w:val="24"/>
        </w:rPr>
      </w:pPr>
      <w:r>
        <w:rPr>
          <w:sz w:val="24"/>
        </w:rPr>
        <w:t>4</w:t>
      </w:r>
      <w:r>
        <w:rPr>
          <w:rFonts w:hint="eastAsia"/>
          <w:sz w:val="24"/>
        </w:rPr>
        <w:t>）招标文件、招标工程量清单及其补充通知、答疑纪要；</w:t>
      </w:r>
    </w:p>
    <w:p w14:paraId="6DAD7309">
      <w:pPr>
        <w:snapToGrid w:val="0"/>
        <w:spacing w:line="500" w:lineRule="exact"/>
        <w:ind w:firstLine="480" w:firstLineChars="200"/>
        <w:rPr>
          <w:sz w:val="24"/>
        </w:rPr>
      </w:pPr>
      <w:r>
        <w:rPr>
          <w:sz w:val="24"/>
        </w:rPr>
        <w:t>5</w:t>
      </w:r>
      <w:r>
        <w:rPr>
          <w:rFonts w:hint="eastAsia"/>
          <w:sz w:val="24"/>
        </w:rPr>
        <w:t>）建设工程相关资料；</w:t>
      </w:r>
    </w:p>
    <w:p w14:paraId="269026C1">
      <w:pPr>
        <w:snapToGrid w:val="0"/>
        <w:spacing w:line="500" w:lineRule="exact"/>
        <w:ind w:firstLine="480" w:firstLineChars="200"/>
        <w:rPr>
          <w:sz w:val="24"/>
        </w:rPr>
      </w:pPr>
      <w:r>
        <w:rPr>
          <w:sz w:val="24"/>
        </w:rPr>
        <w:t>6</w:t>
      </w:r>
      <w:r>
        <w:rPr>
          <w:rFonts w:hint="eastAsia"/>
          <w:sz w:val="24"/>
        </w:rPr>
        <w:t>）工程特点、施工现场情况及投标时拟定的施工图设计方案、承包实施方案；</w:t>
      </w:r>
    </w:p>
    <w:p w14:paraId="2382732D">
      <w:pPr>
        <w:snapToGrid w:val="0"/>
        <w:spacing w:line="500" w:lineRule="exact"/>
        <w:ind w:firstLine="480" w:firstLineChars="200"/>
        <w:rPr>
          <w:sz w:val="24"/>
        </w:rPr>
      </w:pPr>
      <w:r>
        <w:rPr>
          <w:sz w:val="24"/>
        </w:rPr>
        <w:t>7</w:t>
      </w:r>
      <w:r>
        <w:rPr>
          <w:rFonts w:hint="eastAsia"/>
          <w:sz w:val="24"/>
        </w:rPr>
        <w:t>）与建设项目相关的标准、规范等技术资料；</w:t>
      </w:r>
    </w:p>
    <w:p w14:paraId="16022C7C">
      <w:pPr>
        <w:snapToGrid w:val="0"/>
        <w:spacing w:line="500" w:lineRule="exact"/>
        <w:ind w:firstLine="480" w:firstLineChars="200"/>
        <w:rPr>
          <w:sz w:val="24"/>
        </w:rPr>
      </w:pPr>
      <w:r>
        <w:rPr>
          <w:sz w:val="24"/>
        </w:rPr>
        <w:t>8</w:t>
      </w:r>
      <w:r>
        <w:rPr>
          <w:rFonts w:hint="eastAsia"/>
          <w:sz w:val="24"/>
        </w:rPr>
        <w:t>）市场价格信息或工程造价管理机构发布的工程造价信息；</w:t>
      </w:r>
    </w:p>
    <w:p w14:paraId="00CDE80C">
      <w:pPr>
        <w:snapToGrid w:val="0"/>
        <w:spacing w:line="500" w:lineRule="exact"/>
        <w:ind w:firstLine="480" w:firstLineChars="200"/>
        <w:rPr>
          <w:sz w:val="24"/>
        </w:rPr>
      </w:pPr>
      <w:r>
        <w:rPr>
          <w:sz w:val="24"/>
        </w:rPr>
        <w:t>9</w:t>
      </w:r>
      <w:r>
        <w:rPr>
          <w:rFonts w:hint="eastAsia"/>
          <w:sz w:val="24"/>
        </w:rPr>
        <w:t>）其他资料。</w:t>
      </w:r>
    </w:p>
    <w:p w14:paraId="3B4B1371">
      <w:pPr>
        <w:snapToGrid w:val="0"/>
        <w:spacing w:line="500" w:lineRule="exact"/>
        <w:ind w:firstLine="480" w:firstLineChars="200"/>
        <w:rPr>
          <w:sz w:val="24"/>
        </w:rPr>
      </w:pPr>
      <w:r>
        <w:rPr>
          <w:sz w:val="24"/>
        </w:rPr>
        <w:t>2.2</w:t>
      </w:r>
      <w:r>
        <w:rPr>
          <w:rFonts w:hint="eastAsia"/>
          <w:sz w:val="24"/>
        </w:rPr>
        <w:t>综合单价中应包括招标文件中划分的应由投标人承担的风险范围及其费用，招标文件中没有明确的，应提请招标人明确。</w:t>
      </w:r>
    </w:p>
    <w:p w14:paraId="21C961DD">
      <w:pPr>
        <w:snapToGrid w:val="0"/>
        <w:spacing w:line="500" w:lineRule="exact"/>
        <w:ind w:firstLine="480" w:firstLineChars="200"/>
        <w:rPr>
          <w:sz w:val="24"/>
        </w:rPr>
      </w:pPr>
      <w:r>
        <w:rPr>
          <w:sz w:val="24"/>
        </w:rPr>
        <w:t>2.3</w:t>
      </w:r>
      <w:r>
        <w:rPr>
          <w:rFonts w:hint="eastAsia"/>
          <w:sz w:val="24"/>
        </w:rPr>
        <w:t>分部分项工程和措施项目中的单价项目，应根据招标文件和招标工程量清单项目中的特征描述确定综合单价计算。</w:t>
      </w:r>
    </w:p>
    <w:p w14:paraId="7845CD2E">
      <w:pPr>
        <w:snapToGrid w:val="0"/>
        <w:spacing w:line="500" w:lineRule="exact"/>
        <w:ind w:firstLine="480" w:firstLineChars="200"/>
        <w:rPr>
          <w:sz w:val="24"/>
        </w:rPr>
      </w:pPr>
      <w:r>
        <w:rPr>
          <w:sz w:val="24"/>
        </w:rPr>
        <w:t>2.4</w:t>
      </w:r>
      <w:r>
        <w:rPr>
          <w:rFonts w:hint="eastAsia"/>
          <w:sz w:val="24"/>
        </w:rPr>
        <w:t>措施项目中的总价项目金额应根据招标文件及投标时拟定的承包实施方案，按</w:t>
      </w:r>
      <w:r>
        <w:rPr>
          <w:sz w:val="24"/>
        </w:rPr>
        <w:t>2013</w:t>
      </w:r>
      <w:r>
        <w:rPr>
          <w:rFonts w:hint="eastAsia"/>
          <w:sz w:val="24"/>
        </w:rPr>
        <w:t>《清单计价规范》第</w:t>
      </w:r>
      <w:r>
        <w:rPr>
          <w:sz w:val="24"/>
        </w:rPr>
        <w:t>3.1.4</w:t>
      </w:r>
      <w:r>
        <w:rPr>
          <w:rFonts w:hint="eastAsia"/>
          <w:sz w:val="24"/>
        </w:rPr>
        <w:t>条的规定自主确定。其中安全文明施工费应按照</w:t>
      </w:r>
      <w:r>
        <w:rPr>
          <w:sz w:val="24"/>
        </w:rPr>
        <w:t>2013</w:t>
      </w:r>
      <w:r>
        <w:rPr>
          <w:rFonts w:hint="eastAsia"/>
          <w:sz w:val="24"/>
        </w:rPr>
        <w:t>《清单计价规范》第</w:t>
      </w:r>
      <w:r>
        <w:rPr>
          <w:sz w:val="24"/>
        </w:rPr>
        <w:t>3.1.5</w:t>
      </w:r>
      <w:r>
        <w:rPr>
          <w:rFonts w:hint="eastAsia"/>
          <w:sz w:val="24"/>
        </w:rPr>
        <w:t>条的规定确定。</w:t>
      </w:r>
    </w:p>
    <w:p w14:paraId="06157107">
      <w:pPr>
        <w:snapToGrid w:val="0"/>
        <w:spacing w:line="500" w:lineRule="exact"/>
        <w:ind w:firstLine="480" w:firstLineChars="200"/>
        <w:rPr>
          <w:sz w:val="24"/>
        </w:rPr>
      </w:pPr>
      <w:r>
        <w:rPr>
          <w:sz w:val="24"/>
        </w:rPr>
        <w:t>2.5</w:t>
      </w:r>
      <w:r>
        <w:rPr>
          <w:rFonts w:hint="eastAsia"/>
          <w:sz w:val="24"/>
        </w:rPr>
        <w:t>其他项目应按下列规定报价：</w:t>
      </w:r>
    </w:p>
    <w:p w14:paraId="013D2939">
      <w:pPr>
        <w:snapToGrid w:val="0"/>
        <w:spacing w:line="500" w:lineRule="exact"/>
        <w:ind w:firstLine="480" w:firstLineChars="200"/>
        <w:rPr>
          <w:sz w:val="24"/>
        </w:rPr>
      </w:pPr>
      <w:r>
        <w:rPr>
          <w:sz w:val="24"/>
        </w:rPr>
        <w:t>1</w:t>
      </w:r>
      <w:r>
        <w:rPr>
          <w:rFonts w:hint="eastAsia"/>
          <w:sz w:val="24"/>
        </w:rPr>
        <w:t>）暂列金额应按招标工程量清单中列出的金额填写；</w:t>
      </w:r>
    </w:p>
    <w:p w14:paraId="36100066">
      <w:pPr>
        <w:snapToGrid w:val="0"/>
        <w:spacing w:line="500" w:lineRule="exact"/>
        <w:ind w:firstLine="480" w:firstLineChars="200"/>
        <w:rPr>
          <w:sz w:val="24"/>
        </w:rPr>
      </w:pPr>
      <w:r>
        <w:rPr>
          <w:sz w:val="24"/>
        </w:rPr>
        <w:t>2</w:t>
      </w:r>
      <w:r>
        <w:rPr>
          <w:rFonts w:hint="eastAsia"/>
          <w:sz w:val="24"/>
        </w:rPr>
        <w:t>）材料、工程设备暂估价应按招标工程量清单中列出的单价计入综合单价；</w:t>
      </w:r>
    </w:p>
    <w:p w14:paraId="6B084279">
      <w:pPr>
        <w:snapToGrid w:val="0"/>
        <w:spacing w:line="500" w:lineRule="exact"/>
        <w:ind w:firstLine="480" w:firstLineChars="200"/>
        <w:rPr>
          <w:sz w:val="24"/>
        </w:rPr>
      </w:pPr>
      <w:r>
        <w:rPr>
          <w:sz w:val="24"/>
        </w:rPr>
        <w:t>3</w:t>
      </w:r>
      <w:r>
        <w:rPr>
          <w:rFonts w:hint="eastAsia"/>
          <w:sz w:val="24"/>
        </w:rPr>
        <w:t>）专业工程暂估价应按招标工程量清单中列出的金额填写；</w:t>
      </w:r>
    </w:p>
    <w:p w14:paraId="456EA542">
      <w:pPr>
        <w:snapToGrid w:val="0"/>
        <w:spacing w:line="500" w:lineRule="exact"/>
        <w:ind w:firstLine="480" w:firstLineChars="200"/>
        <w:rPr>
          <w:sz w:val="24"/>
        </w:rPr>
      </w:pPr>
      <w:r>
        <w:rPr>
          <w:sz w:val="24"/>
        </w:rPr>
        <w:t>4</w:t>
      </w:r>
      <w:r>
        <w:rPr>
          <w:rFonts w:hint="eastAsia"/>
          <w:sz w:val="24"/>
        </w:rPr>
        <w:t>）计日工应按招标工程量清单中列出的项目和数量，自主确定综合单价并计算计日工金额；</w:t>
      </w:r>
    </w:p>
    <w:p w14:paraId="304AA788">
      <w:pPr>
        <w:snapToGrid w:val="0"/>
        <w:spacing w:line="500" w:lineRule="exact"/>
        <w:ind w:firstLine="480" w:firstLineChars="200"/>
        <w:rPr>
          <w:sz w:val="24"/>
        </w:rPr>
      </w:pPr>
      <w:r>
        <w:rPr>
          <w:sz w:val="24"/>
        </w:rPr>
        <w:t>5</w:t>
      </w:r>
      <w:r>
        <w:rPr>
          <w:rFonts w:hint="eastAsia"/>
          <w:sz w:val="24"/>
        </w:rPr>
        <w:t>）总承包服务费应根据招标工程量清单中列出的内容和提出的要求自主确定。</w:t>
      </w:r>
    </w:p>
    <w:p w14:paraId="62638149">
      <w:pPr>
        <w:snapToGrid w:val="0"/>
        <w:spacing w:line="500" w:lineRule="exact"/>
        <w:ind w:firstLine="480" w:firstLineChars="200"/>
        <w:rPr>
          <w:sz w:val="24"/>
        </w:rPr>
      </w:pPr>
      <w:r>
        <w:rPr>
          <w:sz w:val="24"/>
        </w:rPr>
        <w:t>2.6</w:t>
      </w:r>
      <w:r>
        <w:rPr>
          <w:rFonts w:hint="eastAsia"/>
          <w:sz w:val="24"/>
        </w:rPr>
        <w:t>税金应按</w:t>
      </w:r>
      <w:r>
        <w:rPr>
          <w:sz w:val="24"/>
        </w:rPr>
        <w:t>2013</w:t>
      </w:r>
      <w:r>
        <w:rPr>
          <w:rFonts w:hint="eastAsia"/>
          <w:sz w:val="24"/>
        </w:rPr>
        <w:t>《清单计价规范》第</w:t>
      </w:r>
      <w:r>
        <w:rPr>
          <w:sz w:val="24"/>
        </w:rPr>
        <w:t>3.1.6</w:t>
      </w:r>
      <w:r>
        <w:rPr>
          <w:rFonts w:hint="eastAsia"/>
          <w:sz w:val="24"/>
        </w:rPr>
        <w:t>条的规定确定。</w:t>
      </w:r>
    </w:p>
    <w:p w14:paraId="239BDBEA">
      <w:pPr>
        <w:snapToGrid w:val="0"/>
        <w:spacing w:line="500" w:lineRule="exact"/>
        <w:ind w:firstLine="480" w:firstLineChars="200"/>
        <w:rPr>
          <w:sz w:val="24"/>
        </w:rPr>
      </w:pPr>
      <w:r>
        <w:rPr>
          <w:sz w:val="24"/>
        </w:rPr>
        <w:t>2.7</w:t>
      </w:r>
      <w:r>
        <w:rPr>
          <w:rFonts w:hint="eastAsia"/>
          <w:sz w:val="24"/>
        </w:rPr>
        <w:t>招标工程量清单与计价表中列明的所有需要填写单价和合价的项目，投标人均应填写且只允许有一个报价。当竣工结算时，此项目不得重新组价予以调整。</w:t>
      </w:r>
    </w:p>
    <w:p w14:paraId="02530B7A">
      <w:pPr>
        <w:snapToGrid w:val="0"/>
        <w:spacing w:line="500" w:lineRule="exact"/>
        <w:ind w:firstLine="480" w:firstLineChars="200"/>
        <w:rPr>
          <w:szCs w:val="21"/>
        </w:rPr>
      </w:pPr>
      <w:r>
        <w:rPr>
          <w:sz w:val="24"/>
        </w:rPr>
        <w:t>2.8</w:t>
      </w:r>
      <w:r>
        <w:rPr>
          <w:rFonts w:hint="eastAsia"/>
          <w:sz w:val="24"/>
        </w:rPr>
        <w:t>投标总价应当与设计服务费、建安工程费、基本预备费的合计金额一致，建安工程费应当与分部分项工程费、措施项目费、其他项目费和税金的合计金额一致。</w:t>
      </w:r>
    </w:p>
    <w:p w14:paraId="47ADF7FA">
      <w:pPr>
        <w:snapToGrid w:val="0"/>
        <w:spacing w:line="500" w:lineRule="exact"/>
        <w:rPr>
          <w:rFonts w:eastAsia="黑体"/>
          <w:kern w:val="0"/>
          <w:sz w:val="36"/>
          <w:szCs w:val="36"/>
        </w:rPr>
      </w:pPr>
      <w:r>
        <w:rPr>
          <w:rFonts w:hint="eastAsia" w:eastAsia="黑体"/>
          <w:kern w:val="0"/>
          <w:sz w:val="36"/>
          <w:szCs w:val="36"/>
        </w:rPr>
        <w:t>三、投标报价的编制应符合下列规定：</w:t>
      </w:r>
    </w:p>
    <w:p w14:paraId="7F2BA1E0">
      <w:pPr>
        <w:spacing w:line="500" w:lineRule="exact"/>
        <w:ind w:firstLine="480" w:firstLineChars="200"/>
        <w:rPr>
          <w:sz w:val="24"/>
        </w:rPr>
      </w:pPr>
      <w:r>
        <w:rPr>
          <w:sz w:val="24"/>
        </w:rPr>
        <w:t>3.1</w:t>
      </w:r>
      <w:r>
        <w:rPr>
          <w:rFonts w:hint="eastAsia"/>
          <w:sz w:val="24"/>
        </w:rPr>
        <w:t>工程计价表格按《建设工程工程量清单计价规范》（</w:t>
      </w:r>
      <w:r>
        <w:rPr>
          <w:sz w:val="24"/>
        </w:rPr>
        <w:t>GB50500-2013</w:t>
      </w:r>
      <w:r>
        <w:rPr>
          <w:rFonts w:hint="eastAsia"/>
          <w:sz w:val="24"/>
        </w:rPr>
        <w:t>）附录执行，使用表格包括：封</w:t>
      </w:r>
      <w:r>
        <w:rPr>
          <w:sz w:val="24"/>
        </w:rPr>
        <w:t>-3</w:t>
      </w:r>
      <w:r>
        <w:rPr>
          <w:rFonts w:hint="eastAsia"/>
          <w:sz w:val="24"/>
        </w:rPr>
        <w:t>、扉</w:t>
      </w:r>
      <w:r>
        <w:rPr>
          <w:sz w:val="24"/>
        </w:rPr>
        <w:t>-3</w:t>
      </w:r>
      <w:r>
        <w:rPr>
          <w:rFonts w:hint="eastAsia"/>
          <w:sz w:val="24"/>
        </w:rPr>
        <w:t>、表</w:t>
      </w:r>
      <w:r>
        <w:rPr>
          <w:sz w:val="24"/>
        </w:rPr>
        <w:t>-01</w:t>
      </w:r>
      <w:r>
        <w:rPr>
          <w:rFonts w:hint="eastAsia"/>
          <w:sz w:val="24"/>
        </w:rPr>
        <w:t>、表</w:t>
      </w:r>
      <w:r>
        <w:rPr>
          <w:sz w:val="24"/>
        </w:rPr>
        <w:t>-02</w:t>
      </w:r>
      <w:r>
        <w:rPr>
          <w:rFonts w:hint="eastAsia"/>
          <w:sz w:val="24"/>
        </w:rPr>
        <w:t>、表</w:t>
      </w:r>
      <w:r>
        <w:rPr>
          <w:sz w:val="24"/>
        </w:rPr>
        <w:t>-03</w:t>
      </w:r>
      <w:r>
        <w:rPr>
          <w:rFonts w:hint="eastAsia"/>
          <w:sz w:val="24"/>
        </w:rPr>
        <w:t>、表</w:t>
      </w:r>
      <w:r>
        <w:rPr>
          <w:sz w:val="24"/>
        </w:rPr>
        <w:t>-04</w:t>
      </w:r>
      <w:r>
        <w:rPr>
          <w:rFonts w:hint="eastAsia"/>
          <w:sz w:val="24"/>
        </w:rPr>
        <w:t>、表</w:t>
      </w:r>
      <w:r>
        <w:rPr>
          <w:sz w:val="24"/>
        </w:rPr>
        <w:t>-08</w:t>
      </w:r>
      <w:r>
        <w:rPr>
          <w:rFonts w:hint="eastAsia"/>
          <w:sz w:val="24"/>
        </w:rPr>
        <w:t>、表</w:t>
      </w:r>
      <w:r>
        <w:rPr>
          <w:sz w:val="24"/>
        </w:rPr>
        <w:t>-09</w:t>
      </w:r>
      <w:r>
        <w:rPr>
          <w:rFonts w:hint="eastAsia"/>
          <w:sz w:val="24"/>
        </w:rPr>
        <w:t>、表</w:t>
      </w:r>
      <w:r>
        <w:rPr>
          <w:sz w:val="24"/>
        </w:rPr>
        <w:t>-11</w:t>
      </w:r>
      <w:r>
        <w:rPr>
          <w:rFonts w:hint="eastAsia"/>
          <w:sz w:val="24"/>
        </w:rPr>
        <w:t>、表</w:t>
      </w:r>
      <w:r>
        <w:rPr>
          <w:sz w:val="24"/>
        </w:rPr>
        <w:t>-12</w:t>
      </w:r>
      <w:r>
        <w:rPr>
          <w:rFonts w:hint="eastAsia"/>
          <w:sz w:val="24"/>
        </w:rPr>
        <w:t>（不含表</w:t>
      </w:r>
      <w:r>
        <w:rPr>
          <w:sz w:val="24"/>
        </w:rPr>
        <w:t>-12-6~</w:t>
      </w:r>
      <w:r>
        <w:rPr>
          <w:rFonts w:hint="eastAsia"/>
          <w:sz w:val="24"/>
        </w:rPr>
        <w:t>表</w:t>
      </w:r>
      <w:r>
        <w:rPr>
          <w:sz w:val="24"/>
        </w:rPr>
        <w:t>-12-8</w:t>
      </w:r>
      <w:r>
        <w:rPr>
          <w:rFonts w:hint="eastAsia"/>
          <w:sz w:val="24"/>
        </w:rPr>
        <w:t>）、表</w:t>
      </w:r>
      <w:r>
        <w:rPr>
          <w:sz w:val="24"/>
        </w:rPr>
        <w:t>-13</w:t>
      </w:r>
      <w:r>
        <w:rPr>
          <w:rFonts w:hint="eastAsia"/>
          <w:sz w:val="24"/>
        </w:rPr>
        <w:t>、招标文件提供的表</w:t>
      </w:r>
      <w:r>
        <w:rPr>
          <w:sz w:val="24"/>
        </w:rPr>
        <w:t>-20</w:t>
      </w:r>
      <w:r>
        <w:rPr>
          <w:rFonts w:hint="eastAsia"/>
          <w:sz w:val="24"/>
        </w:rPr>
        <w:t>、表</w:t>
      </w:r>
      <w:r>
        <w:rPr>
          <w:sz w:val="24"/>
        </w:rPr>
        <w:t>-24</w:t>
      </w:r>
      <w:r>
        <w:rPr>
          <w:rFonts w:hint="eastAsia"/>
          <w:sz w:val="24"/>
        </w:rPr>
        <w:t>。《投标报价一览表》、《设计分项报价一览表》以及《旧管道、旧设备残值报价表》（如有）仍按招标文件表格执行。</w:t>
      </w:r>
    </w:p>
    <w:p w14:paraId="76C113C2">
      <w:pPr>
        <w:spacing w:line="500" w:lineRule="exact"/>
        <w:ind w:firstLine="480" w:firstLineChars="200"/>
        <w:rPr>
          <w:sz w:val="24"/>
        </w:rPr>
      </w:pPr>
      <w:r>
        <w:rPr>
          <w:sz w:val="24"/>
        </w:rPr>
        <w:t>3.2</w:t>
      </w:r>
      <w:r>
        <w:rPr>
          <w:rFonts w:hint="eastAsia"/>
          <w:sz w:val="24"/>
        </w:rPr>
        <w:t>扉页应按规定的内容填写、签字、盖章，除承包人自行编制的投标报价和竣工结算外，受委托编制的投标报价，由造价员编制的应有负责审核的造价工程师签字、盖章以及工程造价咨询人盖章。</w:t>
      </w:r>
    </w:p>
    <w:p w14:paraId="0F2B09D5">
      <w:pPr>
        <w:pStyle w:val="19"/>
        <w:spacing w:after="0" w:line="500" w:lineRule="exact"/>
        <w:ind w:firstLine="480" w:firstLineChars="200"/>
        <w:rPr>
          <w:sz w:val="24"/>
        </w:rPr>
      </w:pPr>
      <w:r>
        <w:rPr>
          <w:sz w:val="24"/>
        </w:rPr>
        <w:t>3.3</w:t>
      </w:r>
      <w:r>
        <w:rPr>
          <w:rFonts w:hint="eastAsia"/>
          <w:sz w:val="24"/>
        </w:rPr>
        <w:t>总说明应按下列内容填写：</w:t>
      </w:r>
    </w:p>
    <w:p w14:paraId="68465B2D">
      <w:pPr>
        <w:spacing w:line="500" w:lineRule="exact"/>
        <w:ind w:firstLine="480" w:firstLineChars="200"/>
        <w:rPr>
          <w:sz w:val="24"/>
        </w:rPr>
      </w:pPr>
      <w:r>
        <w:rPr>
          <w:sz w:val="24"/>
        </w:rPr>
        <w:t>3.3.1</w:t>
      </w:r>
      <w:r>
        <w:rPr>
          <w:rFonts w:hint="eastAsia"/>
          <w:sz w:val="24"/>
        </w:rPr>
        <w:t>工程概况：建设规模、工程特征、计划工期、合同工期、实际工期、施工现场及变化情况、承包方案实施的特点、自然地理条件、环境保护要求等。</w:t>
      </w:r>
    </w:p>
    <w:p w14:paraId="00BC9668">
      <w:pPr>
        <w:pStyle w:val="245"/>
        <w:tabs>
          <w:tab w:val="left" w:pos="840"/>
        </w:tabs>
        <w:spacing w:line="500" w:lineRule="exact"/>
        <w:ind w:firstLine="482" w:firstLineChars="200"/>
        <w:rPr>
          <w:sz w:val="24"/>
          <w:szCs w:val="24"/>
        </w:rPr>
      </w:pPr>
      <w:r>
        <w:rPr>
          <w:sz w:val="24"/>
          <w:szCs w:val="24"/>
        </w:rPr>
        <w:t>3.3.2</w:t>
      </w:r>
      <w:r>
        <w:rPr>
          <w:rFonts w:hint="eastAsia"/>
          <w:sz w:val="24"/>
          <w:szCs w:val="24"/>
        </w:rPr>
        <w:t>编制依据等。</w:t>
      </w:r>
    </w:p>
    <w:p w14:paraId="7E28BE23">
      <w:pPr>
        <w:pStyle w:val="245"/>
        <w:tabs>
          <w:tab w:val="left" w:pos="840"/>
        </w:tabs>
        <w:spacing w:line="500" w:lineRule="exact"/>
        <w:ind w:firstLine="480" w:firstLineChars="200"/>
        <w:rPr>
          <w:rStyle w:val="95"/>
        </w:rPr>
      </w:pPr>
      <w:r>
        <w:rPr>
          <w:b w:val="0"/>
          <w:sz w:val="24"/>
          <w:szCs w:val="24"/>
        </w:rPr>
        <w:t>3.4</w:t>
      </w:r>
      <w:r>
        <w:rPr>
          <w:rFonts w:hint="eastAsia"/>
          <w:b w:val="0"/>
          <w:sz w:val="24"/>
          <w:szCs w:val="24"/>
        </w:rPr>
        <w:t>为满足评标需要，投标人应当在投标文件中，填报表</w:t>
      </w:r>
      <w:r>
        <w:rPr>
          <w:b w:val="0"/>
          <w:sz w:val="24"/>
          <w:szCs w:val="24"/>
        </w:rPr>
        <w:t>-24</w:t>
      </w:r>
      <w:r>
        <w:rPr>
          <w:rFonts w:hint="eastAsia"/>
          <w:b w:val="0"/>
          <w:sz w:val="24"/>
          <w:szCs w:val="24"/>
        </w:rPr>
        <w:t>并对所提供的数据的真实性和准确性负责。</w:t>
      </w:r>
    </w:p>
    <w:p w14:paraId="3C1B51DF">
      <w:pPr>
        <w:pStyle w:val="245"/>
        <w:tabs>
          <w:tab w:val="left" w:pos="840"/>
        </w:tabs>
        <w:spacing w:line="400" w:lineRule="exact"/>
        <w:rPr>
          <w:rStyle w:val="95"/>
        </w:rPr>
      </w:pPr>
    </w:p>
    <w:p w14:paraId="4829DE77">
      <w:pPr>
        <w:pStyle w:val="245"/>
        <w:tabs>
          <w:tab w:val="left" w:pos="840"/>
        </w:tabs>
        <w:spacing w:line="400" w:lineRule="exact"/>
        <w:rPr>
          <w:rStyle w:val="95"/>
        </w:rPr>
      </w:pPr>
    </w:p>
    <w:p w14:paraId="2228D461">
      <w:pPr>
        <w:pStyle w:val="608"/>
        <w:spacing w:line="400" w:lineRule="exact"/>
        <w:jc w:val="center"/>
        <w:rPr>
          <w:rStyle w:val="95"/>
          <w:rFonts w:ascii="Times New Roman" w:hAnsi="Times New Roman"/>
          <w:b/>
          <w:sz w:val="28"/>
          <w:szCs w:val="28"/>
        </w:rPr>
      </w:pPr>
    </w:p>
    <w:p w14:paraId="1EE269E3">
      <w:pPr>
        <w:pStyle w:val="608"/>
        <w:spacing w:line="400" w:lineRule="exact"/>
        <w:jc w:val="center"/>
        <w:rPr>
          <w:rStyle w:val="95"/>
          <w:rFonts w:ascii="Times New Roman" w:hAnsi="Times New Roman"/>
          <w:b/>
          <w:sz w:val="28"/>
          <w:szCs w:val="28"/>
        </w:rPr>
      </w:pPr>
    </w:p>
    <w:p w14:paraId="73D7A7EC">
      <w:pPr>
        <w:pStyle w:val="608"/>
        <w:spacing w:line="600" w:lineRule="exact"/>
        <w:jc w:val="center"/>
        <w:rPr>
          <w:rStyle w:val="95"/>
          <w:rFonts w:ascii="Times New Roman" w:hAnsi="Times New Roman"/>
          <w:b/>
          <w:sz w:val="28"/>
          <w:szCs w:val="28"/>
        </w:rPr>
      </w:pPr>
      <w:r>
        <w:rPr>
          <w:rStyle w:val="95"/>
          <w:rFonts w:hint="eastAsia" w:ascii="Times New Roman" w:hAnsi="Times New Roman"/>
          <w:b/>
          <w:sz w:val="28"/>
          <w:szCs w:val="28"/>
        </w:rPr>
        <w:t>一、投标报价一览表</w:t>
      </w:r>
    </w:p>
    <w:p w14:paraId="13883FCB">
      <w:pPr>
        <w:pStyle w:val="608"/>
        <w:spacing w:line="400" w:lineRule="exact"/>
        <w:jc w:val="center"/>
        <w:rPr>
          <w:rStyle w:val="95"/>
          <w:rFonts w:ascii="Times New Roman" w:hAnsi="Times New Roman"/>
          <w:b/>
          <w:sz w:val="28"/>
          <w:szCs w:val="28"/>
        </w:rPr>
      </w:pPr>
    </w:p>
    <w:p w14:paraId="4F1BB15B">
      <w:pPr>
        <w:pStyle w:val="608"/>
        <w:spacing w:line="400" w:lineRule="exact"/>
        <w:jc w:val="center"/>
        <w:rPr>
          <w:rStyle w:val="95"/>
          <w:rFonts w:ascii="Times New Roman" w:hAnsi="Times New Roman"/>
          <w:b/>
          <w:sz w:val="28"/>
          <w:szCs w:val="28"/>
        </w:rPr>
      </w:pPr>
    </w:p>
    <w:p w14:paraId="7185ED26">
      <w:pPr>
        <w:pStyle w:val="608"/>
        <w:spacing w:line="400" w:lineRule="exact"/>
        <w:jc w:val="left"/>
        <w:rPr>
          <w:rStyle w:val="95"/>
          <w:rFonts w:ascii="Times New Roman" w:hAnsi="Times New Roman"/>
          <w:sz w:val="24"/>
          <w:szCs w:val="24"/>
        </w:rPr>
      </w:pPr>
      <w:r>
        <w:rPr>
          <w:rStyle w:val="95"/>
          <w:rFonts w:hint="eastAsia" w:ascii="Times New Roman" w:hAnsi="Times New Roman"/>
          <w:sz w:val="24"/>
          <w:szCs w:val="24"/>
        </w:rPr>
        <w:t>投标单位名称：</w:t>
      </w:r>
      <w:r>
        <w:rPr>
          <w:rStyle w:val="95"/>
          <w:rFonts w:ascii="Times New Roman" w:hAnsi="Times New Roman"/>
          <w:sz w:val="24"/>
          <w:szCs w:val="24"/>
        </w:rPr>
        <w:t xml:space="preserve">                  </w:t>
      </w:r>
      <w:r>
        <w:rPr>
          <w:rStyle w:val="95"/>
          <w:rFonts w:hint="eastAsia" w:ascii="Times New Roman" w:hAnsi="Times New Roman"/>
          <w:sz w:val="24"/>
          <w:szCs w:val="24"/>
        </w:rPr>
        <w:t>招标编号：</w:t>
      </w:r>
      <w:r>
        <w:rPr>
          <w:rStyle w:val="95"/>
          <w:rFonts w:ascii="Times New Roman" w:hAnsi="Times New Roman"/>
          <w:sz w:val="24"/>
          <w:szCs w:val="24"/>
        </w:rPr>
        <w:t xml:space="preserve">                     </w:t>
      </w:r>
      <w:r>
        <w:rPr>
          <w:rStyle w:val="95"/>
          <w:rFonts w:hint="eastAsia" w:ascii="Times New Roman" w:hAnsi="Times New Roman"/>
          <w:sz w:val="24"/>
          <w:szCs w:val="24"/>
        </w:rPr>
        <w:t>单位：万元</w:t>
      </w:r>
    </w:p>
    <w:tbl>
      <w:tblPr>
        <w:tblStyle w:val="45"/>
        <w:tblW w:w="8804" w:type="dxa"/>
        <w:tblInd w:w="5" w:type="dxa"/>
        <w:tblLayout w:type="fixed"/>
        <w:tblCellMar>
          <w:top w:w="0" w:type="dxa"/>
          <w:left w:w="0" w:type="dxa"/>
          <w:bottom w:w="0" w:type="dxa"/>
          <w:right w:w="0" w:type="dxa"/>
        </w:tblCellMar>
      </w:tblPr>
      <w:tblGrid>
        <w:gridCol w:w="724"/>
        <w:gridCol w:w="2835"/>
        <w:gridCol w:w="2977"/>
        <w:gridCol w:w="2268"/>
      </w:tblGrid>
      <w:tr w14:paraId="5354D1A6">
        <w:tblPrEx>
          <w:tblCellMar>
            <w:top w:w="0" w:type="dxa"/>
            <w:left w:w="0" w:type="dxa"/>
            <w:bottom w:w="0" w:type="dxa"/>
            <w:right w:w="0" w:type="dxa"/>
          </w:tblCellMar>
        </w:tblPrEx>
        <w:trPr>
          <w:trHeight w:val="567" w:hRule="exact"/>
        </w:trPr>
        <w:tc>
          <w:tcPr>
            <w:tcW w:w="724" w:type="dxa"/>
            <w:tcBorders>
              <w:top w:val="single" w:color="000000" w:sz="4" w:space="0"/>
              <w:left w:val="single" w:color="000000" w:sz="4" w:space="0"/>
              <w:bottom w:val="single" w:color="000000" w:sz="4" w:space="0"/>
              <w:right w:val="single" w:color="000000" w:sz="4" w:space="0"/>
            </w:tcBorders>
            <w:vAlign w:val="center"/>
          </w:tcPr>
          <w:p w14:paraId="465EFE00">
            <w:pPr>
              <w:jc w:val="center"/>
              <w:textAlignment w:val="center"/>
              <w:rPr>
                <w:rStyle w:val="95"/>
                <w:b/>
                <w:color w:val="000000"/>
                <w:sz w:val="24"/>
              </w:rPr>
            </w:pPr>
            <w:r>
              <w:rPr>
                <w:rStyle w:val="95"/>
                <w:rFonts w:hint="eastAsia"/>
                <w:b/>
                <w:color w:val="000000"/>
                <w:kern w:val="0"/>
                <w:sz w:val="24"/>
              </w:rPr>
              <w:t>序号</w:t>
            </w:r>
          </w:p>
        </w:tc>
        <w:tc>
          <w:tcPr>
            <w:tcW w:w="2835" w:type="dxa"/>
            <w:tcBorders>
              <w:top w:val="single" w:color="000000" w:sz="4" w:space="0"/>
              <w:left w:val="single" w:color="000000" w:sz="4" w:space="0"/>
              <w:bottom w:val="single" w:color="000000" w:sz="4" w:space="0"/>
              <w:right w:val="single" w:color="000000" w:sz="4" w:space="0"/>
            </w:tcBorders>
            <w:vAlign w:val="center"/>
          </w:tcPr>
          <w:p w14:paraId="04915D81">
            <w:pPr>
              <w:jc w:val="center"/>
              <w:textAlignment w:val="center"/>
              <w:rPr>
                <w:rStyle w:val="95"/>
                <w:b/>
                <w:color w:val="000000"/>
                <w:sz w:val="24"/>
              </w:rPr>
            </w:pPr>
            <w:r>
              <w:rPr>
                <w:rStyle w:val="95"/>
                <w:rFonts w:hint="eastAsia"/>
                <w:b/>
                <w:color w:val="000000"/>
                <w:kern w:val="0"/>
                <w:sz w:val="24"/>
              </w:rPr>
              <w:t>工程或项目名称</w:t>
            </w:r>
          </w:p>
        </w:tc>
        <w:tc>
          <w:tcPr>
            <w:tcW w:w="2977" w:type="dxa"/>
            <w:tcBorders>
              <w:top w:val="single" w:color="000000" w:sz="4" w:space="0"/>
              <w:left w:val="single" w:color="000000" w:sz="4" w:space="0"/>
              <w:bottom w:val="single" w:color="000000" w:sz="4" w:space="0"/>
              <w:right w:val="single" w:color="000000" w:sz="4" w:space="0"/>
            </w:tcBorders>
            <w:vAlign w:val="center"/>
          </w:tcPr>
          <w:p w14:paraId="2F824B54">
            <w:pPr>
              <w:jc w:val="center"/>
              <w:textAlignment w:val="center"/>
              <w:rPr>
                <w:rStyle w:val="95"/>
                <w:b/>
                <w:color w:val="000000"/>
                <w:sz w:val="24"/>
              </w:rPr>
            </w:pPr>
            <w:r>
              <w:rPr>
                <w:rStyle w:val="95"/>
                <w:rFonts w:hint="eastAsia"/>
                <w:b/>
                <w:color w:val="000000"/>
                <w:kern w:val="0"/>
                <w:sz w:val="24"/>
              </w:rPr>
              <w:t>合计</w:t>
            </w:r>
          </w:p>
        </w:tc>
        <w:tc>
          <w:tcPr>
            <w:tcW w:w="2268" w:type="dxa"/>
            <w:tcBorders>
              <w:top w:val="single" w:color="000000" w:sz="4" w:space="0"/>
              <w:left w:val="single" w:color="000000" w:sz="4" w:space="0"/>
              <w:bottom w:val="single" w:color="000000" w:sz="4" w:space="0"/>
              <w:right w:val="single" w:color="000000" w:sz="4" w:space="0"/>
            </w:tcBorders>
            <w:vAlign w:val="center"/>
          </w:tcPr>
          <w:p w14:paraId="2267CB0D">
            <w:pPr>
              <w:jc w:val="center"/>
              <w:textAlignment w:val="center"/>
              <w:rPr>
                <w:rStyle w:val="95"/>
                <w:b/>
                <w:color w:val="000000"/>
                <w:sz w:val="24"/>
              </w:rPr>
            </w:pPr>
            <w:r>
              <w:rPr>
                <w:rStyle w:val="95"/>
                <w:rFonts w:hint="eastAsia"/>
                <w:b/>
                <w:color w:val="000000"/>
                <w:kern w:val="0"/>
                <w:sz w:val="24"/>
              </w:rPr>
              <w:t>备注</w:t>
            </w:r>
          </w:p>
        </w:tc>
      </w:tr>
      <w:tr w14:paraId="38B3681F">
        <w:tblPrEx>
          <w:tblCellMar>
            <w:top w:w="0" w:type="dxa"/>
            <w:left w:w="0" w:type="dxa"/>
            <w:bottom w:w="0" w:type="dxa"/>
            <w:right w:w="0" w:type="dxa"/>
          </w:tblCellMar>
        </w:tblPrEx>
        <w:trPr>
          <w:trHeight w:val="567" w:hRule="exact"/>
        </w:trPr>
        <w:tc>
          <w:tcPr>
            <w:tcW w:w="724" w:type="dxa"/>
            <w:tcBorders>
              <w:top w:val="single" w:color="000000" w:sz="4" w:space="0"/>
              <w:left w:val="single" w:color="000000" w:sz="4" w:space="0"/>
              <w:bottom w:val="single" w:color="000000" w:sz="4" w:space="0"/>
              <w:right w:val="single" w:color="000000" w:sz="4" w:space="0"/>
            </w:tcBorders>
            <w:vAlign w:val="center"/>
          </w:tcPr>
          <w:p w14:paraId="35F8D507">
            <w:pPr>
              <w:jc w:val="center"/>
              <w:textAlignment w:val="center"/>
              <w:rPr>
                <w:rStyle w:val="95"/>
                <w:color w:val="000000"/>
                <w:sz w:val="24"/>
              </w:rPr>
            </w:pPr>
            <w:r>
              <w:rPr>
                <w:rStyle w:val="95"/>
                <w:color w:val="000000"/>
                <w:kern w:val="0"/>
                <w:sz w:val="24"/>
              </w:rPr>
              <w:t>1</w:t>
            </w:r>
          </w:p>
        </w:tc>
        <w:tc>
          <w:tcPr>
            <w:tcW w:w="2835" w:type="dxa"/>
            <w:tcBorders>
              <w:top w:val="single" w:color="000000" w:sz="4" w:space="0"/>
              <w:left w:val="single" w:color="000000" w:sz="4" w:space="0"/>
              <w:bottom w:val="single" w:color="000000" w:sz="4" w:space="0"/>
              <w:right w:val="single" w:color="000000" w:sz="4" w:space="0"/>
            </w:tcBorders>
            <w:vAlign w:val="center"/>
          </w:tcPr>
          <w:p w14:paraId="3553241B">
            <w:pPr>
              <w:textAlignment w:val="center"/>
              <w:rPr>
                <w:rStyle w:val="95"/>
                <w:b/>
                <w:bCs/>
                <w:color w:val="000000"/>
                <w:sz w:val="24"/>
              </w:rPr>
            </w:pPr>
            <w:r>
              <w:rPr>
                <w:rStyle w:val="95"/>
                <w:rFonts w:hint="eastAsia"/>
                <w:b/>
                <w:bCs/>
                <w:color w:val="000000"/>
                <w:kern w:val="0"/>
                <w:sz w:val="24"/>
              </w:rPr>
              <w:t>施工图设计服务费</w:t>
            </w:r>
          </w:p>
        </w:tc>
        <w:tc>
          <w:tcPr>
            <w:tcW w:w="2977" w:type="dxa"/>
            <w:tcBorders>
              <w:top w:val="single" w:color="000000" w:sz="4" w:space="0"/>
              <w:left w:val="single" w:color="000000" w:sz="4" w:space="0"/>
              <w:bottom w:val="single" w:color="000000" w:sz="4" w:space="0"/>
              <w:right w:val="single" w:color="000000" w:sz="4" w:space="0"/>
            </w:tcBorders>
            <w:vAlign w:val="center"/>
          </w:tcPr>
          <w:p w14:paraId="3B1DDF9F">
            <w:pPr>
              <w:rPr>
                <w:rStyle w:val="95"/>
                <w:color w:val="000000"/>
                <w:sz w:val="24"/>
              </w:rPr>
            </w:pPr>
          </w:p>
        </w:tc>
        <w:tc>
          <w:tcPr>
            <w:tcW w:w="2268" w:type="dxa"/>
            <w:tcBorders>
              <w:top w:val="single" w:color="000000" w:sz="4" w:space="0"/>
              <w:left w:val="single" w:color="000000" w:sz="4" w:space="0"/>
              <w:bottom w:val="single" w:color="000000" w:sz="4" w:space="0"/>
              <w:right w:val="single" w:color="000000" w:sz="4" w:space="0"/>
            </w:tcBorders>
            <w:vAlign w:val="center"/>
          </w:tcPr>
          <w:p w14:paraId="793E36E2">
            <w:pPr>
              <w:rPr>
                <w:rStyle w:val="95"/>
                <w:color w:val="000000"/>
                <w:sz w:val="24"/>
              </w:rPr>
            </w:pPr>
          </w:p>
        </w:tc>
      </w:tr>
      <w:tr w14:paraId="59A110EE">
        <w:tblPrEx>
          <w:tblCellMar>
            <w:top w:w="0" w:type="dxa"/>
            <w:left w:w="0" w:type="dxa"/>
            <w:bottom w:w="0" w:type="dxa"/>
            <w:right w:w="0" w:type="dxa"/>
          </w:tblCellMar>
        </w:tblPrEx>
        <w:trPr>
          <w:trHeight w:val="567" w:hRule="exact"/>
        </w:trPr>
        <w:tc>
          <w:tcPr>
            <w:tcW w:w="724" w:type="dxa"/>
            <w:tcBorders>
              <w:top w:val="single" w:color="000000" w:sz="4" w:space="0"/>
              <w:left w:val="single" w:color="000000" w:sz="4" w:space="0"/>
              <w:bottom w:val="single" w:color="000000" w:sz="4" w:space="0"/>
              <w:right w:val="single" w:color="000000" w:sz="4" w:space="0"/>
            </w:tcBorders>
            <w:vAlign w:val="center"/>
          </w:tcPr>
          <w:p w14:paraId="7D1946B2">
            <w:pPr>
              <w:jc w:val="center"/>
              <w:textAlignment w:val="center"/>
              <w:rPr>
                <w:rStyle w:val="95"/>
                <w:color w:val="000000"/>
                <w:sz w:val="24"/>
              </w:rPr>
            </w:pPr>
            <w:r>
              <w:rPr>
                <w:rStyle w:val="95"/>
                <w:color w:val="000000"/>
                <w:kern w:val="0"/>
                <w:sz w:val="24"/>
              </w:rPr>
              <w:t>2</w:t>
            </w:r>
          </w:p>
        </w:tc>
        <w:tc>
          <w:tcPr>
            <w:tcW w:w="2835" w:type="dxa"/>
            <w:tcBorders>
              <w:top w:val="single" w:color="000000" w:sz="4" w:space="0"/>
              <w:left w:val="single" w:color="000000" w:sz="4" w:space="0"/>
              <w:bottom w:val="single" w:color="000000" w:sz="4" w:space="0"/>
              <w:right w:val="single" w:color="000000" w:sz="4" w:space="0"/>
            </w:tcBorders>
            <w:vAlign w:val="center"/>
          </w:tcPr>
          <w:p w14:paraId="43C0149C">
            <w:pPr>
              <w:textAlignment w:val="center"/>
              <w:rPr>
                <w:rStyle w:val="95"/>
                <w:b/>
                <w:bCs/>
                <w:color w:val="000000"/>
                <w:sz w:val="24"/>
              </w:rPr>
            </w:pPr>
            <w:r>
              <w:rPr>
                <w:rStyle w:val="95"/>
                <w:rFonts w:hint="eastAsia"/>
                <w:b/>
                <w:bCs/>
                <w:color w:val="000000"/>
                <w:sz w:val="24"/>
              </w:rPr>
              <w:t>建安工程费</w:t>
            </w:r>
          </w:p>
        </w:tc>
        <w:tc>
          <w:tcPr>
            <w:tcW w:w="2977" w:type="dxa"/>
            <w:tcBorders>
              <w:top w:val="single" w:color="000000" w:sz="4" w:space="0"/>
              <w:left w:val="single" w:color="000000" w:sz="4" w:space="0"/>
              <w:bottom w:val="single" w:color="000000" w:sz="4" w:space="0"/>
              <w:right w:val="single" w:color="000000" w:sz="4" w:space="0"/>
            </w:tcBorders>
            <w:vAlign w:val="center"/>
          </w:tcPr>
          <w:p w14:paraId="02F7D79B">
            <w:pPr>
              <w:rPr>
                <w:rStyle w:val="95"/>
                <w:color w:val="000000"/>
                <w:sz w:val="24"/>
              </w:rPr>
            </w:pPr>
          </w:p>
        </w:tc>
        <w:tc>
          <w:tcPr>
            <w:tcW w:w="2268" w:type="dxa"/>
            <w:tcBorders>
              <w:top w:val="single" w:color="000000" w:sz="4" w:space="0"/>
              <w:left w:val="single" w:color="000000" w:sz="4" w:space="0"/>
              <w:bottom w:val="single" w:color="000000" w:sz="4" w:space="0"/>
              <w:right w:val="single" w:color="000000" w:sz="4" w:space="0"/>
            </w:tcBorders>
            <w:vAlign w:val="center"/>
          </w:tcPr>
          <w:p w14:paraId="46D08EB5">
            <w:pPr>
              <w:rPr>
                <w:rStyle w:val="95"/>
                <w:color w:val="000000"/>
                <w:sz w:val="24"/>
              </w:rPr>
            </w:pPr>
          </w:p>
        </w:tc>
      </w:tr>
      <w:tr w14:paraId="0761B0B0">
        <w:tblPrEx>
          <w:tblCellMar>
            <w:top w:w="0" w:type="dxa"/>
            <w:left w:w="0" w:type="dxa"/>
            <w:bottom w:w="0" w:type="dxa"/>
            <w:right w:w="0" w:type="dxa"/>
          </w:tblCellMar>
        </w:tblPrEx>
        <w:trPr>
          <w:trHeight w:val="567" w:hRule="exact"/>
        </w:trPr>
        <w:tc>
          <w:tcPr>
            <w:tcW w:w="724" w:type="dxa"/>
            <w:tcBorders>
              <w:top w:val="single" w:color="000000" w:sz="4" w:space="0"/>
              <w:left w:val="single" w:color="000000" w:sz="4" w:space="0"/>
              <w:bottom w:val="single" w:color="000000" w:sz="4" w:space="0"/>
              <w:right w:val="single" w:color="000000" w:sz="4" w:space="0"/>
            </w:tcBorders>
            <w:vAlign w:val="center"/>
          </w:tcPr>
          <w:p w14:paraId="2C2D6E63">
            <w:pPr>
              <w:jc w:val="center"/>
              <w:textAlignment w:val="center"/>
              <w:rPr>
                <w:rStyle w:val="95"/>
                <w:color w:val="000000"/>
                <w:kern w:val="0"/>
                <w:sz w:val="24"/>
              </w:rPr>
            </w:pPr>
          </w:p>
        </w:tc>
        <w:tc>
          <w:tcPr>
            <w:tcW w:w="2835" w:type="dxa"/>
            <w:tcBorders>
              <w:top w:val="single" w:color="000000" w:sz="4" w:space="0"/>
              <w:left w:val="single" w:color="000000" w:sz="4" w:space="0"/>
              <w:bottom w:val="single" w:color="000000" w:sz="4" w:space="0"/>
              <w:right w:val="single" w:color="000000" w:sz="4" w:space="0"/>
            </w:tcBorders>
            <w:vAlign w:val="center"/>
          </w:tcPr>
          <w:p w14:paraId="1CD1F0BE">
            <w:pPr>
              <w:textAlignment w:val="center"/>
              <w:rPr>
                <w:rStyle w:val="95"/>
                <w:b/>
                <w:bCs/>
                <w:color w:val="000000"/>
                <w:sz w:val="24"/>
              </w:rPr>
            </w:pPr>
          </w:p>
        </w:tc>
        <w:tc>
          <w:tcPr>
            <w:tcW w:w="2977" w:type="dxa"/>
            <w:tcBorders>
              <w:top w:val="single" w:color="000000" w:sz="4" w:space="0"/>
              <w:left w:val="single" w:color="000000" w:sz="4" w:space="0"/>
              <w:bottom w:val="single" w:color="000000" w:sz="4" w:space="0"/>
              <w:right w:val="single" w:color="000000" w:sz="4" w:space="0"/>
            </w:tcBorders>
            <w:vAlign w:val="center"/>
          </w:tcPr>
          <w:p w14:paraId="7FEFF3CC">
            <w:pPr>
              <w:rPr>
                <w:rStyle w:val="95"/>
                <w:color w:val="000000"/>
                <w:sz w:val="24"/>
              </w:rPr>
            </w:pPr>
          </w:p>
        </w:tc>
        <w:tc>
          <w:tcPr>
            <w:tcW w:w="2268" w:type="dxa"/>
            <w:tcBorders>
              <w:top w:val="single" w:color="000000" w:sz="4" w:space="0"/>
              <w:left w:val="single" w:color="000000" w:sz="4" w:space="0"/>
              <w:bottom w:val="single" w:color="000000" w:sz="4" w:space="0"/>
              <w:right w:val="single" w:color="000000" w:sz="4" w:space="0"/>
            </w:tcBorders>
            <w:vAlign w:val="center"/>
          </w:tcPr>
          <w:p w14:paraId="1BCED0B4">
            <w:pPr>
              <w:rPr>
                <w:rStyle w:val="95"/>
                <w:color w:val="000000"/>
                <w:sz w:val="24"/>
              </w:rPr>
            </w:pPr>
          </w:p>
        </w:tc>
      </w:tr>
      <w:tr w14:paraId="12916D3F">
        <w:tblPrEx>
          <w:tblCellMar>
            <w:top w:w="0" w:type="dxa"/>
            <w:left w:w="0" w:type="dxa"/>
            <w:bottom w:w="0" w:type="dxa"/>
            <w:right w:w="0" w:type="dxa"/>
          </w:tblCellMar>
        </w:tblPrEx>
        <w:trPr>
          <w:trHeight w:val="567" w:hRule="exact"/>
        </w:trPr>
        <w:tc>
          <w:tcPr>
            <w:tcW w:w="724" w:type="dxa"/>
            <w:tcBorders>
              <w:top w:val="single" w:color="000000" w:sz="4" w:space="0"/>
              <w:left w:val="single" w:color="000000" w:sz="4" w:space="0"/>
              <w:bottom w:val="single" w:color="000000" w:sz="4" w:space="0"/>
              <w:right w:val="single" w:color="000000" w:sz="4" w:space="0"/>
            </w:tcBorders>
            <w:vAlign w:val="center"/>
          </w:tcPr>
          <w:p w14:paraId="7ED0FFA8">
            <w:pPr>
              <w:jc w:val="center"/>
              <w:textAlignment w:val="center"/>
              <w:rPr>
                <w:rStyle w:val="95"/>
                <w:color w:val="000000"/>
                <w:sz w:val="24"/>
              </w:rPr>
            </w:pPr>
            <w:r>
              <w:rPr>
                <w:rStyle w:val="95"/>
                <w:color w:val="000000"/>
                <w:sz w:val="24"/>
              </w:rPr>
              <w:t>...</w:t>
            </w:r>
          </w:p>
        </w:tc>
        <w:tc>
          <w:tcPr>
            <w:tcW w:w="2835" w:type="dxa"/>
            <w:tcBorders>
              <w:top w:val="single" w:color="000000" w:sz="4" w:space="0"/>
              <w:left w:val="single" w:color="000000" w:sz="4" w:space="0"/>
              <w:bottom w:val="single" w:color="000000" w:sz="4" w:space="0"/>
              <w:right w:val="single" w:color="000000" w:sz="4" w:space="0"/>
            </w:tcBorders>
            <w:vAlign w:val="center"/>
          </w:tcPr>
          <w:p w14:paraId="6B76D090">
            <w:pPr>
              <w:textAlignment w:val="center"/>
              <w:rPr>
                <w:rStyle w:val="95"/>
                <w:color w:val="000000"/>
                <w:sz w:val="24"/>
              </w:rPr>
            </w:pPr>
          </w:p>
        </w:tc>
        <w:tc>
          <w:tcPr>
            <w:tcW w:w="2977" w:type="dxa"/>
            <w:tcBorders>
              <w:top w:val="single" w:color="000000" w:sz="4" w:space="0"/>
              <w:left w:val="single" w:color="000000" w:sz="4" w:space="0"/>
              <w:bottom w:val="single" w:color="000000" w:sz="4" w:space="0"/>
              <w:right w:val="single" w:color="000000" w:sz="4" w:space="0"/>
            </w:tcBorders>
            <w:vAlign w:val="center"/>
          </w:tcPr>
          <w:p w14:paraId="48B212DB">
            <w:pPr>
              <w:rPr>
                <w:rStyle w:val="95"/>
                <w:color w:val="000000"/>
                <w:sz w:val="24"/>
              </w:rPr>
            </w:pPr>
          </w:p>
        </w:tc>
        <w:tc>
          <w:tcPr>
            <w:tcW w:w="2268" w:type="dxa"/>
            <w:tcBorders>
              <w:top w:val="single" w:color="000000" w:sz="4" w:space="0"/>
              <w:left w:val="single" w:color="000000" w:sz="4" w:space="0"/>
              <w:bottom w:val="single" w:color="000000" w:sz="4" w:space="0"/>
              <w:right w:val="single" w:color="000000" w:sz="4" w:space="0"/>
            </w:tcBorders>
            <w:vAlign w:val="center"/>
          </w:tcPr>
          <w:p w14:paraId="5CAB313C">
            <w:pPr>
              <w:rPr>
                <w:rStyle w:val="95"/>
                <w:color w:val="000000"/>
                <w:sz w:val="24"/>
              </w:rPr>
            </w:pPr>
          </w:p>
        </w:tc>
      </w:tr>
      <w:tr w14:paraId="6751A4AD">
        <w:tblPrEx>
          <w:tblCellMar>
            <w:top w:w="0" w:type="dxa"/>
            <w:left w:w="0" w:type="dxa"/>
            <w:bottom w:w="0" w:type="dxa"/>
            <w:right w:w="0" w:type="dxa"/>
          </w:tblCellMar>
        </w:tblPrEx>
        <w:trPr>
          <w:trHeight w:val="567" w:hRule="exact"/>
        </w:trPr>
        <w:tc>
          <w:tcPr>
            <w:tcW w:w="724" w:type="dxa"/>
            <w:tcBorders>
              <w:top w:val="single" w:color="000000" w:sz="4" w:space="0"/>
              <w:left w:val="single" w:color="000000" w:sz="4" w:space="0"/>
              <w:bottom w:val="single" w:color="000000" w:sz="4" w:space="0"/>
              <w:right w:val="single" w:color="000000" w:sz="4" w:space="0"/>
            </w:tcBorders>
            <w:vAlign w:val="center"/>
          </w:tcPr>
          <w:p w14:paraId="35C483A4">
            <w:pPr>
              <w:jc w:val="center"/>
              <w:textAlignment w:val="center"/>
              <w:rPr>
                <w:rStyle w:val="95"/>
                <w:color w:val="000000"/>
                <w:kern w:val="0"/>
                <w:sz w:val="24"/>
              </w:rPr>
            </w:pPr>
          </w:p>
        </w:tc>
        <w:tc>
          <w:tcPr>
            <w:tcW w:w="2835" w:type="dxa"/>
            <w:tcBorders>
              <w:top w:val="single" w:color="000000" w:sz="4" w:space="0"/>
              <w:left w:val="single" w:color="000000" w:sz="4" w:space="0"/>
              <w:bottom w:val="single" w:color="000000" w:sz="4" w:space="0"/>
              <w:right w:val="single" w:color="000000" w:sz="4" w:space="0"/>
            </w:tcBorders>
            <w:vAlign w:val="center"/>
          </w:tcPr>
          <w:p w14:paraId="68689B2A">
            <w:pPr>
              <w:textAlignment w:val="center"/>
              <w:rPr>
                <w:rStyle w:val="95"/>
                <w:color w:val="000000"/>
                <w:sz w:val="24"/>
              </w:rPr>
            </w:pPr>
          </w:p>
        </w:tc>
        <w:tc>
          <w:tcPr>
            <w:tcW w:w="2977" w:type="dxa"/>
            <w:tcBorders>
              <w:top w:val="single" w:color="000000" w:sz="4" w:space="0"/>
              <w:left w:val="single" w:color="000000" w:sz="4" w:space="0"/>
              <w:bottom w:val="single" w:color="000000" w:sz="4" w:space="0"/>
              <w:right w:val="single" w:color="000000" w:sz="4" w:space="0"/>
            </w:tcBorders>
            <w:vAlign w:val="center"/>
          </w:tcPr>
          <w:p w14:paraId="04810160">
            <w:pPr>
              <w:rPr>
                <w:rStyle w:val="95"/>
                <w:color w:val="000000"/>
                <w:sz w:val="24"/>
              </w:rPr>
            </w:pPr>
          </w:p>
        </w:tc>
        <w:tc>
          <w:tcPr>
            <w:tcW w:w="2268" w:type="dxa"/>
            <w:tcBorders>
              <w:top w:val="single" w:color="000000" w:sz="4" w:space="0"/>
              <w:left w:val="single" w:color="000000" w:sz="4" w:space="0"/>
              <w:bottom w:val="single" w:color="000000" w:sz="4" w:space="0"/>
              <w:right w:val="single" w:color="000000" w:sz="4" w:space="0"/>
            </w:tcBorders>
            <w:vAlign w:val="center"/>
          </w:tcPr>
          <w:p w14:paraId="1CF22DFA">
            <w:pPr>
              <w:rPr>
                <w:rStyle w:val="95"/>
                <w:color w:val="000000"/>
                <w:sz w:val="24"/>
              </w:rPr>
            </w:pPr>
          </w:p>
        </w:tc>
      </w:tr>
      <w:tr w14:paraId="0716E25D">
        <w:tblPrEx>
          <w:tblCellMar>
            <w:top w:w="0" w:type="dxa"/>
            <w:left w:w="0" w:type="dxa"/>
            <w:bottom w:w="0" w:type="dxa"/>
            <w:right w:w="0" w:type="dxa"/>
          </w:tblCellMar>
        </w:tblPrEx>
        <w:trPr>
          <w:trHeight w:val="567" w:hRule="exact"/>
        </w:trPr>
        <w:tc>
          <w:tcPr>
            <w:tcW w:w="724" w:type="dxa"/>
            <w:tcBorders>
              <w:top w:val="single" w:color="000000" w:sz="4" w:space="0"/>
              <w:left w:val="single" w:color="000000" w:sz="4" w:space="0"/>
              <w:bottom w:val="single" w:color="000000" w:sz="4" w:space="0"/>
              <w:right w:val="single" w:color="000000" w:sz="4" w:space="0"/>
            </w:tcBorders>
            <w:vAlign w:val="center"/>
          </w:tcPr>
          <w:p w14:paraId="7D7E9AA1">
            <w:pPr>
              <w:jc w:val="center"/>
              <w:rPr>
                <w:rStyle w:val="95"/>
                <w:color w:val="000000"/>
                <w:sz w:val="24"/>
              </w:rPr>
            </w:pPr>
          </w:p>
        </w:tc>
        <w:tc>
          <w:tcPr>
            <w:tcW w:w="2835" w:type="dxa"/>
            <w:tcBorders>
              <w:top w:val="single" w:color="000000" w:sz="4" w:space="0"/>
              <w:left w:val="single" w:color="000000" w:sz="4" w:space="0"/>
              <w:bottom w:val="single" w:color="000000" w:sz="4" w:space="0"/>
              <w:right w:val="single" w:color="000000" w:sz="4" w:space="0"/>
            </w:tcBorders>
            <w:vAlign w:val="center"/>
          </w:tcPr>
          <w:p w14:paraId="077B9BC2">
            <w:pPr>
              <w:jc w:val="center"/>
              <w:textAlignment w:val="center"/>
              <w:rPr>
                <w:rStyle w:val="95"/>
                <w:b/>
                <w:color w:val="000000"/>
                <w:sz w:val="24"/>
              </w:rPr>
            </w:pPr>
            <w:r>
              <w:rPr>
                <w:rStyle w:val="95"/>
                <w:rFonts w:hint="eastAsia"/>
                <w:b/>
                <w:color w:val="000000"/>
                <w:kern w:val="0"/>
                <w:sz w:val="24"/>
              </w:rPr>
              <w:t>总报价</w:t>
            </w:r>
          </w:p>
        </w:tc>
        <w:tc>
          <w:tcPr>
            <w:tcW w:w="2977" w:type="dxa"/>
            <w:tcBorders>
              <w:top w:val="single" w:color="000000" w:sz="4" w:space="0"/>
              <w:left w:val="single" w:color="000000" w:sz="4" w:space="0"/>
              <w:bottom w:val="single" w:color="000000" w:sz="4" w:space="0"/>
              <w:right w:val="single" w:color="000000" w:sz="4" w:space="0"/>
            </w:tcBorders>
            <w:vAlign w:val="center"/>
          </w:tcPr>
          <w:p w14:paraId="508B0006">
            <w:pPr>
              <w:rPr>
                <w:rStyle w:val="95"/>
                <w:color w:val="000000"/>
                <w:sz w:val="24"/>
              </w:rPr>
            </w:pPr>
          </w:p>
        </w:tc>
        <w:tc>
          <w:tcPr>
            <w:tcW w:w="2268" w:type="dxa"/>
            <w:tcBorders>
              <w:top w:val="single" w:color="000000" w:sz="4" w:space="0"/>
              <w:left w:val="single" w:color="000000" w:sz="4" w:space="0"/>
              <w:bottom w:val="single" w:color="000000" w:sz="4" w:space="0"/>
              <w:right w:val="single" w:color="000000" w:sz="4" w:space="0"/>
            </w:tcBorders>
            <w:vAlign w:val="center"/>
          </w:tcPr>
          <w:p w14:paraId="62D2DCE3">
            <w:pPr>
              <w:rPr>
                <w:rStyle w:val="95"/>
                <w:color w:val="000000"/>
                <w:sz w:val="24"/>
              </w:rPr>
            </w:pPr>
          </w:p>
        </w:tc>
      </w:tr>
    </w:tbl>
    <w:p w14:paraId="39EC538C">
      <w:pPr>
        <w:spacing w:line="400" w:lineRule="exact"/>
        <w:rPr>
          <w:rStyle w:val="95"/>
          <w:sz w:val="24"/>
        </w:rPr>
      </w:pPr>
    </w:p>
    <w:p w14:paraId="10466212">
      <w:pPr>
        <w:pStyle w:val="85"/>
        <w:rPr>
          <w:rStyle w:val="95"/>
          <w:rFonts w:ascii="Times New Roman" w:hAnsi="Times New Roman"/>
          <w:szCs w:val="24"/>
        </w:rPr>
      </w:pPr>
    </w:p>
    <w:p w14:paraId="2FA34C73">
      <w:pPr>
        <w:pStyle w:val="85"/>
        <w:rPr>
          <w:rStyle w:val="95"/>
          <w:rFonts w:ascii="Times New Roman" w:hAnsi="Times New Roman"/>
          <w:szCs w:val="24"/>
        </w:rPr>
      </w:pPr>
    </w:p>
    <w:p w14:paraId="4C9CB861">
      <w:pPr>
        <w:spacing w:line="400" w:lineRule="exact"/>
        <w:ind w:firstLine="3600" w:firstLineChars="1500"/>
        <w:rPr>
          <w:rStyle w:val="95"/>
          <w:sz w:val="24"/>
          <w:u w:val="single"/>
        </w:rPr>
      </w:pPr>
      <w:r>
        <w:rPr>
          <w:rStyle w:val="95"/>
          <w:rFonts w:hint="eastAsia"/>
          <w:sz w:val="24"/>
        </w:rPr>
        <w:t>投标人（盖章）：</w:t>
      </w:r>
    </w:p>
    <w:p w14:paraId="1DB9CACB">
      <w:pPr>
        <w:spacing w:line="400" w:lineRule="exact"/>
        <w:ind w:firstLine="3600" w:firstLineChars="1500"/>
        <w:rPr>
          <w:rStyle w:val="95"/>
          <w:sz w:val="24"/>
          <w:u w:val="single"/>
        </w:rPr>
      </w:pPr>
      <w:r>
        <w:rPr>
          <w:rStyle w:val="95"/>
          <w:rFonts w:hint="eastAsia"/>
          <w:sz w:val="24"/>
        </w:rPr>
        <w:t>法定代表人或授权代理人（签字）：</w:t>
      </w:r>
    </w:p>
    <w:p w14:paraId="05B98230">
      <w:pPr>
        <w:spacing w:line="400" w:lineRule="exact"/>
        <w:ind w:firstLine="4800" w:firstLineChars="2000"/>
        <w:rPr>
          <w:rStyle w:val="95"/>
          <w:sz w:val="24"/>
        </w:rPr>
      </w:pPr>
      <w:r>
        <w:rPr>
          <w:rStyle w:val="95"/>
          <w:rFonts w:hint="eastAsia"/>
          <w:sz w:val="24"/>
        </w:rPr>
        <w:t>年</w:t>
      </w:r>
      <w:r>
        <w:rPr>
          <w:rStyle w:val="95"/>
          <w:sz w:val="24"/>
        </w:rPr>
        <w:t xml:space="preserve">   </w:t>
      </w:r>
      <w:r>
        <w:rPr>
          <w:rStyle w:val="95"/>
          <w:rFonts w:hint="eastAsia"/>
          <w:sz w:val="24"/>
        </w:rPr>
        <w:t>月</w:t>
      </w:r>
      <w:r>
        <w:rPr>
          <w:rStyle w:val="95"/>
          <w:sz w:val="24"/>
        </w:rPr>
        <w:t xml:space="preserve">   </w:t>
      </w:r>
      <w:r>
        <w:rPr>
          <w:rStyle w:val="95"/>
          <w:rFonts w:hint="eastAsia"/>
          <w:sz w:val="24"/>
        </w:rPr>
        <w:t>日</w:t>
      </w:r>
    </w:p>
    <w:p w14:paraId="27A1395F">
      <w:pPr>
        <w:spacing w:line="400" w:lineRule="exact"/>
        <w:rPr>
          <w:rStyle w:val="95"/>
          <w:sz w:val="24"/>
        </w:rPr>
      </w:pPr>
    </w:p>
    <w:p w14:paraId="4D0AE469">
      <w:pPr>
        <w:spacing w:line="400" w:lineRule="exact"/>
        <w:rPr>
          <w:rStyle w:val="95"/>
          <w:sz w:val="24"/>
        </w:rPr>
      </w:pPr>
    </w:p>
    <w:p w14:paraId="5A03D061">
      <w:pPr>
        <w:spacing w:line="400" w:lineRule="exact"/>
        <w:rPr>
          <w:rStyle w:val="95"/>
          <w:sz w:val="24"/>
        </w:rPr>
      </w:pPr>
    </w:p>
    <w:p w14:paraId="5F3D915A">
      <w:pPr>
        <w:spacing w:line="400" w:lineRule="exact"/>
        <w:rPr>
          <w:rStyle w:val="95"/>
          <w:sz w:val="24"/>
        </w:rPr>
      </w:pPr>
    </w:p>
    <w:p w14:paraId="05E73FB5">
      <w:pPr>
        <w:spacing w:line="400" w:lineRule="exact"/>
        <w:rPr>
          <w:rStyle w:val="95"/>
          <w:sz w:val="24"/>
        </w:rPr>
      </w:pPr>
    </w:p>
    <w:p w14:paraId="70D58132">
      <w:pPr>
        <w:spacing w:line="400" w:lineRule="exact"/>
        <w:rPr>
          <w:rStyle w:val="95"/>
          <w:sz w:val="24"/>
        </w:rPr>
      </w:pPr>
    </w:p>
    <w:p w14:paraId="31B8C42D">
      <w:pPr>
        <w:spacing w:line="400" w:lineRule="exact"/>
        <w:rPr>
          <w:rStyle w:val="95"/>
          <w:sz w:val="24"/>
        </w:rPr>
      </w:pPr>
    </w:p>
    <w:p w14:paraId="29CA824F">
      <w:pPr>
        <w:spacing w:line="400" w:lineRule="exact"/>
        <w:rPr>
          <w:rStyle w:val="95"/>
          <w:sz w:val="24"/>
        </w:rPr>
      </w:pPr>
    </w:p>
    <w:p w14:paraId="33FFE32B">
      <w:pPr>
        <w:spacing w:line="400" w:lineRule="exact"/>
        <w:rPr>
          <w:rStyle w:val="95"/>
          <w:sz w:val="24"/>
        </w:rPr>
      </w:pPr>
    </w:p>
    <w:p w14:paraId="19099ADF">
      <w:pPr>
        <w:pStyle w:val="311"/>
        <w:rPr>
          <w:rStyle w:val="95"/>
          <w:rFonts w:ascii="Times New Roman" w:hAnsi="Times New Roman"/>
          <w:sz w:val="24"/>
        </w:rPr>
      </w:pPr>
    </w:p>
    <w:p w14:paraId="00650222">
      <w:pPr>
        <w:spacing w:line="400" w:lineRule="exact"/>
        <w:rPr>
          <w:rStyle w:val="95"/>
          <w:sz w:val="24"/>
        </w:rPr>
        <w:sectPr>
          <w:footerReference r:id="rId14" w:type="default"/>
          <w:pgSz w:w="11907" w:h="16840"/>
          <w:pgMar w:top="1701" w:right="1418" w:bottom="1701" w:left="1588" w:header="1134" w:footer="1134" w:gutter="0"/>
          <w:cols w:space="720" w:num="1"/>
          <w:docGrid w:linePitch="312" w:charSpace="0"/>
        </w:sectPr>
      </w:pPr>
    </w:p>
    <w:p w14:paraId="7BC6906A">
      <w:pPr>
        <w:pStyle w:val="182"/>
        <w:ind w:firstLine="480"/>
        <w:rPr>
          <w:rStyle w:val="95"/>
          <w:rFonts w:eastAsia="宋体"/>
        </w:rPr>
      </w:pPr>
    </w:p>
    <w:p w14:paraId="238D2E35">
      <w:pPr>
        <w:pStyle w:val="183"/>
        <w:rPr>
          <w:rStyle w:val="95"/>
          <w:rFonts w:ascii="Times New Roman" w:hAnsi="Times New Roman"/>
        </w:rPr>
      </w:pPr>
    </w:p>
    <w:p w14:paraId="07E10BF6">
      <w:pPr>
        <w:pStyle w:val="183"/>
        <w:rPr>
          <w:rStyle w:val="95"/>
          <w:rFonts w:ascii="Times New Roman" w:hAnsi="Times New Roman"/>
        </w:rPr>
      </w:pPr>
    </w:p>
    <w:p w14:paraId="5F72190D">
      <w:pPr>
        <w:pStyle w:val="183"/>
        <w:rPr>
          <w:rStyle w:val="95"/>
          <w:rFonts w:ascii="Times New Roman" w:hAnsi="Times New Roman"/>
        </w:rPr>
      </w:pPr>
    </w:p>
    <w:p w14:paraId="585EBE0A">
      <w:pPr>
        <w:pStyle w:val="608"/>
        <w:spacing w:line="600" w:lineRule="exact"/>
        <w:jc w:val="center"/>
        <w:rPr>
          <w:rStyle w:val="95"/>
          <w:rFonts w:ascii="Times New Roman" w:hAnsi="Times New Roman"/>
          <w:b/>
          <w:sz w:val="28"/>
          <w:szCs w:val="28"/>
        </w:rPr>
      </w:pPr>
      <w:r>
        <w:rPr>
          <w:rStyle w:val="95"/>
          <w:rFonts w:hint="eastAsia" w:ascii="Times New Roman" w:hAnsi="Times New Roman"/>
          <w:b/>
          <w:sz w:val="28"/>
          <w:szCs w:val="28"/>
        </w:rPr>
        <w:t>二、设计分项报价一览表</w:t>
      </w:r>
    </w:p>
    <w:p w14:paraId="61ED71FC">
      <w:pPr>
        <w:pStyle w:val="608"/>
        <w:spacing w:line="400" w:lineRule="exact"/>
        <w:jc w:val="center"/>
        <w:rPr>
          <w:rStyle w:val="95"/>
          <w:rFonts w:ascii="Times New Roman" w:hAnsi="Times New Roman"/>
          <w:b/>
          <w:sz w:val="28"/>
          <w:szCs w:val="28"/>
        </w:rPr>
      </w:pPr>
    </w:p>
    <w:p w14:paraId="0960361D">
      <w:pPr>
        <w:spacing w:before="240" w:after="120"/>
        <w:rPr>
          <w:rStyle w:val="95"/>
          <w:kern w:val="0"/>
          <w:sz w:val="24"/>
        </w:rPr>
      </w:pPr>
      <w:r>
        <w:rPr>
          <w:rStyle w:val="95"/>
          <w:rFonts w:hint="eastAsia"/>
          <w:sz w:val="24"/>
        </w:rPr>
        <w:t>投标单位名称：</w:t>
      </w:r>
      <w:r>
        <w:rPr>
          <w:rStyle w:val="95"/>
          <w:sz w:val="24"/>
        </w:rPr>
        <w:t xml:space="preserve">                                         </w:t>
      </w:r>
      <w:r>
        <w:rPr>
          <w:rStyle w:val="95"/>
          <w:rFonts w:hint="eastAsia"/>
          <w:sz w:val="24"/>
        </w:rPr>
        <w:t>招标编号：</w:t>
      </w:r>
      <w:r>
        <w:rPr>
          <w:rStyle w:val="95"/>
          <w:sz w:val="24"/>
        </w:rPr>
        <w:t xml:space="preserve">                                         </w:t>
      </w:r>
      <w:r>
        <w:rPr>
          <w:rStyle w:val="95"/>
          <w:rFonts w:hint="eastAsia"/>
          <w:sz w:val="24"/>
        </w:rPr>
        <w:t>单位：万元</w:t>
      </w:r>
    </w:p>
    <w:tbl>
      <w:tblPr>
        <w:tblStyle w:val="45"/>
        <w:tblW w:w="13990" w:type="dxa"/>
        <w:tblInd w:w="5" w:type="dxa"/>
        <w:tblLayout w:type="fixed"/>
        <w:tblCellMar>
          <w:top w:w="0" w:type="dxa"/>
          <w:left w:w="0" w:type="dxa"/>
          <w:bottom w:w="0" w:type="dxa"/>
          <w:right w:w="0" w:type="dxa"/>
        </w:tblCellMar>
      </w:tblPr>
      <w:tblGrid>
        <w:gridCol w:w="1305"/>
        <w:gridCol w:w="5255"/>
        <w:gridCol w:w="2912"/>
        <w:gridCol w:w="4518"/>
      </w:tblGrid>
      <w:tr w14:paraId="20C39197">
        <w:tblPrEx>
          <w:tblCellMar>
            <w:top w:w="0" w:type="dxa"/>
            <w:left w:w="0" w:type="dxa"/>
            <w:bottom w:w="0" w:type="dxa"/>
            <w:right w:w="0" w:type="dxa"/>
          </w:tblCellMar>
        </w:tblPrEx>
        <w:trPr>
          <w:trHeight w:val="567" w:hRule="atLeast"/>
        </w:trPr>
        <w:tc>
          <w:tcPr>
            <w:tcW w:w="1305" w:type="dxa"/>
            <w:tcBorders>
              <w:top w:val="single" w:color="000000" w:sz="4" w:space="0"/>
              <w:left w:val="single" w:color="000000" w:sz="4" w:space="0"/>
              <w:bottom w:val="single" w:color="000000" w:sz="4" w:space="0"/>
              <w:right w:val="single" w:color="000000" w:sz="4" w:space="0"/>
            </w:tcBorders>
            <w:vAlign w:val="center"/>
          </w:tcPr>
          <w:p w14:paraId="7FEF2A35">
            <w:pPr>
              <w:jc w:val="center"/>
              <w:textAlignment w:val="center"/>
              <w:rPr>
                <w:rStyle w:val="95"/>
                <w:b/>
                <w:color w:val="000000"/>
                <w:sz w:val="24"/>
              </w:rPr>
            </w:pPr>
            <w:r>
              <w:rPr>
                <w:rStyle w:val="95"/>
                <w:rFonts w:hint="eastAsia"/>
                <w:b/>
                <w:color w:val="000000"/>
                <w:kern w:val="0"/>
                <w:sz w:val="24"/>
              </w:rPr>
              <w:t>序号</w:t>
            </w:r>
          </w:p>
        </w:tc>
        <w:tc>
          <w:tcPr>
            <w:tcW w:w="5255" w:type="dxa"/>
            <w:tcBorders>
              <w:top w:val="single" w:color="000000" w:sz="4" w:space="0"/>
              <w:left w:val="single" w:color="000000" w:sz="4" w:space="0"/>
              <w:bottom w:val="single" w:color="000000" w:sz="4" w:space="0"/>
              <w:right w:val="single" w:color="000000" w:sz="4" w:space="0"/>
            </w:tcBorders>
            <w:vAlign w:val="center"/>
          </w:tcPr>
          <w:p w14:paraId="759A35AF">
            <w:pPr>
              <w:jc w:val="center"/>
              <w:textAlignment w:val="center"/>
              <w:rPr>
                <w:rStyle w:val="95"/>
                <w:b/>
                <w:color w:val="000000"/>
                <w:sz w:val="24"/>
              </w:rPr>
            </w:pPr>
            <w:r>
              <w:rPr>
                <w:rStyle w:val="95"/>
                <w:rFonts w:hint="eastAsia"/>
                <w:b/>
                <w:color w:val="000000"/>
                <w:kern w:val="0"/>
                <w:sz w:val="24"/>
              </w:rPr>
              <w:t>工程或费用名称</w:t>
            </w:r>
          </w:p>
        </w:tc>
        <w:tc>
          <w:tcPr>
            <w:tcW w:w="2912" w:type="dxa"/>
            <w:tcBorders>
              <w:top w:val="single" w:color="000000" w:sz="4" w:space="0"/>
              <w:left w:val="single" w:color="000000" w:sz="4" w:space="0"/>
              <w:bottom w:val="single" w:color="000000" w:sz="4" w:space="0"/>
              <w:right w:val="single" w:color="000000" w:sz="4" w:space="0"/>
            </w:tcBorders>
            <w:vAlign w:val="center"/>
          </w:tcPr>
          <w:p w14:paraId="4A3EEA34">
            <w:pPr>
              <w:jc w:val="center"/>
              <w:textAlignment w:val="center"/>
              <w:rPr>
                <w:rStyle w:val="95"/>
                <w:b/>
                <w:color w:val="000000"/>
                <w:sz w:val="24"/>
              </w:rPr>
            </w:pPr>
            <w:r>
              <w:rPr>
                <w:rStyle w:val="95"/>
                <w:rFonts w:hint="eastAsia"/>
                <w:b/>
                <w:color w:val="000000"/>
                <w:kern w:val="0"/>
                <w:sz w:val="24"/>
              </w:rPr>
              <w:t>合计</w:t>
            </w:r>
          </w:p>
        </w:tc>
        <w:tc>
          <w:tcPr>
            <w:tcW w:w="4518" w:type="dxa"/>
            <w:tcBorders>
              <w:top w:val="single" w:color="000000" w:sz="4" w:space="0"/>
              <w:left w:val="single" w:color="000000" w:sz="4" w:space="0"/>
              <w:bottom w:val="single" w:color="000000" w:sz="4" w:space="0"/>
              <w:right w:val="single" w:color="000000" w:sz="4" w:space="0"/>
            </w:tcBorders>
            <w:vAlign w:val="center"/>
          </w:tcPr>
          <w:p w14:paraId="576D0802">
            <w:pPr>
              <w:jc w:val="center"/>
              <w:textAlignment w:val="center"/>
              <w:rPr>
                <w:rStyle w:val="95"/>
                <w:b/>
                <w:color w:val="000000"/>
                <w:sz w:val="24"/>
              </w:rPr>
            </w:pPr>
            <w:r>
              <w:rPr>
                <w:rStyle w:val="95"/>
                <w:rFonts w:hint="eastAsia"/>
                <w:b/>
                <w:color w:val="000000"/>
                <w:kern w:val="0"/>
                <w:sz w:val="24"/>
              </w:rPr>
              <w:t>备注</w:t>
            </w:r>
          </w:p>
        </w:tc>
      </w:tr>
      <w:tr w14:paraId="78241436">
        <w:tblPrEx>
          <w:tblCellMar>
            <w:top w:w="0" w:type="dxa"/>
            <w:left w:w="0" w:type="dxa"/>
            <w:bottom w:w="0" w:type="dxa"/>
            <w:right w:w="0" w:type="dxa"/>
          </w:tblCellMar>
        </w:tblPrEx>
        <w:trPr>
          <w:trHeight w:val="567" w:hRule="atLeast"/>
        </w:trPr>
        <w:tc>
          <w:tcPr>
            <w:tcW w:w="1305" w:type="dxa"/>
            <w:tcBorders>
              <w:top w:val="single" w:color="000000" w:sz="4" w:space="0"/>
              <w:left w:val="single" w:color="000000" w:sz="4" w:space="0"/>
              <w:bottom w:val="single" w:color="000000" w:sz="4" w:space="0"/>
              <w:right w:val="single" w:color="000000" w:sz="4" w:space="0"/>
            </w:tcBorders>
            <w:vAlign w:val="center"/>
          </w:tcPr>
          <w:p w14:paraId="5E77EBDF">
            <w:pPr>
              <w:jc w:val="center"/>
              <w:textAlignment w:val="center"/>
              <w:rPr>
                <w:rStyle w:val="95"/>
                <w:color w:val="000000"/>
                <w:sz w:val="24"/>
              </w:rPr>
            </w:pPr>
            <w:r>
              <w:rPr>
                <w:rStyle w:val="95"/>
                <w:color w:val="000000"/>
                <w:kern w:val="0"/>
                <w:sz w:val="24"/>
              </w:rPr>
              <w:t>1</w:t>
            </w:r>
          </w:p>
        </w:tc>
        <w:tc>
          <w:tcPr>
            <w:tcW w:w="5255" w:type="dxa"/>
            <w:tcBorders>
              <w:top w:val="single" w:color="000000" w:sz="4" w:space="0"/>
              <w:left w:val="single" w:color="000000" w:sz="4" w:space="0"/>
              <w:bottom w:val="single" w:color="000000" w:sz="4" w:space="0"/>
              <w:right w:val="single" w:color="000000" w:sz="4" w:space="0"/>
            </w:tcBorders>
            <w:vAlign w:val="bottom"/>
          </w:tcPr>
          <w:p w14:paraId="373A3A56">
            <w:pPr>
              <w:jc w:val="left"/>
              <w:textAlignment w:val="bottom"/>
              <w:rPr>
                <w:rStyle w:val="95"/>
                <w:b/>
                <w:color w:val="000000"/>
                <w:sz w:val="24"/>
              </w:rPr>
            </w:pPr>
          </w:p>
        </w:tc>
        <w:tc>
          <w:tcPr>
            <w:tcW w:w="2912" w:type="dxa"/>
            <w:tcBorders>
              <w:top w:val="single" w:color="000000" w:sz="4" w:space="0"/>
              <w:left w:val="single" w:color="000000" w:sz="4" w:space="0"/>
              <w:bottom w:val="single" w:color="000000" w:sz="4" w:space="0"/>
              <w:right w:val="single" w:color="000000" w:sz="4" w:space="0"/>
            </w:tcBorders>
            <w:vAlign w:val="bottom"/>
          </w:tcPr>
          <w:p w14:paraId="5CB7689A">
            <w:pPr>
              <w:jc w:val="center"/>
              <w:rPr>
                <w:rStyle w:val="95"/>
                <w:b/>
                <w:color w:val="000000"/>
                <w:sz w:val="24"/>
              </w:rPr>
            </w:pPr>
          </w:p>
        </w:tc>
        <w:tc>
          <w:tcPr>
            <w:tcW w:w="4518" w:type="dxa"/>
            <w:tcBorders>
              <w:top w:val="single" w:color="000000" w:sz="4" w:space="0"/>
              <w:left w:val="single" w:color="000000" w:sz="4" w:space="0"/>
              <w:bottom w:val="single" w:color="000000" w:sz="4" w:space="0"/>
              <w:right w:val="single" w:color="000000" w:sz="4" w:space="0"/>
            </w:tcBorders>
            <w:vAlign w:val="center"/>
          </w:tcPr>
          <w:p w14:paraId="2B17E3BB">
            <w:pPr>
              <w:rPr>
                <w:rStyle w:val="95"/>
                <w:color w:val="000000"/>
                <w:sz w:val="24"/>
              </w:rPr>
            </w:pPr>
          </w:p>
        </w:tc>
      </w:tr>
      <w:tr w14:paraId="56C780F1">
        <w:tblPrEx>
          <w:tblCellMar>
            <w:top w:w="0" w:type="dxa"/>
            <w:left w:w="0" w:type="dxa"/>
            <w:bottom w:w="0" w:type="dxa"/>
            <w:right w:w="0" w:type="dxa"/>
          </w:tblCellMar>
        </w:tblPrEx>
        <w:trPr>
          <w:trHeight w:val="567" w:hRule="atLeast"/>
        </w:trPr>
        <w:tc>
          <w:tcPr>
            <w:tcW w:w="1305" w:type="dxa"/>
            <w:tcBorders>
              <w:top w:val="single" w:color="000000" w:sz="4" w:space="0"/>
              <w:left w:val="single" w:color="000000" w:sz="4" w:space="0"/>
              <w:bottom w:val="single" w:color="000000" w:sz="4" w:space="0"/>
              <w:right w:val="single" w:color="000000" w:sz="4" w:space="0"/>
            </w:tcBorders>
            <w:vAlign w:val="center"/>
          </w:tcPr>
          <w:p w14:paraId="55CBB5E5">
            <w:pPr>
              <w:jc w:val="center"/>
              <w:textAlignment w:val="center"/>
              <w:rPr>
                <w:rStyle w:val="95"/>
                <w:color w:val="000000"/>
                <w:kern w:val="0"/>
                <w:sz w:val="24"/>
              </w:rPr>
            </w:pPr>
            <w:r>
              <w:rPr>
                <w:rStyle w:val="95"/>
                <w:color w:val="000000"/>
                <w:kern w:val="0"/>
                <w:sz w:val="24"/>
              </w:rPr>
              <w:t>...</w:t>
            </w:r>
          </w:p>
        </w:tc>
        <w:tc>
          <w:tcPr>
            <w:tcW w:w="5255" w:type="dxa"/>
            <w:tcBorders>
              <w:top w:val="single" w:color="000000" w:sz="4" w:space="0"/>
              <w:left w:val="single" w:color="000000" w:sz="4" w:space="0"/>
              <w:bottom w:val="single" w:color="000000" w:sz="4" w:space="0"/>
              <w:right w:val="single" w:color="000000" w:sz="4" w:space="0"/>
            </w:tcBorders>
            <w:vAlign w:val="bottom"/>
          </w:tcPr>
          <w:p w14:paraId="4D9AB224">
            <w:pPr>
              <w:jc w:val="left"/>
              <w:textAlignment w:val="bottom"/>
              <w:rPr>
                <w:rStyle w:val="95"/>
                <w:b/>
                <w:color w:val="000000"/>
                <w:kern w:val="0"/>
                <w:sz w:val="24"/>
              </w:rPr>
            </w:pPr>
          </w:p>
        </w:tc>
        <w:tc>
          <w:tcPr>
            <w:tcW w:w="2912" w:type="dxa"/>
            <w:tcBorders>
              <w:top w:val="single" w:color="000000" w:sz="4" w:space="0"/>
              <w:left w:val="single" w:color="000000" w:sz="4" w:space="0"/>
              <w:bottom w:val="single" w:color="000000" w:sz="4" w:space="0"/>
              <w:right w:val="single" w:color="000000" w:sz="4" w:space="0"/>
            </w:tcBorders>
            <w:vAlign w:val="bottom"/>
          </w:tcPr>
          <w:p w14:paraId="3931F0B5">
            <w:pPr>
              <w:jc w:val="center"/>
              <w:rPr>
                <w:rStyle w:val="95"/>
                <w:b/>
                <w:color w:val="000000"/>
                <w:sz w:val="24"/>
              </w:rPr>
            </w:pPr>
          </w:p>
        </w:tc>
        <w:tc>
          <w:tcPr>
            <w:tcW w:w="4518" w:type="dxa"/>
            <w:tcBorders>
              <w:top w:val="single" w:color="000000" w:sz="4" w:space="0"/>
              <w:left w:val="single" w:color="000000" w:sz="4" w:space="0"/>
              <w:bottom w:val="single" w:color="000000" w:sz="4" w:space="0"/>
              <w:right w:val="single" w:color="000000" w:sz="4" w:space="0"/>
            </w:tcBorders>
            <w:vAlign w:val="center"/>
          </w:tcPr>
          <w:p w14:paraId="1E2AB8A8">
            <w:pPr>
              <w:rPr>
                <w:rStyle w:val="95"/>
                <w:color w:val="000000"/>
                <w:sz w:val="24"/>
              </w:rPr>
            </w:pPr>
          </w:p>
        </w:tc>
      </w:tr>
      <w:tr w14:paraId="76A552DA">
        <w:tblPrEx>
          <w:tblCellMar>
            <w:top w:w="0" w:type="dxa"/>
            <w:left w:w="0" w:type="dxa"/>
            <w:bottom w:w="0" w:type="dxa"/>
            <w:right w:w="0" w:type="dxa"/>
          </w:tblCellMar>
        </w:tblPrEx>
        <w:trPr>
          <w:trHeight w:val="567" w:hRule="atLeast"/>
        </w:trPr>
        <w:tc>
          <w:tcPr>
            <w:tcW w:w="1305" w:type="dxa"/>
            <w:tcBorders>
              <w:top w:val="single" w:color="000000" w:sz="4" w:space="0"/>
              <w:left w:val="single" w:color="000000" w:sz="4" w:space="0"/>
              <w:bottom w:val="single" w:color="000000" w:sz="4" w:space="0"/>
              <w:right w:val="single" w:color="000000" w:sz="4" w:space="0"/>
            </w:tcBorders>
            <w:vAlign w:val="center"/>
          </w:tcPr>
          <w:p w14:paraId="7F3DD035">
            <w:pPr>
              <w:jc w:val="center"/>
              <w:textAlignment w:val="center"/>
              <w:rPr>
                <w:rStyle w:val="95"/>
                <w:color w:val="000000"/>
                <w:sz w:val="24"/>
              </w:rPr>
            </w:pPr>
            <w:r>
              <w:rPr>
                <w:rStyle w:val="95"/>
                <w:color w:val="000000"/>
                <w:kern w:val="0"/>
                <w:sz w:val="24"/>
              </w:rPr>
              <w:t>2</w:t>
            </w:r>
          </w:p>
        </w:tc>
        <w:tc>
          <w:tcPr>
            <w:tcW w:w="5255" w:type="dxa"/>
            <w:tcBorders>
              <w:top w:val="single" w:color="000000" w:sz="4" w:space="0"/>
              <w:left w:val="single" w:color="000000" w:sz="4" w:space="0"/>
              <w:bottom w:val="single" w:color="000000" w:sz="4" w:space="0"/>
              <w:right w:val="single" w:color="000000" w:sz="4" w:space="0"/>
            </w:tcBorders>
            <w:vAlign w:val="center"/>
          </w:tcPr>
          <w:p w14:paraId="31CDD08A">
            <w:pPr>
              <w:textAlignment w:val="center"/>
              <w:rPr>
                <w:rStyle w:val="95"/>
                <w:b/>
                <w:color w:val="000000"/>
                <w:sz w:val="24"/>
              </w:rPr>
            </w:pPr>
          </w:p>
        </w:tc>
        <w:tc>
          <w:tcPr>
            <w:tcW w:w="2912" w:type="dxa"/>
            <w:tcBorders>
              <w:top w:val="single" w:color="000000" w:sz="4" w:space="0"/>
              <w:left w:val="single" w:color="000000" w:sz="4" w:space="0"/>
              <w:bottom w:val="single" w:color="000000" w:sz="4" w:space="0"/>
              <w:right w:val="single" w:color="000000" w:sz="4" w:space="0"/>
            </w:tcBorders>
            <w:vAlign w:val="bottom"/>
          </w:tcPr>
          <w:p w14:paraId="0556EA5E">
            <w:pPr>
              <w:jc w:val="center"/>
              <w:rPr>
                <w:rStyle w:val="95"/>
                <w:b/>
                <w:color w:val="000000"/>
                <w:sz w:val="24"/>
              </w:rPr>
            </w:pPr>
          </w:p>
        </w:tc>
        <w:tc>
          <w:tcPr>
            <w:tcW w:w="4518" w:type="dxa"/>
            <w:tcBorders>
              <w:top w:val="single" w:color="000000" w:sz="4" w:space="0"/>
              <w:left w:val="single" w:color="000000" w:sz="4" w:space="0"/>
              <w:bottom w:val="single" w:color="000000" w:sz="4" w:space="0"/>
              <w:right w:val="single" w:color="000000" w:sz="4" w:space="0"/>
            </w:tcBorders>
            <w:vAlign w:val="center"/>
          </w:tcPr>
          <w:p w14:paraId="649BB58D">
            <w:pPr>
              <w:rPr>
                <w:rStyle w:val="95"/>
                <w:color w:val="000000"/>
                <w:sz w:val="24"/>
              </w:rPr>
            </w:pPr>
          </w:p>
        </w:tc>
      </w:tr>
      <w:tr w14:paraId="4D374BA0">
        <w:trPr>
          <w:trHeight w:val="567" w:hRule="atLeast"/>
        </w:trPr>
        <w:tc>
          <w:tcPr>
            <w:tcW w:w="1305" w:type="dxa"/>
            <w:tcBorders>
              <w:top w:val="single" w:color="000000" w:sz="4" w:space="0"/>
              <w:left w:val="single" w:color="000000" w:sz="4" w:space="0"/>
              <w:bottom w:val="single" w:color="000000" w:sz="4" w:space="0"/>
              <w:right w:val="single" w:color="000000" w:sz="4" w:space="0"/>
            </w:tcBorders>
            <w:vAlign w:val="center"/>
          </w:tcPr>
          <w:p w14:paraId="2DE741F3">
            <w:pPr>
              <w:jc w:val="center"/>
              <w:textAlignment w:val="center"/>
              <w:rPr>
                <w:rStyle w:val="95"/>
                <w:color w:val="000000"/>
                <w:sz w:val="24"/>
              </w:rPr>
            </w:pPr>
            <w:r>
              <w:rPr>
                <w:rStyle w:val="95"/>
                <w:color w:val="000000"/>
                <w:sz w:val="24"/>
              </w:rPr>
              <w:t>...</w:t>
            </w:r>
          </w:p>
        </w:tc>
        <w:tc>
          <w:tcPr>
            <w:tcW w:w="5255" w:type="dxa"/>
            <w:tcBorders>
              <w:top w:val="single" w:color="000000" w:sz="4" w:space="0"/>
              <w:left w:val="single" w:color="000000" w:sz="4" w:space="0"/>
              <w:bottom w:val="single" w:color="000000" w:sz="4" w:space="0"/>
              <w:right w:val="single" w:color="000000" w:sz="4" w:space="0"/>
            </w:tcBorders>
            <w:vAlign w:val="center"/>
          </w:tcPr>
          <w:p w14:paraId="5ED808F7">
            <w:pPr>
              <w:textAlignment w:val="center"/>
              <w:rPr>
                <w:rStyle w:val="95"/>
                <w:color w:val="000000"/>
                <w:sz w:val="24"/>
              </w:rPr>
            </w:pPr>
          </w:p>
        </w:tc>
        <w:tc>
          <w:tcPr>
            <w:tcW w:w="2912" w:type="dxa"/>
            <w:tcBorders>
              <w:top w:val="single" w:color="000000" w:sz="4" w:space="0"/>
              <w:left w:val="single" w:color="000000" w:sz="4" w:space="0"/>
              <w:bottom w:val="single" w:color="000000" w:sz="4" w:space="0"/>
              <w:right w:val="single" w:color="000000" w:sz="4" w:space="0"/>
            </w:tcBorders>
            <w:vAlign w:val="bottom"/>
          </w:tcPr>
          <w:p w14:paraId="285E7BB0">
            <w:pPr>
              <w:jc w:val="center"/>
              <w:rPr>
                <w:rStyle w:val="95"/>
                <w:color w:val="000000"/>
                <w:sz w:val="24"/>
              </w:rPr>
            </w:pPr>
          </w:p>
        </w:tc>
        <w:tc>
          <w:tcPr>
            <w:tcW w:w="4518" w:type="dxa"/>
            <w:tcBorders>
              <w:top w:val="single" w:color="000000" w:sz="4" w:space="0"/>
              <w:left w:val="single" w:color="000000" w:sz="4" w:space="0"/>
              <w:bottom w:val="single" w:color="000000" w:sz="4" w:space="0"/>
              <w:right w:val="single" w:color="000000" w:sz="4" w:space="0"/>
            </w:tcBorders>
            <w:vAlign w:val="center"/>
          </w:tcPr>
          <w:p w14:paraId="4A7F7697">
            <w:pPr>
              <w:rPr>
                <w:rStyle w:val="95"/>
                <w:color w:val="000000"/>
                <w:sz w:val="24"/>
              </w:rPr>
            </w:pPr>
          </w:p>
        </w:tc>
      </w:tr>
      <w:tr w14:paraId="195EDAC3">
        <w:tblPrEx>
          <w:tblCellMar>
            <w:top w:w="0" w:type="dxa"/>
            <w:left w:w="0" w:type="dxa"/>
            <w:bottom w:w="0" w:type="dxa"/>
            <w:right w:w="0" w:type="dxa"/>
          </w:tblCellMar>
        </w:tblPrEx>
        <w:trPr>
          <w:trHeight w:val="567" w:hRule="atLeast"/>
        </w:trPr>
        <w:tc>
          <w:tcPr>
            <w:tcW w:w="1305" w:type="dxa"/>
            <w:tcBorders>
              <w:top w:val="single" w:color="000000" w:sz="4" w:space="0"/>
              <w:left w:val="single" w:color="000000" w:sz="4" w:space="0"/>
              <w:bottom w:val="single" w:color="000000" w:sz="4" w:space="0"/>
              <w:right w:val="single" w:color="000000" w:sz="4" w:space="0"/>
            </w:tcBorders>
            <w:vAlign w:val="center"/>
          </w:tcPr>
          <w:p w14:paraId="793A2F5A">
            <w:pPr>
              <w:jc w:val="center"/>
              <w:textAlignment w:val="center"/>
              <w:rPr>
                <w:rStyle w:val="95"/>
                <w:color w:val="000000"/>
                <w:sz w:val="24"/>
              </w:rPr>
            </w:pPr>
            <w:r>
              <w:rPr>
                <w:rStyle w:val="95"/>
                <w:color w:val="000000"/>
                <w:kern w:val="0"/>
                <w:sz w:val="24"/>
              </w:rPr>
              <w:t>3</w:t>
            </w:r>
          </w:p>
        </w:tc>
        <w:tc>
          <w:tcPr>
            <w:tcW w:w="5255" w:type="dxa"/>
            <w:tcBorders>
              <w:top w:val="single" w:color="000000" w:sz="4" w:space="0"/>
              <w:left w:val="single" w:color="000000" w:sz="4" w:space="0"/>
              <w:bottom w:val="single" w:color="000000" w:sz="4" w:space="0"/>
              <w:right w:val="single" w:color="000000" w:sz="4" w:space="0"/>
            </w:tcBorders>
            <w:vAlign w:val="center"/>
          </w:tcPr>
          <w:p w14:paraId="0CAADE19">
            <w:pPr>
              <w:textAlignment w:val="center"/>
              <w:rPr>
                <w:rStyle w:val="95"/>
                <w:b/>
                <w:color w:val="000000"/>
                <w:sz w:val="24"/>
              </w:rPr>
            </w:pPr>
          </w:p>
        </w:tc>
        <w:tc>
          <w:tcPr>
            <w:tcW w:w="2912" w:type="dxa"/>
            <w:tcBorders>
              <w:top w:val="single" w:color="000000" w:sz="4" w:space="0"/>
              <w:left w:val="single" w:color="000000" w:sz="4" w:space="0"/>
              <w:bottom w:val="single" w:color="000000" w:sz="4" w:space="0"/>
              <w:right w:val="single" w:color="000000" w:sz="4" w:space="0"/>
            </w:tcBorders>
            <w:vAlign w:val="bottom"/>
          </w:tcPr>
          <w:p w14:paraId="2FA3414A">
            <w:pPr>
              <w:jc w:val="center"/>
              <w:rPr>
                <w:rStyle w:val="95"/>
                <w:b/>
                <w:color w:val="000000"/>
                <w:sz w:val="24"/>
              </w:rPr>
            </w:pPr>
          </w:p>
        </w:tc>
        <w:tc>
          <w:tcPr>
            <w:tcW w:w="4518" w:type="dxa"/>
            <w:tcBorders>
              <w:top w:val="single" w:color="000000" w:sz="4" w:space="0"/>
              <w:left w:val="single" w:color="000000" w:sz="4" w:space="0"/>
              <w:bottom w:val="single" w:color="000000" w:sz="4" w:space="0"/>
              <w:right w:val="single" w:color="000000" w:sz="4" w:space="0"/>
            </w:tcBorders>
            <w:vAlign w:val="center"/>
          </w:tcPr>
          <w:p w14:paraId="7FF866EE">
            <w:pPr>
              <w:rPr>
                <w:rStyle w:val="95"/>
                <w:color w:val="000000"/>
                <w:sz w:val="24"/>
              </w:rPr>
            </w:pPr>
          </w:p>
        </w:tc>
      </w:tr>
      <w:tr w14:paraId="3BA95BB1">
        <w:tblPrEx>
          <w:tblCellMar>
            <w:top w:w="0" w:type="dxa"/>
            <w:left w:w="0" w:type="dxa"/>
            <w:bottom w:w="0" w:type="dxa"/>
            <w:right w:w="0" w:type="dxa"/>
          </w:tblCellMar>
        </w:tblPrEx>
        <w:trPr>
          <w:trHeight w:val="567" w:hRule="atLeast"/>
        </w:trPr>
        <w:tc>
          <w:tcPr>
            <w:tcW w:w="1305" w:type="dxa"/>
            <w:tcBorders>
              <w:top w:val="single" w:color="000000" w:sz="4" w:space="0"/>
              <w:left w:val="single" w:color="000000" w:sz="4" w:space="0"/>
              <w:bottom w:val="single" w:color="000000" w:sz="4" w:space="0"/>
              <w:right w:val="single" w:color="000000" w:sz="4" w:space="0"/>
            </w:tcBorders>
            <w:vAlign w:val="center"/>
          </w:tcPr>
          <w:p w14:paraId="38EC2932">
            <w:pPr>
              <w:jc w:val="center"/>
              <w:rPr>
                <w:rStyle w:val="95"/>
                <w:color w:val="000000"/>
                <w:sz w:val="24"/>
              </w:rPr>
            </w:pPr>
            <w:r>
              <w:rPr>
                <w:rStyle w:val="95"/>
                <w:color w:val="000000"/>
                <w:sz w:val="24"/>
              </w:rPr>
              <w:t>...</w:t>
            </w:r>
          </w:p>
        </w:tc>
        <w:tc>
          <w:tcPr>
            <w:tcW w:w="5255" w:type="dxa"/>
            <w:tcBorders>
              <w:top w:val="single" w:color="000000" w:sz="4" w:space="0"/>
              <w:left w:val="single" w:color="000000" w:sz="4" w:space="0"/>
              <w:bottom w:val="single" w:color="000000" w:sz="4" w:space="0"/>
              <w:right w:val="single" w:color="000000" w:sz="4" w:space="0"/>
            </w:tcBorders>
            <w:vAlign w:val="center"/>
          </w:tcPr>
          <w:p w14:paraId="69C09770">
            <w:pPr>
              <w:jc w:val="center"/>
              <w:textAlignment w:val="center"/>
              <w:rPr>
                <w:rStyle w:val="95"/>
                <w:b/>
                <w:color w:val="000000"/>
                <w:sz w:val="24"/>
              </w:rPr>
            </w:pPr>
            <w:r>
              <w:rPr>
                <w:rStyle w:val="95"/>
                <w:rFonts w:hint="eastAsia"/>
                <w:b/>
                <w:color w:val="000000"/>
                <w:kern w:val="0"/>
                <w:sz w:val="24"/>
              </w:rPr>
              <w:t>总报价</w:t>
            </w:r>
          </w:p>
        </w:tc>
        <w:tc>
          <w:tcPr>
            <w:tcW w:w="2912" w:type="dxa"/>
            <w:tcBorders>
              <w:top w:val="single" w:color="000000" w:sz="4" w:space="0"/>
              <w:left w:val="single" w:color="000000" w:sz="4" w:space="0"/>
              <w:bottom w:val="single" w:color="000000" w:sz="4" w:space="0"/>
              <w:right w:val="single" w:color="000000" w:sz="4" w:space="0"/>
            </w:tcBorders>
            <w:vAlign w:val="bottom"/>
          </w:tcPr>
          <w:p w14:paraId="21C5DE48">
            <w:pPr>
              <w:jc w:val="center"/>
              <w:rPr>
                <w:rStyle w:val="95"/>
                <w:color w:val="000000"/>
                <w:sz w:val="24"/>
              </w:rPr>
            </w:pPr>
          </w:p>
        </w:tc>
        <w:tc>
          <w:tcPr>
            <w:tcW w:w="4518" w:type="dxa"/>
            <w:tcBorders>
              <w:top w:val="single" w:color="000000" w:sz="4" w:space="0"/>
              <w:left w:val="single" w:color="000000" w:sz="4" w:space="0"/>
              <w:bottom w:val="single" w:color="000000" w:sz="4" w:space="0"/>
              <w:right w:val="single" w:color="000000" w:sz="4" w:space="0"/>
            </w:tcBorders>
            <w:vAlign w:val="center"/>
          </w:tcPr>
          <w:p w14:paraId="49B4D311">
            <w:pPr>
              <w:rPr>
                <w:rStyle w:val="95"/>
                <w:color w:val="000000"/>
                <w:sz w:val="24"/>
              </w:rPr>
            </w:pPr>
          </w:p>
        </w:tc>
      </w:tr>
    </w:tbl>
    <w:p w14:paraId="3506AC6A">
      <w:pPr>
        <w:spacing w:line="400" w:lineRule="exact"/>
        <w:rPr>
          <w:rStyle w:val="95"/>
          <w:sz w:val="24"/>
        </w:rPr>
      </w:pPr>
    </w:p>
    <w:p w14:paraId="3463B0C3">
      <w:pPr>
        <w:spacing w:line="400" w:lineRule="exact"/>
        <w:ind w:firstLine="8520" w:firstLineChars="3550"/>
        <w:rPr>
          <w:rStyle w:val="95"/>
          <w:sz w:val="24"/>
          <w:u w:val="single"/>
        </w:rPr>
      </w:pPr>
      <w:r>
        <w:rPr>
          <w:rStyle w:val="95"/>
          <w:rFonts w:hint="eastAsia"/>
          <w:sz w:val="24"/>
        </w:rPr>
        <w:t>投标人（盖章）：</w:t>
      </w:r>
    </w:p>
    <w:p w14:paraId="3ECC3AEA">
      <w:pPr>
        <w:spacing w:line="400" w:lineRule="exact"/>
        <w:ind w:firstLine="8520" w:firstLineChars="3550"/>
        <w:rPr>
          <w:rStyle w:val="95"/>
          <w:sz w:val="24"/>
          <w:u w:val="single"/>
        </w:rPr>
      </w:pPr>
      <w:r>
        <w:rPr>
          <w:rStyle w:val="95"/>
          <w:rFonts w:hint="eastAsia"/>
          <w:sz w:val="24"/>
        </w:rPr>
        <w:t>法定代表人或授权代理人（签字）：</w:t>
      </w:r>
    </w:p>
    <w:p w14:paraId="778C91B9">
      <w:pPr>
        <w:spacing w:line="400" w:lineRule="exact"/>
        <w:ind w:firstLine="9480" w:firstLineChars="3950"/>
        <w:rPr>
          <w:rStyle w:val="95"/>
          <w:sz w:val="24"/>
        </w:rPr>
      </w:pPr>
      <w:r>
        <w:rPr>
          <w:rStyle w:val="95"/>
          <w:rFonts w:hint="eastAsia"/>
          <w:sz w:val="24"/>
        </w:rPr>
        <w:t>年</w:t>
      </w:r>
      <w:r>
        <w:rPr>
          <w:rStyle w:val="95"/>
          <w:sz w:val="24"/>
        </w:rPr>
        <w:t xml:space="preserve">   </w:t>
      </w:r>
      <w:r>
        <w:rPr>
          <w:rStyle w:val="95"/>
          <w:rFonts w:hint="eastAsia"/>
          <w:sz w:val="24"/>
        </w:rPr>
        <w:t>月</w:t>
      </w:r>
      <w:r>
        <w:rPr>
          <w:rStyle w:val="95"/>
          <w:sz w:val="24"/>
        </w:rPr>
        <w:t xml:space="preserve">   </w:t>
      </w:r>
      <w:r>
        <w:rPr>
          <w:rStyle w:val="95"/>
          <w:rFonts w:hint="eastAsia"/>
          <w:sz w:val="24"/>
        </w:rPr>
        <w:t>日</w:t>
      </w:r>
    </w:p>
    <w:p w14:paraId="0D73105F">
      <w:pPr>
        <w:pStyle w:val="183"/>
        <w:rPr>
          <w:rStyle w:val="95"/>
          <w:rFonts w:ascii="Times New Roman" w:hAnsi="Times New Roman"/>
          <w:b/>
          <w:bCs/>
        </w:rPr>
      </w:pPr>
    </w:p>
    <w:p w14:paraId="09231F52">
      <w:pPr>
        <w:pStyle w:val="183"/>
        <w:rPr>
          <w:rStyle w:val="95"/>
          <w:rFonts w:ascii="Times New Roman" w:hAnsi="Times New Roman"/>
        </w:rPr>
      </w:pPr>
    </w:p>
    <w:p w14:paraId="5BE3CF5A">
      <w:pPr>
        <w:pStyle w:val="182"/>
        <w:ind w:firstLine="480"/>
        <w:rPr>
          <w:rStyle w:val="95"/>
          <w:rFonts w:eastAsia="宋体"/>
        </w:rPr>
      </w:pPr>
    </w:p>
    <w:p w14:paraId="176B2A94">
      <w:pPr>
        <w:tabs>
          <w:tab w:val="left" w:pos="13215"/>
        </w:tabs>
        <w:spacing w:line="400" w:lineRule="exact"/>
        <w:ind w:firstLine="8295" w:firstLineChars="3950"/>
        <w:rPr>
          <w:rStyle w:val="95"/>
        </w:rPr>
      </w:pPr>
      <w:r>
        <w:rPr>
          <w:rStyle w:val="95"/>
        </w:rPr>
        <w:tab/>
      </w:r>
    </w:p>
    <w:p w14:paraId="78551036">
      <w:pPr>
        <w:pStyle w:val="183"/>
        <w:rPr>
          <w:rStyle w:val="95"/>
          <w:rFonts w:ascii="Times New Roman" w:hAnsi="Times New Roman"/>
          <w:szCs w:val="21"/>
        </w:rPr>
        <w:sectPr>
          <w:pgSz w:w="16840" w:h="11907"/>
          <w:pgMar w:top="1080" w:right="1440" w:bottom="1080" w:left="1440" w:header="851" w:footer="992" w:gutter="0"/>
          <w:cols w:space="720" w:num="1"/>
          <w:titlePg/>
          <w:docGrid w:linePitch="312" w:charSpace="0"/>
        </w:sectPr>
      </w:pPr>
    </w:p>
    <w:p w14:paraId="2A492A9C">
      <w:pPr>
        <w:rPr>
          <w:rStyle w:val="95"/>
        </w:rPr>
      </w:pPr>
    </w:p>
    <w:p w14:paraId="7E373E17">
      <w:pPr>
        <w:rPr>
          <w:rStyle w:val="95"/>
        </w:rPr>
      </w:pPr>
    </w:p>
    <w:p w14:paraId="34F05AC3">
      <w:pPr>
        <w:rPr>
          <w:rStyle w:val="95"/>
        </w:rPr>
      </w:pPr>
    </w:p>
    <w:p w14:paraId="0BEF1CE4">
      <w:pPr>
        <w:rPr>
          <w:rStyle w:val="95"/>
        </w:rPr>
      </w:pPr>
    </w:p>
    <w:p w14:paraId="109AC12B">
      <w:pPr>
        <w:rPr>
          <w:rStyle w:val="95"/>
        </w:rPr>
      </w:pPr>
    </w:p>
    <w:p w14:paraId="2A1AB004">
      <w:pPr>
        <w:rPr>
          <w:rStyle w:val="95"/>
        </w:rPr>
      </w:pPr>
    </w:p>
    <w:p w14:paraId="01DF031C">
      <w:pPr>
        <w:rPr>
          <w:rStyle w:val="95"/>
        </w:rPr>
      </w:pPr>
    </w:p>
    <w:p w14:paraId="46AFC4FD">
      <w:pPr>
        <w:rPr>
          <w:rStyle w:val="95"/>
        </w:rPr>
      </w:pPr>
    </w:p>
    <w:p w14:paraId="573B3454">
      <w:pPr>
        <w:rPr>
          <w:rStyle w:val="95"/>
        </w:rPr>
      </w:pPr>
    </w:p>
    <w:p w14:paraId="5EF7DA0E">
      <w:pPr>
        <w:rPr>
          <w:rStyle w:val="95"/>
        </w:rPr>
      </w:pPr>
    </w:p>
    <w:p w14:paraId="6D2BAD6C">
      <w:pPr>
        <w:rPr>
          <w:rStyle w:val="95"/>
        </w:rPr>
      </w:pPr>
    </w:p>
    <w:p w14:paraId="536AFB58">
      <w:pPr>
        <w:pStyle w:val="182"/>
        <w:ind w:firstLine="480"/>
        <w:rPr>
          <w:rStyle w:val="95"/>
          <w:rFonts w:eastAsia="宋体"/>
        </w:rPr>
      </w:pPr>
    </w:p>
    <w:p w14:paraId="4138F352">
      <w:pPr>
        <w:pStyle w:val="183"/>
        <w:rPr>
          <w:rStyle w:val="95"/>
          <w:rFonts w:ascii="Times New Roman" w:hAnsi="Times New Roman"/>
        </w:rPr>
      </w:pPr>
    </w:p>
    <w:p w14:paraId="0AE79C5C">
      <w:pPr>
        <w:pStyle w:val="183"/>
        <w:rPr>
          <w:rStyle w:val="95"/>
          <w:rFonts w:ascii="Times New Roman" w:hAnsi="Times New Roman"/>
        </w:rPr>
      </w:pPr>
    </w:p>
    <w:p w14:paraId="41D985B0">
      <w:pPr>
        <w:pStyle w:val="183"/>
        <w:rPr>
          <w:rStyle w:val="95"/>
          <w:rFonts w:ascii="Times New Roman" w:hAnsi="Times New Roman"/>
        </w:rPr>
      </w:pPr>
    </w:p>
    <w:p w14:paraId="4DDD074A">
      <w:pPr>
        <w:pStyle w:val="183"/>
        <w:rPr>
          <w:rStyle w:val="95"/>
          <w:rFonts w:ascii="Times New Roman" w:hAnsi="Times New Roman"/>
        </w:rPr>
      </w:pPr>
    </w:p>
    <w:p w14:paraId="1DD753B6">
      <w:pPr>
        <w:pStyle w:val="182"/>
        <w:ind w:firstLine="480"/>
        <w:rPr>
          <w:rStyle w:val="95"/>
          <w:rFonts w:eastAsia="宋体"/>
        </w:rPr>
      </w:pPr>
    </w:p>
    <w:p w14:paraId="77B7F86E">
      <w:pPr>
        <w:pStyle w:val="183"/>
        <w:rPr>
          <w:rFonts w:ascii="Times New Roman" w:hAnsi="Times New Roman"/>
        </w:rPr>
      </w:pPr>
    </w:p>
    <w:p w14:paraId="29086611">
      <w:pPr>
        <w:pStyle w:val="182"/>
        <w:ind w:firstLine="480"/>
        <w:rPr>
          <w:rStyle w:val="95"/>
          <w:rFonts w:eastAsia="宋体"/>
        </w:rPr>
      </w:pPr>
    </w:p>
    <w:p w14:paraId="1BF142A4">
      <w:pPr>
        <w:pStyle w:val="182"/>
        <w:ind w:firstLine="480"/>
        <w:rPr>
          <w:rStyle w:val="95"/>
          <w:rFonts w:eastAsia="宋体"/>
        </w:rPr>
      </w:pPr>
    </w:p>
    <w:p w14:paraId="34DCF9C3">
      <w:pPr>
        <w:pStyle w:val="182"/>
        <w:ind w:firstLine="480"/>
        <w:rPr>
          <w:rStyle w:val="95"/>
          <w:rFonts w:eastAsia="宋体"/>
        </w:rPr>
      </w:pPr>
    </w:p>
    <w:p w14:paraId="2C02DEA3">
      <w:pPr>
        <w:pStyle w:val="86"/>
        <w:rPr>
          <w:rStyle w:val="95"/>
          <w:rFonts w:ascii="Times New Roman" w:hAnsi="Times New Roman"/>
          <w:sz w:val="36"/>
          <w:szCs w:val="36"/>
        </w:rPr>
      </w:pPr>
      <w:r>
        <w:rPr>
          <w:rStyle w:val="95"/>
          <w:rFonts w:hint="eastAsia" w:ascii="Times New Roman" w:hAnsi="Times New Roman"/>
          <w:b/>
          <w:sz w:val="36"/>
          <w:szCs w:val="36"/>
        </w:rPr>
        <w:t>第三节</w:t>
      </w:r>
      <w:r>
        <w:rPr>
          <w:rStyle w:val="95"/>
          <w:rFonts w:ascii="Times New Roman" w:hAnsi="Times New Roman"/>
          <w:b/>
          <w:sz w:val="36"/>
          <w:szCs w:val="36"/>
        </w:rPr>
        <w:t xml:space="preserve"> </w:t>
      </w:r>
      <w:r>
        <w:rPr>
          <w:rStyle w:val="95"/>
          <w:rFonts w:hint="eastAsia" w:ascii="Times New Roman" w:hAnsi="Times New Roman"/>
          <w:b/>
          <w:sz w:val="36"/>
          <w:szCs w:val="36"/>
        </w:rPr>
        <w:t>资格审查文件</w:t>
      </w:r>
    </w:p>
    <w:p w14:paraId="4555A21F">
      <w:pPr>
        <w:pStyle w:val="182"/>
        <w:ind w:firstLine="480"/>
        <w:rPr>
          <w:rStyle w:val="95"/>
          <w:rFonts w:eastAsia="宋体"/>
        </w:rPr>
      </w:pPr>
    </w:p>
    <w:p w14:paraId="0C3CC755">
      <w:pPr>
        <w:pStyle w:val="182"/>
        <w:ind w:firstLine="480"/>
        <w:rPr>
          <w:rStyle w:val="95"/>
          <w:rFonts w:eastAsia="宋体"/>
        </w:rPr>
      </w:pPr>
    </w:p>
    <w:p w14:paraId="1C4D6A29">
      <w:pPr>
        <w:pStyle w:val="182"/>
        <w:ind w:firstLine="480"/>
        <w:rPr>
          <w:rStyle w:val="95"/>
          <w:rFonts w:eastAsia="宋体"/>
        </w:rPr>
      </w:pPr>
    </w:p>
    <w:p w14:paraId="7C8CF9B3">
      <w:pPr>
        <w:pStyle w:val="182"/>
        <w:ind w:firstLine="480"/>
        <w:rPr>
          <w:rStyle w:val="95"/>
          <w:rFonts w:eastAsia="宋体"/>
        </w:rPr>
      </w:pPr>
    </w:p>
    <w:p w14:paraId="03F76B61">
      <w:pPr>
        <w:pStyle w:val="182"/>
        <w:ind w:firstLine="480"/>
        <w:rPr>
          <w:rStyle w:val="95"/>
          <w:rFonts w:eastAsia="宋体"/>
        </w:rPr>
      </w:pPr>
    </w:p>
    <w:p w14:paraId="2CA2799C">
      <w:pPr>
        <w:pStyle w:val="182"/>
        <w:ind w:firstLine="480"/>
        <w:rPr>
          <w:rStyle w:val="95"/>
          <w:rFonts w:eastAsia="宋体"/>
        </w:rPr>
      </w:pPr>
    </w:p>
    <w:p w14:paraId="47582E1D">
      <w:pPr>
        <w:pStyle w:val="182"/>
        <w:ind w:firstLine="480"/>
        <w:rPr>
          <w:rStyle w:val="95"/>
          <w:rFonts w:eastAsia="宋体"/>
        </w:rPr>
      </w:pPr>
    </w:p>
    <w:p w14:paraId="1C2A9B91">
      <w:pPr>
        <w:pStyle w:val="182"/>
        <w:ind w:firstLine="480"/>
        <w:rPr>
          <w:rStyle w:val="95"/>
          <w:rFonts w:eastAsia="宋体"/>
        </w:rPr>
      </w:pPr>
    </w:p>
    <w:p w14:paraId="2EA32273">
      <w:pPr>
        <w:rPr>
          <w:rStyle w:val="95"/>
        </w:rPr>
      </w:pPr>
    </w:p>
    <w:p w14:paraId="3C04240A">
      <w:pPr>
        <w:rPr>
          <w:rStyle w:val="95"/>
        </w:rPr>
      </w:pPr>
    </w:p>
    <w:p w14:paraId="598AD465">
      <w:pPr>
        <w:rPr>
          <w:rStyle w:val="95"/>
        </w:rPr>
      </w:pPr>
    </w:p>
    <w:p w14:paraId="2786173C">
      <w:pPr>
        <w:rPr>
          <w:rStyle w:val="95"/>
        </w:rPr>
      </w:pPr>
    </w:p>
    <w:p w14:paraId="3996CA22">
      <w:pPr>
        <w:rPr>
          <w:rStyle w:val="95"/>
        </w:rPr>
      </w:pPr>
    </w:p>
    <w:p w14:paraId="34E7F67A">
      <w:pPr>
        <w:rPr>
          <w:rStyle w:val="95"/>
        </w:rPr>
      </w:pPr>
    </w:p>
    <w:p w14:paraId="60FD47F3">
      <w:pPr>
        <w:rPr>
          <w:rStyle w:val="95"/>
        </w:rPr>
      </w:pPr>
    </w:p>
    <w:p w14:paraId="788604FB">
      <w:pPr>
        <w:rPr>
          <w:rStyle w:val="95"/>
        </w:rPr>
      </w:pPr>
    </w:p>
    <w:p w14:paraId="7869B9E1">
      <w:pPr>
        <w:rPr>
          <w:rStyle w:val="95"/>
        </w:rPr>
      </w:pPr>
    </w:p>
    <w:p w14:paraId="2DBC0A44">
      <w:pPr>
        <w:rPr>
          <w:rStyle w:val="95"/>
        </w:rPr>
      </w:pPr>
    </w:p>
    <w:p w14:paraId="0D578C79">
      <w:pPr>
        <w:rPr>
          <w:rStyle w:val="95"/>
        </w:rPr>
      </w:pPr>
    </w:p>
    <w:p w14:paraId="23F65293">
      <w:pPr>
        <w:rPr>
          <w:rStyle w:val="95"/>
        </w:rPr>
      </w:pPr>
    </w:p>
    <w:p w14:paraId="38D1F719">
      <w:pPr>
        <w:rPr>
          <w:rStyle w:val="95"/>
        </w:rPr>
      </w:pPr>
    </w:p>
    <w:p w14:paraId="12041960">
      <w:pPr>
        <w:rPr>
          <w:rStyle w:val="95"/>
        </w:rPr>
      </w:pPr>
    </w:p>
    <w:p w14:paraId="46D82BAA">
      <w:pPr>
        <w:pStyle w:val="608"/>
        <w:spacing w:line="800" w:lineRule="exact"/>
        <w:jc w:val="center"/>
        <w:rPr>
          <w:rStyle w:val="95"/>
          <w:rFonts w:ascii="Times New Roman" w:hAnsi="Times New Roman"/>
          <w:b/>
          <w:sz w:val="28"/>
          <w:szCs w:val="28"/>
        </w:rPr>
      </w:pPr>
      <w:r>
        <w:rPr>
          <w:rStyle w:val="95"/>
          <w:rFonts w:hint="eastAsia" w:ascii="Times New Roman" w:hAnsi="Times New Roman"/>
          <w:b/>
          <w:sz w:val="28"/>
          <w:szCs w:val="28"/>
        </w:rPr>
        <w:t>一、投标人基本情况表</w:t>
      </w:r>
    </w:p>
    <w:tbl>
      <w:tblPr>
        <w:tblStyle w:val="45"/>
        <w:tblW w:w="9039"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528"/>
        <w:gridCol w:w="1127"/>
        <w:gridCol w:w="1190"/>
        <w:gridCol w:w="1259"/>
        <w:gridCol w:w="707"/>
        <w:gridCol w:w="1206"/>
        <w:gridCol w:w="979"/>
        <w:gridCol w:w="1043"/>
      </w:tblGrid>
      <w:tr w14:paraId="5ECCFE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67" w:hRule="exact"/>
          <w:jc w:val="center"/>
        </w:trPr>
        <w:tc>
          <w:tcPr>
            <w:tcW w:w="1528" w:type="dxa"/>
            <w:vAlign w:val="center"/>
          </w:tcPr>
          <w:p w14:paraId="2399D81C">
            <w:pPr>
              <w:jc w:val="center"/>
              <w:rPr>
                <w:rStyle w:val="95"/>
                <w:kern w:val="0"/>
                <w:szCs w:val="21"/>
              </w:rPr>
            </w:pPr>
            <w:r>
              <w:rPr>
                <w:rStyle w:val="95"/>
                <w:rFonts w:hint="eastAsia"/>
                <w:kern w:val="0"/>
                <w:szCs w:val="21"/>
              </w:rPr>
              <w:t>投标人名称</w:t>
            </w:r>
          </w:p>
        </w:tc>
        <w:tc>
          <w:tcPr>
            <w:tcW w:w="7511" w:type="dxa"/>
            <w:gridSpan w:val="7"/>
            <w:vAlign w:val="center"/>
          </w:tcPr>
          <w:p w14:paraId="00B4675B">
            <w:pPr>
              <w:jc w:val="center"/>
              <w:rPr>
                <w:rStyle w:val="95"/>
                <w:kern w:val="0"/>
                <w:szCs w:val="21"/>
              </w:rPr>
            </w:pPr>
          </w:p>
        </w:tc>
      </w:tr>
      <w:tr w14:paraId="56AB3F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67" w:hRule="exact"/>
          <w:jc w:val="center"/>
        </w:trPr>
        <w:tc>
          <w:tcPr>
            <w:tcW w:w="1528" w:type="dxa"/>
            <w:vAlign w:val="center"/>
          </w:tcPr>
          <w:p w14:paraId="2C913C92">
            <w:pPr>
              <w:jc w:val="center"/>
              <w:rPr>
                <w:rStyle w:val="95"/>
                <w:kern w:val="0"/>
                <w:szCs w:val="21"/>
              </w:rPr>
            </w:pPr>
            <w:r>
              <w:rPr>
                <w:rStyle w:val="95"/>
                <w:rFonts w:hint="eastAsia"/>
                <w:kern w:val="0"/>
                <w:szCs w:val="21"/>
              </w:rPr>
              <w:t>注册地址</w:t>
            </w:r>
          </w:p>
        </w:tc>
        <w:tc>
          <w:tcPr>
            <w:tcW w:w="4283" w:type="dxa"/>
            <w:gridSpan w:val="4"/>
            <w:vAlign w:val="center"/>
          </w:tcPr>
          <w:p w14:paraId="5B779120">
            <w:pPr>
              <w:jc w:val="center"/>
              <w:rPr>
                <w:rStyle w:val="95"/>
                <w:kern w:val="0"/>
                <w:szCs w:val="21"/>
              </w:rPr>
            </w:pPr>
          </w:p>
        </w:tc>
        <w:tc>
          <w:tcPr>
            <w:tcW w:w="1206" w:type="dxa"/>
            <w:vAlign w:val="center"/>
          </w:tcPr>
          <w:p w14:paraId="2AD7C85A">
            <w:pPr>
              <w:jc w:val="center"/>
              <w:rPr>
                <w:rStyle w:val="95"/>
                <w:kern w:val="0"/>
                <w:szCs w:val="21"/>
              </w:rPr>
            </w:pPr>
            <w:r>
              <w:rPr>
                <w:rStyle w:val="95"/>
                <w:rFonts w:hint="eastAsia"/>
                <w:kern w:val="0"/>
                <w:szCs w:val="21"/>
              </w:rPr>
              <w:t>邮政编码</w:t>
            </w:r>
          </w:p>
        </w:tc>
        <w:tc>
          <w:tcPr>
            <w:tcW w:w="2022" w:type="dxa"/>
            <w:gridSpan w:val="2"/>
            <w:vAlign w:val="center"/>
          </w:tcPr>
          <w:p w14:paraId="3F8EABF5">
            <w:pPr>
              <w:jc w:val="center"/>
              <w:rPr>
                <w:rStyle w:val="95"/>
                <w:kern w:val="0"/>
                <w:szCs w:val="21"/>
              </w:rPr>
            </w:pPr>
          </w:p>
        </w:tc>
      </w:tr>
      <w:tr w14:paraId="53E42E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cantSplit/>
          <w:trHeight w:val="567" w:hRule="exact"/>
          <w:jc w:val="center"/>
        </w:trPr>
        <w:tc>
          <w:tcPr>
            <w:tcW w:w="1528" w:type="dxa"/>
            <w:vMerge w:val="restart"/>
            <w:vAlign w:val="center"/>
          </w:tcPr>
          <w:p w14:paraId="54B35CA5">
            <w:pPr>
              <w:jc w:val="center"/>
              <w:rPr>
                <w:rStyle w:val="95"/>
                <w:kern w:val="0"/>
                <w:szCs w:val="21"/>
              </w:rPr>
            </w:pPr>
            <w:r>
              <w:rPr>
                <w:rStyle w:val="95"/>
                <w:rFonts w:hint="eastAsia"/>
                <w:kern w:val="0"/>
                <w:szCs w:val="21"/>
              </w:rPr>
              <w:t>联系方式</w:t>
            </w:r>
          </w:p>
        </w:tc>
        <w:tc>
          <w:tcPr>
            <w:tcW w:w="1127" w:type="dxa"/>
            <w:vAlign w:val="center"/>
          </w:tcPr>
          <w:p w14:paraId="7AA082F7">
            <w:pPr>
              <w:jc w:val="center"/>
              <w:rPr>
                <w:rStyle w:val="95"/>
                <w:kern w:val="0"/>
                <w:szCs w:val="21"/>
              </w:rPr>
            </w:pPr>
            <w:r>
              <w:rPr>
                <w:rStyle w:val="95"/>
                <w:rFonts w:hint="eastAsia"/>
                <w:kern w:val="0"/>
                <w:szCs w:val="21"/>
              </w:rPr>
              <w:t>联系人</w:t>
            </w:r>
          </w:p>
        </w:tc>
        <w:tc>
          <w:tcPr>
            <w:tcW w:w="3156" w:type="dxa"/>
            <w:gridSpan w:val="3"/>
            <w:vAlign w:val="center"/>
          </w:tcPr>
          <w:p w14:paraId="48D58A36">
            <w:pPr>
              <w:jc w:val="center"/>
              <w:rPr>
                <w:rStyle w:val="95"/>
                <w:kern w:val="0"/>
                <w:szCs w:val="21"/>
              </w:rPr>
            </w:pPr>
          </w:p>
        </w:tc>
        <w:tc>
          <w:tcPr>
            <w:tcW w:w="1206" w:type="dxa"/>
            <w:vAlign w:val="center"/>
          </w:tcPr>
          <w:p w14:paraId="7598E100">
            <w:pPr>
              <w:jc w:val="center"/>
              <w:rPr>
                <w:rStyle w:val="95"/>
                <w:kern w:val="0"/>
                <w:szCs w:val="21"/>
              </w:rPr>
            </w:pPr>
            <w:r>
              <w:rPr>
                <w:rStyle w:val="95"/>
                <w:rFonts w:hint="eastAsia"/>
                <w:kern w:val="0"/>
                <w:szCs w:val="21"/>
              </w:rPr>
              <w:t>电</w:t>
            </w:r>
            <w:r>
              <w:rPr>
                <w:rStyle w:val="95"/>
                <w:kern w:val="0"/>
                <w:szCs w:val="21"/>
              </w:rPr>
              <w:t xml:space="preserve">  </w:t>
            </w:r>
            <w:r>
              <w:rPr>
                <w:rStyle w:val="95"/>
                <w:rFonts w:hint="eastAsia"/>
                <w:kern w:val="0"/>
                <w:szCs w:val="21"/>
              </w:rPr>
              <w:t>话</w:t>
            </w:r>
          </w:p>
        </w:tc>
        <w:tc>
          <w:tcPr>
            <w:tcW w:w="2022" w:type="dxa"/>
            <w:gridSpan w:val="2"/>
            <w:vAlign w:val="center"/>
          </w:tcPr>
          <w:p w14:paraId="46B278DC">
            <w:pPr>
              <w:jc w:val="center"/>
              <w:rPr>
                <w:rStyle w:val="95"/>
                <w:kern w:val="0"/>
                <w:szCs w:val="21"/>
              </w:rPr>
            </w:pPr>
          </w:p>
        </w:tc>
      </w:tr>
      <w:tr w14:paraId="280CE5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cantSplit/>
          <w:trHeight w:val="567" w:hRule="exact"/>
          <w:jc w:val="center"/>
        </w:trPr>
        <w:tc>
          <w:tcPr>
            <w:tcW w:w="1528" w:type="dxa"/>
            <w:vMerge w:val="continue"/>
            <w:vAlign w:val="center"/>
          </w:tcPr>
          <w:p w14:paraId="60F80BB5">
            <w:pPr>
              <w:jc w:val="center"/>
              <w:rPr>
                <w:rStyle w:val="95"/>
                <w:kern w:val="0"/>
                <w:szCs w:val="21"/>
              </w:rPr>
            </w:pPr>
          </w:p>
        </w:tc>
        <w:tc>
          <w:tcPr>
            <w:tcW w:w="1127" w:type="dxa"/>
            <w:vAlign w:val="center"/>
          </w:tcPr>
          <w:p w14:paraId="7AC80715">
            <w:pPr>
              <w:tabs>
                <w:tab w:val="left" w:pos="540"/>
              </w:tabs>
              <w:jc w:val="center"/>
              <w:rPr>
                <w:rStyle w:val="95"/>
                <w:kern w:val="0"/>
                <w:szCs w:val="21"/>
              </w:rPr>
            </w:pPr>
            <w:r>
              <w:rPr>
                <w:rStyle w:val="95"/>
                <w:rFonts w:hint="eastAsia"/>
                <w:kern w:val="0"/>
                <w:szCs w:val="21"/>
              </w:rPr>
              <w:t>传</w:t>
            </w:r>
            <w:r>
              <w:rPr>
                <w:rStyle w:val="95"/>
                <w:kern w:val="0"/>
                <w:szCs w:val="21"/>
              </w:rPr>
              <w:t xml:space="preserve">  </w:t>
            </w:r>
            <w:r>
              <w:rPr>
                <w:rStyle w:val="95"/>
                <w:rFonts w:hint="eastAsia"/>
                <w:kern w:val="0"/>
                <w:szCs w:val="21"/>
              </w:rPr>
              <w:t>真</w:t>
            </w:r>
          </w:p>
        </w:tc>
        <w:tc>
          <w:tcPr>
            <w:tcW w:w="3156" w:type="dxa"/>
            <w:gridSpan w:val="3"/>
            <w:vAlign w:val="center"/>
          </w:tcPr>
          <w:p w14:paraId="1F6673B5">
            <w:pPr>
              <w:jc w:val="center"/>
              <w:rPr>
                <w:rStyle w:val="95"/>
                <w:kern w:val="0"/>
                <w:szCs w:val="21"/>
              </w:rPr>
            </w:pPr>
          </w:p>
        </w:tc>
        <w:tc>
          <w:tcPr>
            <w:tcW w:w="1206" w:type="dxa"/>
            <w:vAlign w:val="center"/>
          </w:tcPr>
          <w:p w14:paraId="317C0937">
            <w:pPr>
              <w:jc w:val="center"/>
              <w:rPr>
                <w:rStyle w:val="95"/>
                <w:kern w:val="0"/>
                <w:szCs w:val="21"/>
              </w:rPr>
            </w:pPr>
            <w:r>
              <w:rPr>
                <w:rStyle w:val="95"/>
                <w:rFonts w:hint="eastAsia"/>
                <w:kern w:val="0"/>
                <w:szCs w:val="21"/>
              </w:rPr>
              <w:t>电子邮件</w:t>
            </w:r>
          </w:p>
        </w:tc>
        <w:tc>
          <w:tcPr>
            <w:tcW w:w="2022" w:type="dxa"/>
            <w:gridSpan w:val="2"/>
            <w:vAlign w:val="center"/>
          </w:tcPr>
          <w:p w14:paraId="1DE514D6">
            <w:pPr>
              <w:jc w:val="center"/>
              <w:rPr>
                <w:rStyle w:val="95"/>
                <w:kern w:val="0"/>
                <w:szCs w:val="21"/>
              </w:rPr>
            </w:pPr>
          </w:p>
        </w:tc>
      </w:tr>
      <w:tr w14:paraId="4302BB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67" w:hRule="exact"/>
          <w:jc w:val="center"/>
        </w:trPr>
        <w:tc>
          <w:tcPr>
            <w:tcW w:w="1528" w:type="dxa"/>
            <w:vAlign w:val="center"/>
          </w:tcPr>
          <w:p w14:paraId="299B15F3">
            <w:pPr>
              <w:jc w:val="center"/>
              <w:rPr>
                <w:rStyle w:val="95"/>
                <w:kern w:val="0"/>
                <w:szCs w:val="21"/>
              </w:rPr>
            </w:pPr>
            <w:r>
              <w:rPr>
                <w:rStyle w:val="95"/>
                <w:rFonts w:hint="eastAsia"/>
                <w:kern w:val="0"/>
                <w:szCs w:val="21"/>
              </w:rPr>
              <w:t>法定代表人</w:t>
            </w:r>
          </w:p>
        </w:tc>
        <w:tc>
          <w:tcPr>
            <w:tcW w:w="1127" w:type="dxa"/>
            <w:vAlign w:val="center"/>
          </w:tcPr>
          <w:p w14:paraId="708F8D1D">
            <w:pPr>
              <w:jc w:val="center"/>
              <w:rPr>
                <w:rStyle w:val="95"/>
                <w:kern w:val="0"/>
                <w:szCs w:val="21"/>
              </w:rPr>
            </w:pPr>
            <w:r>
              <w:rPr>
                <w:rStyle w:val="95"/>
                <w:rFonts w:hint="eastAsia"/>
                <w:kern w:val="0"/>
                <w:szCs w:val="21"/>
              </w:rPr>
              <w:t>姓名</w:t>
            </w:r>
          </w:p>
        </w:tc>
        <w:tc>
          <w:tcPr>
            <w:tcW w:w="1190" w:type="dxa"/>
            <w:vAlign w:val="center"/>
          </w:tcPr>
          <w:p w14:paraId="3E26312F">
            <w:pPr>
              <w:jc w:val="center"/>
              <w:rPr>
                <w:rStyle w:val="95"/>
                <w:kern w:val="0"/>
                <w:szCs w:val="21"/>
              </w:rPr>
            </w:pPr>
          </w:p>
        </w:tc>
        <w:tc>
          <w:tcPr>
            <w:tcW w:w="1259" w:type="dxa"/>
            <w:vAlign w:val="center"/>
          </w:tcPr>
          <w:p w14:paraId="66C8482E">
            <w:pPr>
              <w:jc w:val="center"/>
              <w:rPr>
                <w:rStyle w:val="95"/>
                <w:kern w:val="0"/>
                <w:szCs w:val="21"/>
              </w:rPr>
            </w:pPr>
            <w:r>
              <w:rPr>
                <w:rStyle w:val="95"/>
                <w:rFonts w:hint="eastAsia"/>
                <w:kern w:val="0"/>
                <w:szCs w:val="21"/>
              </w:rPr>
              <w:t>技术职称</w:t>
            </w:r>
          </w:p>
        </w:tc>
        <w:tc>
          <w:tcPr>
            <w:tcW w:w="1913" w:type="dxa"/>
            <w:gridSpan w:val="2"/>
            <w:vAlign w:val="center"/>
          </w:tcPr>
          <w:p w14:paraId="4FA2164D">
            <w:pPr>
              <w:jc w:val="center"/>
              <w:rPr>
                <w:rStyle w:val="95"/>
                <w:kern w:val="0"/>
                <w:szCs w:val="21"/>
              </w:rPr>
            </w:pPr>
          </w:p>
        </w:tc>
        <w:tc>
          <w:tcPr>
            <w:tcW w:w="979" w:type="dxa"/>
            <w:vAlign w:val="center"/>
          </w:tcPr>
          <w:p w14:paraId="28038011">
            <w:pPr>
              <w:jc w:val="center"/>
              <w:rPr>
                <w:rStyle w:val="95"/>
                <w:kern w:val="0"/>
                <w:szCs w:val="21"/>
              </w:rPr>
            </w:pPr>
            <w:r>
              <w:rPr>
                <w:rStyle w:val="95"/>
                <w:rFonts w:hint="eastAsia"/>
                <w:kern w:val="0"/>
                <w:szCs w:val="21"/>
              </w:rPr>
              <w:t>电话</w:t>
            </w:r>
          </w:p>
        </w:tc>
        <w:tc>
          <w:tcPr>
            <w:tcW w:w="1043" w:type="dxa"/>
            <w:vAlign w:val="center"/>
          </w:tcPr>
          <w:p w14:paraId="3C5EBDF3">
            <w:pPr>
              <w:jc w:val="center"/>
              <w:rPr>
                <w:rStyle w:val="95"/>
                <w:kern w:val="0"/>
                <w:szCs w:val="21"/>
              </w:rPr>
            </w:pPr>
          </w:p>
        </w:tc>
      </w:tr>
      <w:tr w14:paraId="04B5CC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67" w:hRule="exact"/>
          <w:jc w:val="center"/>
        </w:trPr>
        <w:tc>
          <w:tcPr>
            <w:tcW w:w="1528" w:type="dxa"/>
            <w:vAlign w:val="center"/>
          </w:tcPr>
          <w:p w14:paraId="55CC9085">
            <w:pPr>
              <w:jc w:val="center"/>
              <w:rPr>
                <w:rStyle w:val="95"/>
                <w:kern w:val="0"/>
                <w:szCs w:val="21"/>
              </w:rPr>
            </w:pPr>
            <w:r>
              <w:rPr>
                <w:rStyle w:val="95"/>
                <w:rFonts w:hint="eastAsia"/>
                <w:kern w:val="0"/>
                <w:szCs w:val="21"/>
              </w:rPr>
              <w:t>技术负责人</w:t>
            </w:r>
          </w:p>
        </w:tc>
        <w:tc>
          <w:tcPr>
            <w:tcW w:w="1127" w:type="dxa"/>
            <w:vAlign w:val="center"/>
          </w:tcPr>
          <w:p w14:paraId="2E9B7CDA">
            <w:pPr>
              <w:jc w:val="center"/>
              <w:rPr>
                <w:rStyle w:val="95"/>
                <w:kern w:val="0"/>
                <w:szCs w:val="21"/>
              </w:rPr>
            </w:pPr>
            <w:r>
              <w:rPr>
                <w:rStyle w:val="95"/>
                <w:rFonts w:hint="eastAsia"/>
                <w:kern w:val="0"/>
                <w:szCs w:val="21"/>
              </w:rPr>
              <w:t>姓名</w:t>
            </w:r>
          </w:p>
        </w:tc>
        <w:tc>
          <w:tcPr>
            <w:tcW w:w="1190" w:type="dxa"/>
            <w:vAlign w:val="center"/>
          </w:tcPr>
          <w:p w14:paraId="71AFB3C9">
            <w:pPr>
              <w:jc w:val="center"/>
              <w:rPr>
                <w:rStyle w:val="95"/>
                <w:kern w:val="0"/>
                <w:szCs w:val="21"/>
              </w:rPr>
            </w:pPr>
          </w:p>
        </w:tc>
        <w:tc>
          <w:tcPr>
            <w:tcW w:w="1259" w:type="dxa"/>
            <w:vAlign w:val="center"/>
          </w:tcPr>
          <w:p w14:paraId="127813F7">
            <w:pPr>
              <w:jc w:val="center"/>
              <w:rPr>
                <w:rStyle w:val="95"/>
                <w:kern w:val="0"/>
                <w:szCs w:val="21"/>
              </w:rPr>
            </w:pPr>
            <w:r>
              <w:rPr>
                <w:rStyle w:val="95"/>
                <w:rFonts w:hint="eastAsia"/>
                <w:kern w:val="0"/>
                <w:szCs w:val="21"/>
              </w:rPr>
              <w:t>技术职称</w:t>
            </w:r>
          </w:p>
        </w:tc>
        <w:tc>
          <w:tcPr>
            <w:tcW w:w="1913" w:type="dxa"/>
            <w:gridSpan w:val="2"/>
            <w:vAlign w:val="center"/>
          </w:tcPr>
          <w:p w14:paraId="0FED2ED7">
            <w:pPr>
              <w:jc w:val="center"/>
              <w:rPr>
                <w:rStyle w:val="95"/>
                <w:kern w:val="0"/>
                <w:szCs w:val="21"/>
              </w:rPr>
            </w:pPr>
          </w:p>
        </w:tc>
        <w:tc>
          <w:tcPr>
            <w:tcW w:w="979" w:type="dxa"/>
            <w:vAlign w:val="center"/>
          </w:tcPr>
          <w:p w14:paraId="2663E4C5">
            <w:pPr>
              <w:jc w:val="center"/>
              <w:rPr>
                <w:rStyle w:val="95"/>
                <w:kern w:val="0"/>
                <w:szCs w:val="21"/>
              </w:rPr>
            </w:pPr>
            <w:r>
              <w:rPr>
                <w:rStyle w:val="95"/>
                <w:rFonts w:hint="eastAsia"/>
                <w:kern w:val="0"/>
                <w:szCs w:val="21"/>
              </w:rPr>
              <w:t>电话</w:t>
            </w:r>
          </w:p>
        </w:tc>
        <w:tc>
          <w:tcPr>
            <w:tcW w:w="1043" w:type="dxa"/>
            <w:vAlign w:val="center"/>
          </w:tcPr>
          <w:p w14:paraId="4C3F9A66">
            <w:pPr>
              <w:jc w:val="center"/>
              <w:rPr>
                <w:rStyle w:val="95"/>
                <w:kern w:val="0"/>
                <w:szCs w:val="21"/>
              </w:rPr>
            </w:pPr>
          </w:p>
        </w:tc>
      </w:tr>
      <w:tr w14:paraId="362D31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67" w:hRule="exact"/>
          <w:jc w:val="center"/>
        </w:trPr>
        <w:tc>
          <w:tcPr>
            <w:tcW w:w="1528" w:type="dxa"/>
            <w:vAlign w:val="center"/>
          </w:tcPr>
          <w:p w14:paraId="7BB930C0">
            <w:pPr>
              <w:jc w:val="center"/>
              <w:rPr>
                <w:rStyle w:val="95"/>
                <w:kern w:val="0"/>
                <w:szCs w:val="21"/>
              </w:rPr>
            </w:pPr>
            <w:r>
              <w:rPr>
                <w:rStyle w:val="95"/>
                <w:rFonts w:hint="eastAsia"/>
                <w:kern w:val="0"/>
                <w:szCs w:val="21"/>
              </w:rPr>
              <w:t>成立时间</w:t>
            </w:r>
          </w:p>
        </w:tc>
        <w:tc>
          <w:tcPr>
            <w:tcW w:w="2317" w:type="dxa"/>
            <w:gridSpan w:val="2"/>
            <w:vAlign w:val="center"/>
          </w:tcPr>
          <w:p w14:paraId="3E71C197">
            <w:pPr>
              <w:jc w:val="center"/>
              <w:rPr>
                <w:rStyle w:val="95"/>
                <w:kern w:val="0"/>
                <w:szCs w:val="21"/>
              </w:rPr>
            </w:pPr>
          </w:p>
        </w:tc>
        <w:tc>
          <w:tcPr>
            <w:tcW w:w="5194" w:type="dxa"/>
            <w:gridSpan w:val="5"/>
            <w:vAlign w:val="center"/>
          </w:tcPr>
          <w:p w14:paraId="3139A444">
            <w:pPr>
              <w:ind w:left="105" w:leftChars="50"/>
              <w:rPr>
                <w:rStyle w:val="95"/>
                <w:kern w:val="0"/>
                <w:szCs w:val="21"/>
                <w:u w:val="single"/>
              </w:rPr>
            </w:pPr>
            <w:r>
              <w:rPr>
                <w:rStyle w:val="95"/>
                <w:rFonts w:hint="eastAsia"/>
                <w:kern w:val="0"/>
                <w:szCs w:val="21"/>
              </w:rPr>
              <w:t>员工总人数：</w:t>
            </w:r>
          </w:p>
        </w:tc>
      </w:tr>
      <w:tr w14:paraId="59AABE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cantSplit/>
          <w:trHeight w:val="567" w:hRule="exact"/>
          <w:jc w:val="center"/>
        </w:trPr>
        <w:tc>
          <w:tcPr>
            <w:tcW w:w="1528" w:type="dxa"/>
            <w:vAlign w:val="center"/>
          </w:tcPr>
          <w:p w14:paraId="1A2C2995">
            <w:pPr>
              <w:jc w:val="center"/>
              <w:rPr>
                <w:rStyle w:val="95"/>
                <w:kern w:val="0"/>
                <w:szCs w:val="21"/>
              </w:rPr>
            </w:pPr>
            <w:r>
              <w:rPr>
                <w:rStyle w:val="95"/>
                <w:rFonts w:hint="eastAsia"/>
                <w:kern w:val="0"/>
                <w:szCs w:val="21"/>
              </w:rPr>
              <w:t>企业设计</w:t>
            </w:r>
          </w:p>
          <w:p w14:paraId="5713ECFD">
            <w:pPr>
              <w:jc w:val="center"/>
              <w:rPr>
                <w:rStyle w:val="95"/>
                <w:kern w:val="0"/>
                <w:szCs w:val="21"/>
              </w:rPr>
            </w:pPr>
            <w:r>
              <w:rPr>
                <w:rStyle w:val="95"/>
                <w:rFonts w:hint="eastAsia"/>
                <w:kern w:val="0"/>
                <w:szCs w:val="21"/>
              </w:rPr>
              <w:t>资质等级</w:t>
            </w:r>
          </w:p>
        </w:tc>
        <w:tc>
          <w:tcPr>
            <w:tcW w:w="2317" w:type="dxa"/>
            <w:gridSpan w:val="2"/>
            <w:vAlign w:val="center"/>
          </w:tcPr>
          <w:p w14:paraId="6FA23E6A">
            <w:pPr>
              <w:jc w:val="center"/>
              <w:rPr>
                <w:rStyle w:val="95"/>
                <w:kern w:val="0"/>
                <w:szCs w:val="21"/>
              </w:rPr>
            </w:pPr>
          </w:p>
        </w:tc>
        <w:tc>
          <w:tcPr>
            <w:tcW w:w="1259" w:type="dxa"/>
            <w:vMerge w:val="restart"/>
            <w:vAlign w:val="center"/>
          </w:tcPr>
          <w:p w14:paraId="40678BDD">
            <w:pPr>
              <w:jc w:val="center"/>
              <w:rPr>
                <w:rStyle w:val="95"/>
                <w:kern w:val="0"/>
                <w:szCs w:val="21"/>
              </w:rPr>
            </w:pPr>
            <w:r>
              <w:rPr>
                <w:rStyle w:val="95"/>
                <w:rFonts w:hint="eastAsia"/>
                <w:kern w:val="0"/>
                <w:szCs w:val="21"/>
              </w:rPr>
              <w:t>其中</w:t>
            </w:r>
          </w:p>
        </w:tc>
        <w:tc>
          <w:tcPr>
            <w:tcW w:w="1913" w:type="dxa"/>
            <w:gridSpan w:val="2"/>
            <w:vAlign w:val="center"/>
          </w:tcPr>
          <w:p w14:paraId="14B3E191">
            <w:pPr>
              <w:jc w:val="center"/>
              <w:rPr>
                <w:rStyle w:val="95"/>
                <w:kern w:val="0"/>
                <w:szCs w:val="21"/>
              </w:rPr>
            </w:pPr>
            <w:r>
              <w:rPr>
                <w:rStyle w:val="95"/>
                <w:rFonts w:hint="eastAsia"/>
                <w:kern w:val="0"/>
                <w:szCs w:val="21"/>
              </w:rPr>
              <w:t>注册建筑师</w:t>
            </w:r>
          </w:p>
        </w:tc>
        <w:tc>
          <w:tcPr>
            <w:tcW w:w="2022" w:type="dxa"/>
            <w:gridSpan w:val="2"/>
            <w:vAlign w:val="center"/>
          </w:tcPr>
          <w:p w14:paraId="0482BBFF">
            <w:pPr>
              <w:jc w:val="center"/>
              <w:rPr>
                <w:rStyle w:val="95"/>
                <w:kern w:val="0"/>
                <w:szCs w:val="21"/>
              </w:rPr>
            </w:pPr>
          </w:p>
        </w:tc>
      </w:tr>
      <w:tr w14:paraId="38B4A6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cantSplit/>
          <w:trHeight w:val="567" w:hRule="exact"/>
          <w:jc w:val="center"/>
        </w:trPr>
        <w:tc>
          <w:tcPr>
            <w:tcW w:w="1528" w:type="dxa"/>
            <w:vAlign w:val="center"/>
          </w:tcPr>
          <w:p w14:paraId="56E268B5">
            <w:pPr>
              <w:jc w:val="center"/>
              <w:rPr>
                <w:rStyle w:val="95"/>
                <w:kern w:val="0"/>
                <w:szCs w:val="21"/>
              </w:rPr>
            </w:pPr>
            <w:r>
              <w:rPr>
                <w:rStyle w:val="95"/>
                <w:rFonts w:hint="eastAsia"/>
                <w:kern w:val="0"/>
                <w:szCs w:val="21"/>
              </w:rPr>
              <w:t>企业施工</w:t>
            </w:r>
          </w:p>
          <w:p w14:paraId="62958050">
            <w:pPr>
              <w:jc w:val="center"/>
              <w:rPr>
                <w:rStyle w:val="95"/>
                <w:kern w:val="0"/>
                <w:szCs w:val="21"/>
              </w:rPr>
            </w:pPr>
            <w:r>
              <w:rPr>
                <w:rStyle w:val="95"/>
                <w:rFonts w:hint="eastAsia"/>
                <w:kern w:val="0"/>
                <w:szCs w:val="21"/>
              </w:rPr>
              <w:t>资质等级</w:t>
            </w:r>
          </w:p>
        </w:tc>
        <w:tc>
          <w:tcPr>
            <w:tcW w:w="2317" w:type="dxa"/>
            <w:gridSpan w:val="2"/>
            <w:vAlign w:val="center"/>
          </w:tcPr>
          <w:p w14:paraId="0CEC461C">
            <w:pPr>
              <w:jc w:val="center"/>
              <w:rPr>
                <w:rStyle w:val="95"/>
                <w:kern w:val="0"/>
                <w:szCs w:val="21"/>
              </w:rPr>
            </w:pPr>
          </w:p>
        </w:tc>
        <w:tc>
          <w:tcPr>
            <w:tcW w:w="1259" w:type="dxa"/>
            <w:vMerge w:val="continue"/>
            <w:vAlign w:val="center"/>
          </w:tcPr>
          <w:p w14:paraId="5362B38E">
            <w:pPr>
              <w:jc w:val="center"/>
              <w:rPr>
                <w:rStyle w:val="95"/>
                <w:kern w:val="0"/>
                <w:szCs w:val="21"/>
              </w:rPr>
            </w:pPr>
          </w:p>
        </w:tc>
        <w:tc>
          <w:tcPr>
            <w:tcW w:w="1913" w:type="dxa"/>
            <w:gridSpan w:val="2"/>
            <w:vAlign w:val="center"/>
          </w:tcPr>
          <w:p w14:paraId="2A3A5B62">
            <w:pPr>
              <w:jc w:val="center"/>
              <w:rPr>
                <w:rStyle w:val="95"/>
                <w:kern w:val="0"/>
                <w:szCs w:val="21"/>
              </w:rPr>
            </w:pPr>
            <w:r>
              <w:rPr>
                <w:rStyle w:val="95"/>
                <w:rFonts w:hint="eastAsia"/>
                <w:kern w:val="0"/>
                <w:szCs w:val="21"/>
              </w:rPr>
              <w:t>注册建造师</w:t>
            </w:r>
          </w:p>
        </w:tc>
        <w:tc>
          <w:tcPr>
            <w:tcW w:w="2022" w:type="dxa"/>
            <w:gridSpan w:val="2"/>
            <w:vAlign w:val="center"/>
          </w:tcPr>
          <w:p w14:paraId="147A21AF">
            <w:pPr>
              <w:jc w:val="center"/>
              <w:rPr>
                <w:rStyle w:val="95"/>
                <w:kern w:val="0"/>
                <w:szCs w:val="21"/>
              </w:rPr>
            </w:pPr>
          </w:p>
        </w:tc>
      </w:tr>
      <w:tr w14:paraId="5DFA4E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cantSplit/>
          <w:trHeight w:val="567" w:hRule="exact"/>
          <w:jc w:val="center"/>
        </w:trPr>
        <w:tc>
          <w:tcPr>
            <w:tcW w:w="1528" w:type="dxa"/>
            <w:vAlign w:val="center"/>
          </w:tcPr>
          <w:p w14:paraId="21AA17B4">
            <w:pPr>
              <w:jc w:val="center"/>
              <w:rPr>
                <w:rStyle w:val="95"/>
                <w:kern w:val="0"/>
                <w:szCs w:val="21"/>
              </w:rPr>
            </w:pPr>
            <w:r>
              <w:rPr>
                <w:rStyle w:val="95"/>
                <w:rFonts w:hint="eastAsia"/>
                <w:kern w:val="0"/>
                <w:szCs w:val="21"/>
              </w:rPr>
              <w:t>营业执照号</w:t>
            </w:r>
          </w:p>
        </w:tc>
        <w:tc>
          <w:tcPr>
            <w:tcW w:w="2317" w:type="dxa"/>
            <w:gridSpan w:val="2"/>
            <w:vAlign w:val="center"/>
          </w:tcPr>
          <w:p w14:paraId="0175F30A">
            <w:pPr>
              <w:jc w:val="center"/>
              <w:rPr>
                <w:rStyle w:val="95"/>
                <w:kern w:val="0"/>
                <w:szCs w:val="21"/>
              </w:rPr>
            </w:pPr>
          </w:p>
        </w:tc>
        <w:tc>
          <w:tcPr>
            <w:tcW w:w="1259" w:type="dxa"/>
            <w:vMerge w:val="continue"/>
            <w:vAlign w:val="center"/>
          </w:tcPr>
          <w:p w14:paraId="4F641122">
            <w:pPr>
              <w:jc w:val="center"/>
              <w:rPr>
                <w:rStyle w:val="95"/>
                <w:kern w:val="0"/>
                <w:szCs w:val="21"/>
              </w:rPr>
            </w:pPr>
          </w:p>
        </w:tc>
        <w:tc>
          <w:tcPr>
            <w:tcW w:w="1913" w:type="dxa"/>
            <w:gridSpan w:val="2"/>
            <w:vAlign w:val="center"/>
          </w:tcPr>
          <w:p w14:paraId="434121AE">
            <w:pPr>
              <w:jc w:val="center"/>
              <w:rPr>
                <w:rStyle w:val="95"/>
                <w:kern w:val="0"/>
                <w:szCs w:val="21"/>
              </w:rPr>
            </w:pPr>
            <w:r>
              <w:rPr>
                <w:rStyle w:val="95"/>
                <w:rFonts w:hint="eastAsia"/>
                <w:kern w:val="0"/>
                <w:szCs w:val="21"/>
              </w:rPr>
              <w:t>其他注册</w:t>
            </w:r>
          </w:p>
          <w:p w14:paraId="305F7D0A">
            <w:pPr>
              <w:jc w:val="center"/>
              <w:rPr>
                <w:rStyle w:val="95"/>
                <w:kern w:val="0"/>
                <w:szCs w:val="21"/>
              </w:rPr>
            </w:pPr>
            <w:r>
              <w:rPr>
                <w:rStyle w:val="95"/>
                <w:rFonts w:hint="eastAsia"/>
                <w:kern w:val="0"/>
                <w:szCs w:val="21"/>
              </w:rPr>
              <w:t>执业资格人员</w:t>
            </w:r>
          </w:p>
        </w:tc>
        <w:tc>
          <w:tcPr>
            <w:tcW w:w="2022" w:type="dxa"/>
            <w:gridSpan w:val="2"/>
            <w:vAlign w:val="center"/>
          </w:tcPr>
          <w:p w14:paraId="141693F1">
            <w:pPr>
              <w:jc w:val="center"/>
              <w:rPr>
                <w:rStyle w:val="95"/>
                <w:kern w:val="0"/>
                <w:szCs w:val="21"/>
              </w:rPr>
            </w:pPr>
          </w:p>
        </w:tc>
      </w:tr>
      <w:tr w14:paraId="30A7B4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cantSplit/>
          <w:trHeight w:val="567" w:hRule="exact"/>
          <w:jc w:val="center"/>
        </w:trPr>
        <w:tc>
          <w:tcPr>
            <w:tcW w:w="1528" w:type="dxa"/>
            <w:vAlign w:val="center"/>
          </w:tcPr>
          <w:p w14:paraId="15A939EB">
            <w:pPr>
              <w:jc w:val="center"/>
              <w:rPr>
                <w:rStyle w:val="95"/>
                <w:kern w:val="0"/>
                <w:szCs w:val="21"/>
              </w:rPr>
            </w:pPr>
            <w:r>
              <w:rPr>
                <w:rStyle w:val="95"/>
                <w:rFonts w:hint="eastAsia"/>
                <w:kern w:val="0"/>
                <w:szCs w:val="21"/>
              </w:rPr>
              <w:t>注册资金</w:t>
            </w:r>
          </w:p>
        </w:tc>
        <w:tc>
          <w:tcPr>
            <w:tcW w:w="2317" w:type="dxa"/>
            <w:gridSpan w:val="2"/>
            <w:vAlign w:val="center"/>
          </w:tcPr>
          <w:p w14:paraId="33AAFF59">
            <w:pPr>
              <w:jc w:val="center"/>
              <w:rPr>
                <w:rStyle w:val="95"/>
                <w:kern w:val="0"/>
                <w:szCs w:val="21"/>
              </w:rPr>
            </w:pPr>
          </w:p>
        </w:tc>
        <w:tc>
          <w:tcPr>
            <w:tcW w:w="1259" w:type="dxa"/>
            <w:vMerge w:val="continue"/>
            <w:vAlign w:val="center"/>
          </w:tcPr>
          <w:p w14:paraId="561747B9">
            <w:pPr>
              <w:jc w:val="center"/>
              <w:rPr>
                <w:rStyle w:val="95"/>
                <w:kern w:val="0"/>
                <w:szCs w:val="21"/>
              </w:rPr>
            </w:pPr>
          </w:p>
        </w:tc>
        <w:tc>
          <w:tcPr>
            <w:tcW w:w="1913" w:type="dxa"/>
            <w:gridSpan w:val="2"/>
            <w:vAlign w:val="center"/>
          </w:tcPr>
          <w:p w14:paraId="6BD93002">
            <w:pPr>
              <w:jc w:val="center"/>
              <w:rPr>
                <w:rStyle w:val="95"/>
                <w:kern w:val="0"/>
                <w:szCs w:val="21"/>
              </w:rPr>
            </w:pPr>
            <w:r>
              <w:rPr>
                <w:rStyle w:val="95"/>
                <w:rFonts w:hint="eastAsia"/>
                <w:kern w:val="0"/>
                <w:szCs w:val="21"/>
              </w:rPr>
              <w:t>高级职称人员</w:t>
            </w:r>
          </w:p>
        </w:tc>
        <w:tc>
          <w:tcPr>
            <w:tcW w:w="2022" w:type="dxa"/>
            <w:gridSpan w:val="2"/>
            <w:vAlign w:val="center"/>
          </w:tcPr>
          <w:p w14:paraId="42D948B5">
            <w:pPr>
              <w:jc w:val="center"/>
              <w:rPr>
                <w:rStyle w:val="95"/>
                <w:kern w:val="0"/>
                <w:szCs w:val="21"/>
              </w:rPr>
            </w:pPr>
          </w:p>
        </w:tc>
      </w:tr>
      <w:tr w14:paraId="1860CE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cantSplit/>
          <w:trHeight w:val="567" w:hRule="exact"/>
          <w:jc w:val="center"/>
        </w:trPr>
        <w:tc>
          <w:tcPr>
            <w:tcW w:w="1528" w:type="dxa"/>
            <w:vAlign w:val="center"/>
          </w:tcPr>
          <w:p w14:paraId="25840C6F">
            <w:pPr>
              <w:jc w:val="center"/>
              <w:rPr>
                <w:rStyle w:val="95"/>
                <w:kern w:val="0"/>
                <w:szCs w:val="21"/>
              </w:rPr>
            </w:pPr>
            <w:r>
              <w:rPr>
                <w:rStyle w:val="95"/>
                <w:rFonts w:hint="eastAsia"/>
                <w:kern w:val="0"/>
                <w:szCs w:val="21"/>
              </w:rPr>
              <w:t>基本账户</w:t>
            </w:r>
          </w:p>
          <w:p w14:paraId="6D31DBDE">
            <w:pPr>
              <w:jc w:val="center"/>
              <w:rPr>
                <w:rStyle w:val="95"/>
                <w:kern w:val="0"/>
                <w:szCs w:val="21"/>
              </w:rPr>
            </w:pPr>
            <w:r>
              <w:rPr>
                <w:rStyle w:val="95"/>
                <w:rFonts w:hint="eastAsia"/>
                <w:kern w:val="0"/>
                <w:szCs w:val="21"/>
              </w:rPr>
              <w:t>开户银行</w:t>
            </w:r>
          </w:p>
        </w:tc>
        <w:tc>
          <w:tcPr>
            <w:tcW w:w="2317" w:type="dxa"/>
            <w:gridSpan w:val="2"/>
            <w:vAlign w:val="center"/>
          </w:tcPr>
          <w:p w14:paraId="1352E373">
            <w:pPr>
              <w:jc w:val="center"/>
              <w:rPr>
                <w:rStyle w:val="95"/>
                <w:kern w:val="0"/>
                <w:szCs w:val="21"/>
              </w:rPr>
            </w:pPr>
          </w:p>
        </w:tc>
        <w:tc>
          <w:tcPr>
            <w:tcW w:w="1259" w:type="dxa"/>
            <w:vMerge w:val="continue"/>
            <w:vAlign w:val="center"/>
          </w:tcPr>
          <w:p w14:paraId="732B542B">
            <w:pPr>
              <w:jc w:val="center"/>
              <w:rPr>
                <w:rStyle w:val="95"/>
                <w:kern w:val="0"/>
                <w:szCs w:val="21"/>
              </w:rPr>
            </w:pPr>
          </w:p>
        </w:tc>
        <w:tc>
          <w:tcPr>
            <w:tcW w:w="1913" w:type="dxa"/>
            <w:gridSpan w:val="2"/>
            <w:vAlign w:val="center"/>
          </w:tcPr>
          <w:p w14:paraId="652E27C1">
            <w:pPr>
              <w:jc w:val="center"/>
              <w:rPr>
                <w:rStyle w:val="95"/>
                <w:kern w:val="0"/>
                <w:szCs w:val="21"/>
              </w:rPr>
            </w:pPr>
            <w:r>
              <w:rPr>
                <w:rStyle w:val="95"/>
                <w:rFonts w:hint="eastAsia"/>
                <w:kern w:val="0"/>
                <w:szCs w:val="21"/>
              </w:rPr>
              <w:t>中级职称人员</w:t>
            </w:r>
          </w:p>
        </w:tc>
        <w:tc>
          <w:tcPr>
            <w:tcW w:w="2022" w:type="dxa"/>
            <w:gridSpan w:val="2"/>
            <w:vAlign w:val="center"/>
          </w:tcPr>
          <w:p w14:paraId="06DC6F8C">
            <w:pPr>
              <w:jc w:val="center"/>
              <w:rPr>
                <w:rStyle w:val="95"/>
                <w:kern w:val="0"/>
                <w:szCs w:val="21"/>
              </w:rPr>
            </w:pPr>
          </w:p>
        </w:tc>
      </w:tr>
      <w:tr w14:paraId="22251F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cantSplit/>
          <w:trHeight w:val="567" w:hRule="exact"/>
          <w:jc w:val="center"/>
        </w:trPr>
        <w:tc>
          <w:tcPr>
            <w:tcW w:w="1528" w:type="dxa"/>
            <w:vAlign w:val="center"/>
          </w:tcPr>
          <w:p w14:paraId="215F57F0">
            <w:pPr>
              <w:jc w:val="center"/>
              <w:rPr>
                <w:rStyle w:val="95"/>
                <w:kern w:val="0"/>
                <w:szCs w:val="21"/>
              </w:rPr>
            </w:pPr>
            <w:r>
              <w:rPr>
                <w:rStyle w:val="95"/>
                <w:rFonts w:hint="eastAsia"/>
                <w:kern w:val="0"/>
                <w:szCs w:val="21"/>
              </w:rPr>
              <w:t>基本账户账号</w:t>
            </w:r>
          </w:p>
        </w:tc>
        <w:tc>
          <w:tcPr>
            <w:tcW w:w="2317" w:type="dxa"/>
            <w:gridSpan w:val="2"/>
            <w:vAlign w:val="center"/>
          </w:tcPr>
          <w:p w14:paraId="72CEE4F8">
            <w:pPr>
              <w:jc w:val="center"/>
              <w:rPr>
                <w:rStyle w:val="95"/>
                <w:kern w:val="0"/>
                <w:szCs w:val="21"/>
              </w:rPr>
            </w:pPr>
          </w:p>
        </w:tc>
        <w:tc>
          <w:tcPr>
            <w:tcW w:w="1259" w:type="dxa"/>
            <w:vMerge w:val="continue"/>
            <w:vAlign w:val="center"/>
          </w:tcPr>
          <w:p w14:paraId="40C2249D">
            <w:pPr>
              <w:jc w:val="center"/>
              <w:rPr>
                <w:rStyle w:val="95"/>
                <w:kern w:val="0"/>
                <w:szCs w:val="21"/>
              </w:rPr>
            </w:pPr>
          </w:p>
        </w:tc>
        <w:tc>
          <w:tcPr>
            <w:tcW w:w="1913" w:type="dxa"/>
            <w:gridSpan w:val="2"/>
            <w:vAlign w:val="center"/>
          </w:tcPr>
          <w:p w14:paraId="74FA3F7E">
            <w:pPr>
              <w:jc w:val="center"/>
              <w:rPr>
                <w:rStyle w:val="95"/>
                <w:kern w:val="0"/>
                <w:szCs w:val="21"/>
              </w:rPr>
            </w:pPr>
            <w:r>
              <w:rPr>
                <w:rStyle w:val="95"/>
                <w:rFonts w:hint="eastAsia"/>
                <w:kern w:val="0"/>
                <w:szCs w:val="21"/>
              </w:rPr>
              <w:t>初级职称人员</w:t>
            </w:r>
          </w:p>
        </w:tc>
        <w:tc>
          <w:tcPr>
            <w:tcW w:w="2022" w:type="dxa"/>
            <w:gridSpan w:val="2"/>
            <w:vAlign w:val="center"/>
          </w:tcPr>
          <w:p w14:paraId="36220C4E">
            <w:pPr>
              <w:jc w:val="center"/>
              <w:rPr>
                <w:rStyle w:val="95"/>
                <w:kern w:val="0"/>
                <w:szCs w:val="21"/>
              </w:rPr>
            </w:pPr>
          </w:p>
        </w:tc>
      </w:tr>
      <w:tr w14:paraId="7ABD34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cantSplit/>
          <w:trHeight w:val="567" w:hRule="exact"/>
          <w:jc w:val="center"/>
        </w:trPr>
        <w:tc>
          <w:tcPr>
            <w:tcW w:w="1528" w:type="dxa"/>
            <w:vAlign w:val="center"/>
          </w:tcPr>
          <w:p w14:paraId="5F56084E">
            <w:pPr>
              <w:jc w:val="center"/>
              <w:rPr>
                <w:rStyle w:val="95"/>
                <w:kern w:val="0"/>
                <w:szCs w:val="21"/>
              </w:rPr>
            </w:pPr>
          </w:p>
        </w:tc>
        <w:tc>
          <w:tcPr>
            <w:tcW w:w="2317" w:type="dxa"/>
            <w:gridSpan w:val="2"/>
            <w:vAlign w:val="center"/>
          </w:tcPr>
          <w:p w14:paraId="2DFD6C2B">
            <w:pPr>
              <w:jc w:val="center"/>
              <w:rPr>
                <w:rStyle w:val="95"/>
                <w:kern w:val="0"/>
                <w:szCs w:val="21"/>
              </w:rPr>
            </w:pPr>
          </w:p>
        </w:tc>
        <w:tc>
          <w:tcPr>
            <w:tcW w:w="1259" w:type="dxa"/>
            <w:vMerge w:val="continue"/>
            <w:vAlign w:val="center"/>
          </w:tcPr>
          <w:p w14:paraId="15A596CB">
            <w:pPr>
              <w:jc w:val="center"/>
              <w:rPr>
                <w:rStyle w:val="95"/>
                <w:kern w:val="0"/>
                <w:szCs w:val="21"/>
              </w:rPr>
            </w:pPr>
          </w:p>
        </w:tc>
        <w:tc>
          <w:tcPr>
            <w:tcW w:w="1913" w:type="dxa"/>
            <w:gridSpan w:val="2"/>
            <w:vAlign w:val="center"/>
          </w:tcPr>
          <w:p w14:paraId="34B6658D">
            <w:pPr>
              <w:tabs>
                <w:tab w:val="left" w:pos="1240"/>
              </w:tabs>
              <w:spacing w:before="98"/>
              <w:jc w:val="center"/>
              <w:rPr>
                <w:rStyle w:val="95"/>
                <w:kern w:val="0"/>
                <w:szCs w:val="21"/>
              </w:rPr>
            </w:pPr>
            <w:r>
              <w:rPr>
                <w:rStyle w:val="95"/>
                <w:rFonts w:hint="eastAsia"/>
                <w:kern w:val="0"/>
                <w:szCs w:val="21"/>
              </w:rPr>
              <w:t>技工</w:t>
            </w:r>
          </w:p>
        </w:tc>
        <w:tc>
          <w:tcPr>
            <w:tcW w:w="2022" w:type="dxa"/>
            <w:gridSpan w:val="2"/>
            <w:vAlign w:val="center"/>
          </w:tcPr>
          <w:p w14:paraId="0B522DE5">
            <w:pPr>
              <w:jc w:val="center"/>
              <w:rPr>
                <w:rStyle w:val="95"/>
                <w:kern w:val="0"/>
                <w:szCs w:val="21"/>
              </w:rPr>
            </w:pPr>
          </w:p>
        </w:tc>
      </w:tr>
      <w:tr w14:paraId="0C8F1A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024" w:hRule="exact"/>
          <w:jc w:val="center"/>
        </w:trPr>
        <w:tc>
          <w:tcPr>
            <w:tcW w:w="1528" w:type="dxa"/>
            <w:vAlign w:val="center"/>
          </w:tcPr>
          <w:p w14:paraId="2844DCF1">
            <w:pPr>
              <w:jc w:val="center"/>
              <w:rPr>
                <w:rStyle w:val="95"/>
                <w:kern w:val="0"/>
                <w:szCs w:val="21"/>
              </w:rPr>
            </w:pPr>
            <w:r>
              <w:rPr>
                <w:rStyle w:val="95"/>
                <w:rFonts w:hint="eastAsia"/>
                <w:kern w:val="0"/>
                <w:szCs w:val="21"/>
              </w:rPr>
              <w:t>经营范围</w:t>
            </w:r>
          </w:p>
        </w:tc>
        <w:tc>
          <w:tcPr>
            <w:tcW w:w="7511" w:type="dxa"/>
            <w:gridSpan w:val="7"/>
            <w:vAlign w:val="center"/>
          </w:tcPr>
          <w:p w14:paraId="788703C4">
            <w:pPr>
              <w:jc w:val="center"/>
              <w:rPr>
                <w:rStyle w:val="95"/>
                <w:kern w:val="0"/>
                <w:szCs w:val="21"/>
              </w:rPr>
            </w:pPr>
          </w:p>
        </w:tc>
      </w:tr>
      <w:tr w14:paraId="317811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080" w:hRule="exact"/>
          <w:jc w:val="center"/>
        </w:trPr>
        <w:tc>
          <w:tcPr>
            <w:tcW w:w="1528" w:type="dxa"/>
            <w:vAlign w:val="center"/>
          </w:tcPr>
          <w:p w14:paraId="7E3E6F41">
            <w:pPr>
              <w:jc w:val="center"/>
              <w:rPr>
                <w:rStyle w:val="95"/>
                <w:kern w:val="0"/>
                <w:szCs w:val="21"/>
              </w:rPr>
            </w:pPr>
            <w:r>
              <w:rPr>
                <w:rStyle w:val="95"/>
                <w:rFonts w:hint="eastAsia"/>
                <w:kern w:val="0"/>
                <w:szCs w:val="21"/>
              </w:rPr>
              <w:t>资产构成情况及</w:t>
            </w:r>
          </w:p>
          <w:p w14:paraId="4006B724">
            <w:pPr>
              <w:jc w:val="center"/>
              <w:rPr>
                <w:rStyle w:val="95"/>
                <w:kern w:val="0"/>
                <w:szCs w:val="21"/>
              </w:rPr>
            </w:pPr>
            <w:r>
              <w:rPr>
                <w:rStyle w:val="95"/>
                <w:rFonts w:hint="eastAsia"/>
                <w:kern w:val="0"/>
                <w:szCs w:val="21"/>
              </w:rPr>
              <w:t>投标人投资参股</w:t>
            </w:r>
          </w:p>
          <w:p w14:paraId="2C30D564">
            <w:pPr>
              <w:jc w:val="center"/>
              <w:rPr>
                <w:rStyle w:val="95"/>
                <w:kern w:val="0"/>
                <w:szCs w:val="21"/>
              </w:rPr>
            </w:pPr>
            <w:r>
              <w:rPr>
                <w:rStyle w:val="95"/>
                <w:rFonts w:hint="eastAsia"/>
                <w:kern w:val="0"/>
                <w:szCs w:val="21"/>
              </w:rPr>
              <w:t>的关联企业情况</w:t>
            </w:r>
          </w:p>
          <w:p w14:paraId="7CBD4849">
            <w:pPr>
              <w:jc w:val="center"/>
              <w:rPr>
                <w:rStyle w:val="95"/>
                <w:kern w:val="0"/>
                <w:szCs w:val="21"/>
              </w:rPr>
            </w:pPr>
            <w:r>
              <w:rPr>
                <w:rStyle w:val="95"/>
                <w:rFonts w:hint="eastAsia"/>
                <w:kern w:val="0"/>
                <w:szCs w:val="21"/>
              </w:rPr>
              <w:t>母子公司情况</w:t>
            </w:r>
          </w:p>
        </w:tc>
        <w:tc>
          <w:tcPr>
            <w:tcW w:w="7511" w:type="dxa"/>
            <w:gridSpan w:val="7"/>
            <w:vAlign w:val="center"/>
          </w:tcPr>
          <w:p w14:paraId="44574F68">
            <w:pPr>
              <w:jc w:val="center"/>
              <w:rPr>
                <w:rStyle w:val="95"/>
                <w:kern w:val="0"/>
                <w:szCs w:val="21"/>
              </w:rPr>
            </w:pPr>
          </w:p>
        </w:tc>
      </w:tr>
      <w:tr w14:paraId="2BDC32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67" w:hRule="exact"/>
          <w:jc w:val="center"/>
        </w:trPr>
        <w:tc>
          <w:tcPr>
            <w:tcW w:w="1528" w:type="dxa"/>
            <w:vAlign w:val="center"/>
          </w:tcPr>
          <w:p w14:paraId="7828F847">
            <w:pPr>
              <w:jc w:val="center"/>
              <w:rPr>
                <w:rStyle w:val="95"/>
                <w:kern w:val="0"/>
                <w:szCs w:val="21"/>
              </w:rPr>
            </w:pPr>
            <w:r>
              <w:rPr>
                <w:rStyle w:val="95"/>
                <w:rFonts w:hint="eastAsia"/>
                <w:kern w:val="0"/>
                <w:szCs w:val="21"/>
              </w:rPr>
              <w:t>备</w:t>
            </w:r>
            <w:r>
              <w:rPr>
                <w:rStyle w:val="95"/>
                <w:kern w:val="0"/>
                <w:szCs w:val="21"/>
              </w:rPr>
              <w:t xml:space="preserve">    </w:t>
            </w:r>
            <w:r>
              <w:rPr>
                <w:rStyle w:val="95"/>
                <w:rFonts w:hint="eastAsia"/>
                <w:kern w:val="0"/>
                <w:szCs w:val="21"/>
              </w:rPr>
              <w:t>注</w:t>
            </w:r>
          </w:p>
        </w:tc>
        <w:tc>
          <w:tcPr>
            <w:tcW w:w="7511" w:type="dxa"/>
            <w:gridSpan w:val="7"/>
            <w:vAlign w:val="center"/>
          </w:tcPr>
          <w:p w14:paraId="2A67DE9B">
            <w:pPr>
              <w:jc w:val="center"/>
              <w:rPr>
                <w:rStyle w:val="95"/>
                <w:kern w:val="0"/>
                <w:szCs w:val="21"/>
              </w:rPr>
            </w:pPr>
          </w:p>
        </w:tc>
      </w:tr>
    </w:tbl>
    <w:p w14:paraId="279BC4AD">
      <w:pPr>
        <w:spacing w:before="120" w:line="360" w:lineRule="auto"/>
        <w:rPr>
          <w:rStyle w:val="95"/>
          <w:szCs w:val="21"/>
        </w:rPr>
      </w:pPr>
      <w:r>
        <w:rPr>
          <w:rStyle w:val="95"/>
          <w:rFonts w:hint="eastAsia"/>
          <w:szCs w:val="21"/>
        </w:rPr>
        <w:t>投标人（盖</w:t>
      </w:r>
      <w:r>
        <w:rPr>
          <w:rStyle w:val="95"/>
          <w:szCs w:val="21"/>
        </w:rPr>
        <w:t xml:space="preserve"> </w:t>
      </w:r>
      <w:r>
        <w:rPr>
          <w:rStyle w:val="95"/>
          <w:rFonts w:hint="eastAsia"/>
          <w:szCs w:val="21"/>
        </w:rPr>
        <w:t>章）：</w:t>
      </w:r>
    </w:p>
    <w:p w14:paraId="343A0682">
      <w:pPr>
        <w:spacing w:line="360" w:lineRule="auto"/>
        <w:rPr>
          <w:rStyle w:val="95"/>
          <w:szCs w:val="21"/>
        </w:rPr>
      </w:pPr>
      <w:r>
        <w:rPr>
          <w:rStyle w:val="95"/>
          <w:rFonts w:hint="eastAsia"/>
          <w:szCs w:val="21"/>
        </w:rPr>
        <w:t>法定代表人或授权代理人（签</w:t>
      </w:r>
      <w:r>
        <w:rPr>
          <w:rStyle w:val="95"/>
          <w:szCs w:val="21"/>
        </w:rPr>
        <w:t xml:space="preserve"> </w:t>
      </w:r>
      <w:r>
        <w:rPr>
          <w:rStyle w:val="95"/>
          <w:rFonts w:hint="eastAsia"/>
          <w:szCs w:val="21"/>
        </w:rPr>
        <w:t>字）：</w:t>
      </w:r>
    </w:p>
    <w:p w14:paraId="2771850E">
      <w:pPr>
        <w:spacing w:line="360" w:lineRule="auto"/>
        <w:ind w:left="412" w:leftChars="-4" w:hanging="420" w:hangingChars="200"/>
        <w:rPr>
          <w:rStyle w:val="95"/>
          <w:szCs w:val="21"/>
        </w:rPr>
      </w:pPr>
    </w:p>
    <w:p w14:paraId="78322459">
      <w:pPr>
        <w:spacing w:line="360" w:lineRule="auto"/>
        <w:ind w:left="412" w:leftChars="-4" w:hanging="420" w:hangingChars="200"/>
        <w:rPr>
          <w:rStyle w:val="95"/>
          <w:sz w:val="24"/>
        </w:rPr>
      </w:pPr>
      <w:r>
        <w:rPr>
          <w:rStyle w:val="95"/>
          <w:rFonts w:hint="eastAsia"/>
          <w:szCs w:val="21"/>
        </w:rPr>
        <w:t>注：在本表后附招标文件所要求的所有资格证件的</w:t>
      </w:r>
      <w:r>
        <w:rPr>
          <w:rFonts w:hint="eastAsia"/>
        </w:rPr>
        <w:t>扫描</w:t>
      </w:r>
      <w:r>
        <w:rPr>
          <w:rStyle w:val="95"/>
          <w:rFonts w:hint="eastAsia"/>
          <w:szCs w:val="21"/>
        </w:rPr>
        <w:t>件并加盖公章。</w:t>
      </w:r>
    </w:p>
    <w:p w14:paraId="7B166FA6">
      <w:pPr>
        <w:pStyle w:val="608"/>
        <w:spacing w:line="900" w:lineRule="exact"/>
        <w:jc w:val="center"/>
        <w:rPr>
          <w:rStyle w:val="95"/>
          <w:rFonts w:ascii="Times New Roman" w:hAnsi="Times New Roman"/>
          <w:b/>
          <w:sz w:val="28"/>
          <w:szCs w:val="28"/>
        </w:rPr>
      </w:pPr>
      <w:r>
        <w:rPr>
          <w:rStyle w:val="95"/>
          <w:rFonts w:hint="eastAsia" w:ascii="Times New Roman" w:hAnsi="Times New Roman"/>
          <w:b/>
          <w:sz w:val="28"/>
          <w:szCs w:val="28"/>
        </w:rPr>
        <w:t>二、投标人企业组织结构框图</w:t>
      </w:r>
    </w:p>
    <w:tbl>
      <w:tblPr>
        <w:tblStyle w:val="45"/>
        <w:tblW w:w="900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006"/>
      </w:tblGrid>
      <w:tr w14:paraId="09B50B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97" w:hRule="atLeast"/>
          <w:jc w:val="center"/>
        </w:trPr>
        <w:tc>
          <w:tcPr>
            <w:tcW w:w="9006" w:type="dxa"/>
          </w:tcPr>
          <w:p w14:paraId="3242E385">
            <w:pPr>
              <w:rPr>
                <w:rStyle w:val="95"/>
                <w:szCs w:val="21"/>
              </w:rPr>
            </w:pPr>
          </w:p>
          <w:p w14:paraId="7F1AA350">
            <w:pPr>
              <w:spacing w:before="120"/>
              <w:ind w:firstLine="210" w:firstLineChars="100"/>
              <w:rPr>
                <w:rStyle w:val="95"/>
                <w:szCs w:val="21"/>
              </w:rPr>
            </w:pPr>
            <w:r>
              <w:rPr>
                <w:rStyle w:val="95"/>
                <w:rFonts w:hint="eastAsia"/>
                <w:szCs w:val="21"/>
              </w:rPr>
              <w:t>以框图方式表示。</w:t>
            </w:r>
          </w:p>
        </w:tc>
      </w:tr>
      <w:tr w14:paraId="210143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2" w:hRule="atLeast"/>
          <w:jc w:val="center"/>
        </w:trPr>
        <w:tc>
          <w:tcPr>
            <w:tcW w:w="9006" w:type="dxa"/>
          </w:tcPr>
          <w:p w14:paraId="7652B0A5">
            <w:pPr>
              <w:spacing w:before="120"/>
              <w:ind w:firstLine="210" w:firstLineChars="100"/>
              <w:rPr>
                <w:rStyle w:val="95"/>
                <w:szCs w:val="21"/>
              </w:rPr>
            </w:pPr>
            <w:r>
              <w:rPr>
                <w:rStyle w:val="95"/>
                <w:rFonts w:hint="eastAsia"/>
                <w:szCs w:val="21"/>
              </w:rPr>
              <w:t>说明：</w:t>
            </w:r>
          </w:p>
          <w:p w14:paraId="7C900E61">
            <w:pPr>
              <w:ind w:firstLine="210" w:firstLineChars="100"/>
              <w:rPr>
                <w:rStyle w:val="95"/>
                <w:szCs w:val="21"/>
              </w:rPr>
            </w:pPr>
          </w:p>
          <w:p w14:paraId="129E43FD">
            <w:pPr>
              <w:ind w:firstLine="210" w:firstLineChars="100"/>
              <w:rPr>
                <w:rStyle w:val="95"/>
                <w:szCs w:val="21"/>
              </w:rPr>
            </w:pPr>
          </w:p>
        </w:tc>
      </w:tr>
    </w:tbl>
    <w:p w14:paraId="31261625">
      <w:pPr>
        <w:jc w:val="center"/>
        <w:rPr>
          <w:rStyle w:val="95"/>
          <w:sz w:val="24"/>
        </w:rPr>
      </w:pPr>
    </w:p>
    <w:p w14:paraId="005765E6">
      <w:pPr>
        <w:spacing w:line="400" w:lineRule="exact"/>
        <w:rPr>
          <w:rStyle w:val="95"/>
        </w:rPr>
      </w:pPr>
      <w:r>
        <w:rPr>
          <w:rStyle w:val="95"/>
          <w:rFonts w:hint="eastAsia"/>
        </w:rPr>
        <w:t>投标人（盖章）：</w:t>
      </w:r>
    </w:p>
    <w:p w14:paraId="7026086E">
      <w:pPr>
        <w:spacing w:line="400" w:lineRule="exact"/>
        <w:rPr>
          <w:rStyle w:val="95"/>
          <w:sz w:val="24"/>
        </w:rPr>
      </w:pPr>
      <w:r>
        <w:rPr>
          <w:rStyle w:val="95"/>
          <w:rFonts w:hint="eastAsia"/>
        </w:rPr>
        <w:t>法定代表人或授权代理人（签字）：</w:t>
      </w:r>
      <w:r>
        <w:rPr>
          <w:rStyle w:val="95"/>
          <w:sz w:val="24"/>
        </w:rPr>
        <w:br w:type="page"/>
      </w:r>
    </w:p>
    <w:p w14:paraId="3EF98D57">
      <w:pPr>
        <w:jc w:val="center"/>
        <w:rPr>
          <w:rStyle w:val="95"/>
          <w:sz w:val="24"/>
        </w:rPr>
      </w:pPr>
    </w:p>
    <w:p w14:paraId="269B242F">
      <w:pPr>
        <w:pStyle w:val="608"/>
        <w:spacing w:line="600" w:lineRule="exact"/>
        <w:jc w:val="center"/>
        <w:rPr>
          <w:rStyle w:val="95"/>
          <w:rFonts w:ascii="Times New Roman" w:hAnsi="Times New Roman"/>
          <w:b/>
          <w:sz w:val="28"/>
          <w:szCs w:val="28"/>
        </w:rPr>
      </w:pPr>
      <w:r>
        <w:rPr>
          <w:rStyle w:val="95"/>
          <w:rFonts w:hint="eastAsia" w:ascii="Times New Roman" w:hAnsi="Times New Roman"/>
          <w:b/>
          <w:sz w:val="28"/>
          <w:szCs w:val="28"/>
        </w:rPr>
        <w:t>项目管理机构</w:t>
      </w:r>
    </w:p>
    <w:tbl>
      <w:tblPr>
        <w:tblStyle w:val="45"/>
        <w:tblW w:w="8980"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980"/>
      </w:tblGrid>
      <w:tr w14:paraId="073E64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984" w:hRule="atLeast"/>
          <w:jc w:val="center"/>
        </w:trPr>
        <w:tc>
          <w:tcPr>
            <w:tcW w:w="8980" w:type="dxa"/>
          </w:tcPr>
          <w:p w14:paraId="5D915B61">
            <w:pPr>
              <w:rPr>
                <w:rStyle w:val="95"/>
                <w:szCs w:val="21"/>
              </w:rPr>
            </w:pPr>
          </w:p>
          <w:p w14:paraId="2E466CDE">
            <w:pPr>
              <w:rPr>
                <w:rStyle w:val="95"/>
                <w:szCs w:val="21"/>
              </w:rPr>
            </w:pPr>
            <w:r>
              <w:rPr>
                <w:rStyle w:val="95"/>
                <w:rFonts w:hint="eastAsia"/>
                <w:szCs w:val="21"/>
              </w:rPr>
              <w:t>拟为承包本工程设立的组织机构以框图方式表示，说明各部门各岗位负责人的姓名。</w:t>
            </w:r>
          </w:p>
        </w:tc>
      </w:tr>
      <w:tr w14:paraId="294FF4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487" w:hRule="atLeast"/>
          <w:jc w:val="center"/>
        </w:trPr>
        <w:tc>
          <w:tcPr>
            <w:tcW w:w="8980" w:type="dxa"/>
          </w:tcPr>
          <w:p w14:paraId="73622D62">
            <w:pPr>
              <w:rPr>
                <w:rStyle w:val="95"/>
                <w:szCs w:val="21"/>
              </w:rPr>
            </w:pPr>
          </w:p>
          <w:p w14:paraId="5850C95A">
            <w:pPr>
              <w:ind w:firstLine="210" w:firstLineChars="100"/>
              <w:rPr>
                <w:rStyle w:val="95"/>
                <w:szCs w:val="21"/>
              </w:rPr>
            </w:pPr>
            <w:r>
              <w:rPr>
                <w:rStyle w:val="95"/>
                <w:rFonts w:hint="eastAsia"/>
                <w:szCs w:val="21"/>
              </w:rPr>
              <w:t>说明：</w:t>
            </w:r>
          </w:p>
        </w:tc>
      </w:tr>
    </w:tbl>
    <w:p w14:paraId="26381522">
      <w:pPr>
        <w:ind w:firstLine="480" w:firstLineChars="200"/>
        <w:rPr>
          <w:rStyle w:val="95"/>
          <w:sz w:val="24"/>
        </w:rPr>
      </w:pPr>
    </w:p>
    <w:p w14:paraId="1BF13A54">
      <w:pPr>
        <w:spacing w:line="400" w:lineRule="exact"/>
        <w:rPr>
          <w:rStyle w:val="95"/>
        </w:rPr>
      </w:pPr>
      <w:r>
        <w:rPr>
          <w:rStyle w:val="95"/>
          <w:rFonts w:hint="eastAsia"/>
        </w:rPr>
        <w:t>投标人（盖章）：</w:t>
      </w:r>
    </w:p>
    <w:p w14:paraId="536C2EAE">
      <w:pPr>
        <w:spacing w:line="400" w:lineRule="exact"/>
        <w:rPr>
          <w:rStyle w:val="95"/>
        </w:rPr>
      </w:pPr>
      <w:r>
        <w:rPr>
          <w:rStyle w:val="95"/>
          <w:rFonts w:hint="eastAsia"/>
        </w:rPr>
        <w:t>法定代表人或授权代理人（签字）：</w:t>
      </w:r>
    </w:p>
    <w:p w14:paraId="067EAAF8">
      <w:pPr>
        <w:pStyle w:val="608"/>
        <w:spacing w:after="120" w:line="900" w:lineRule="exact"/>
        <w:jc w:val="center"/>
        <w:rPr>
          <w:rStyle w:val="95"/>
          <w:rFonts w:ascii="Times New Roman" w:hAnsi="Times New Roman"/>
          <w:b/>
          <w:sz w:val="28"/>
          <w:szCs w:val="28"/>
        </w:rPr>
      </w:pPr>
      <w:r>
        <w:rPr>
          <w:rStyle w:val="95"/>
          <w:rFonts w:ascii="Times New Roman" w:hAnsi="Times New Roman"/>
          <w:b/>
          <w:sz w:val="30"/>
          <w:szCs w:val="30"/>
        </w:rPr>
        <w:br w:type="page"/>
      </w:r>
      <w:r>
        <w:rPr>
          <w:rStyle w:val="95"/>
          <w:rFonts w:hint="eastAsia" w:ascii="Times New Roman" w:hAnsi="Times New Roman"/>
          <w:b/>
          <w:sz w:val="28"/>
          <w:szCs w:val="28"/>
        </w:rPr>
        <w:t>三、拟委任的项目经理、项目</w:t>
      </w:r>
      <w:r>
        <w:rPr>
          <w:rStyle w:val="95"/>
          <w:rFonts w:hint="eastAsia" w:ascii="Times New Roman" w:hAnsi="Times New Roman"/>
          <w:b/>
          <w:sz w:val="28"/>
          <w:szCs w:val="28"/>
          <w:lang w:eastAsia="zh-CN"/>
        </w:rPr>
        <w:t>技术负责人</w:t>
      </w:r>
      <w:r>
        <w:rPr>
          <w:rStyle w:val="95"/>
          <w:rFonts w:hint="eastAsia" w:ascii="Times New Roman" w:hAnsi="Times New Roman"/>
          <w:b/>
          <w:sz w:val="28"/>
          <w:szCs w:val="28"/>
        </w:rPr>
        <w:t>资历表</w:t>
      </w:r>
    </w:p>
    <w:tbl>
      <w:tblPr>
        <w:tblStyle w:val="45"/>
        <w:tblW w:w="996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00"/>
        <w:gridCol w:w="1700"/>
        <w:gridCol w:w="1567"/>
        <w:gridCol w:w="890"/>
        <w:gridCol w:w="637"/>
        <w:gridCol w:w="801"/>
        <w:gridCol w:w="1440"/>
        <w:gridCol w:w="1528"/>
      </w:tblGrid>
      <w:tr w14:paraId="591670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0" w:hRule="atLeast"/>
          <w:jc w:val="center"/>
        </w:trPr>
        <w:tc>
          <w:tcPr>
            <w:tcW w:w="1400" w:type="dxa"/>
            <w:vAlign w:val="center"/>
          </w:tcPr>
          <w:p w14:paraId="4E39BC06">
            <w:pPr>
              <w:tabs>
                <w:tab w:val="left" w:pos="680"/>
              </w:tabs>
              <w:spacing w:before="73"/>
              <w:jc w:val="center"/>
              <w:rPr>
                <w:rStyle w:val="95"/>
                <w:kern w:val="0"/>
                <w:szCs w:val="21"/>
              </w:rPr>
            </w:pPr>
            <w:r>
              <w:rPr>
                <w:rStyle w:val="95"/>
                <w:rFonts w:hint="eastAsia"/>
                <w:kern w:val="0"/>
                <w:szCs w:val="21"/>
              </w:rPr>
              <w:t>姓</w:t>
            </w:r>
            <w:r>
              <w:rPr>
                <w:rStyle w:val="95"/>
                <w:kern w:val="0"/>
                <w:szCs w:val="21"/>
              </w:rPr>
              <w:tab/>
            </w:r>
            <w:r>
              <w:rPr>
                <w:rStyle w:val="95"/>
                <w:rFonts w:hint="eastAsia"/>
                <w:kern w:val="0"/>
                <w:szCs w:val="21"/>
              </w:rPr>
              <w:t>名</w:t>
            </w:r>
          </w:p>
        </w:tc>
        <w:tc>
          <w:tcPr>
            <w:tcW w:w="1700" w:type="dxa"/>
            <w:vAlign w:val="center"/>
          </w:tcPr>
          <w:p w14:paraId="4DFFEB73">
            <w:pPr>
              <w:jc w:val="center"/>
              <w:rPr>
                <w:rStyle w:val="95"/>
                <w:kern w:val="0"/>
                <w:szCs w:val="21"/>
              </w:rPr>
            </w:pPr>
          </w:p>
        </w:tc>
        <w:tc>
          <w:tcPr>
            <w:tcW w:w="1567" w:type="dxa"/>
            <w:vAlign w:val="center"/>
          </w:tcPr>
          <w:p w14:paraId="46702299">
            <w:pPr>
              <w:spacing w:before="73"/>
              <w:jc w:val="center"/>
              <w:rPr>
                <w:rStyle w:val="95"/>
                <w:kern w:val="0"/>
                <w:szCs w:val="21"/>
              </w:rPr>
            </w:pPr>
            <w:r>
              <w:rPr>
                <w:rStyle w:val="95"/>
                <w:rFonts w:hint="eastAsia"/>
                <w:kern w:val="0"/>
                <w:szCs w:val="21"/>
              </w:rPr>
              <w:t>年</w:t>
            </w:r>
            <w:r>
              <w:rPr>
                <w:rStyle w:val="95"/>
                <w:kern w:val="0"/>
                <w:szCs w:val="21"/>
              </w:rPr>
              <w:t xml:space="preserve">  </w:t>
            </w:r>
            <w:r>
              <w:rPr>
                <w:rStyle w:val="95"/>
                <w:rFonts w:hint="eastAsia"/>
                <w:kern w:val="0"/>
                <w:szCs w:val="21"/>
              </w:rPr>
              <w:t>龄</w:t>
            </w:r>
          </w:p>
        </w:tc>
        <w:tc>
          <w:tcPr>
            <w:tcW w:w="1527" w:type="dxa"/>
            <w:gridSpan w:val="2"/>
            <w:vAlign w:val="center"/>
          </w:tcPr>
          <w:p w14:paraId="7B70EC9C">
            <w:pPr>
              <w:jc w:val="center"/>
              <w:rPr>
                <w:rStyle w:val="95"/>
                <w:kern w:val="0"/>
                <w:szCs w:val="21"/>
              </w:rPr>
            </w:pPr>
          </w:p>
        </w:tc>
        <w:tc>
          <w:tcPr>
            <w:tcW w:w="2241" w:type="dxa"/>
            <w:gridSpan w:val="2"/>
            <w:vAlign w:val="center"/>
          </w:tcPr>
          <w:p w14:paraId="73B534EB">
            <w:pPr>
              <w:spacing w:before="73"/>
              <w:jc w:val="center"/>
              <w:rPr>
                <w:rStyle w:val="95"/>
                <w:kern w:val="0"/>
                <w:szCs w:val="21"/>
              </w:rPr>
            </w:pPr>
            <w:r>
              <w:rPr>
                <w:rStyle w:val="95"/>
                <w:rFonts w:hint="eastAsia"/>
                <w:kern w:val="0"/>
                <w:szCs w:val="21"/>
              </w:rPr>
              <w:t>专</w:t>
            </w:r>
            <w:r>
              <w:rPr>
                <w:rStyle w:val="95"/>
                <w:kern w:val="0"/>
                <w:szCs w:val="21"/>
              </w:rPr>
              <w:t xml:space="preserve">  </w:t>
            </w:r>
            <w:r>
              <w:rPr>
                <w:rStyle w:val="95"/>
                <w:rFonts w:hint="eastAsia"/>
                <w:kern w:val="0"/>
                <w:szCs w:val="21"/>
              </w:rPr>
              <w:t>业</w:t>
            </w:r>
          </w:p>
        </w:tc>
        <w:tc>
          <w:tcPr>
            <w:tcW w:w="1528" w:type="dxa"/>
            <w:vAlign w:val="center"/>
          </w:tcPr>
          <w:p w14:paraId="2E3887E5">
            <w:pPr>
              <w:jc w:val="center"/>
              <w:rPr>
                <w:rStyle w:val="95"/>
                <w:szCs w:val="21"/>
              </w:rPr>
            </w:pPr>
          </w:p>
        </w:tc>
      </w:tr>
      <w:tr w14:paraId="226245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0" w:hRule="atLeast"/>
          <w:jc w:val="center"/>
        </w:trPr>
        <w:tc>
          <w:tcPr>
            <w:tcW w:w="1400" w:type="dxa"/>
            <w:vAlign w:val="center"/>
          </w:tcPr>
          <w:p w14:paraId="5EFB8592">
            <w:pPr>
              <w:tabs>
                <w:tab w:val="left" w:pos="680"/>
              </w:tabs>
              <w:spacing w:before="73"/>
              <w:jc w:val="center"/>
              <w:rPr>
                <w:rStyle w:val="95"/>
                <w:kern w:val="0"/>
                <w:szCs w:val="21"/>
              </w:rPr>
            </w:pPr>
            <w:r>
              <w:rPr>
                <w:rStyle w:val="95"/>
                <w:rFonts w:hint="eastAsia"/>
                <w:kern w:val="0"/>
                <w:szCs w:val="21"/>
              </w:rPr>
              <w:t>职</w:t>
            </w:r>
            <w:r>
              <w:rPr>
                <w:rStyle w:val="95"/>
                <w:kern w:val="0"/>
                <w:szCs w:val="21"/>
              </w:rPr>
              <w:tab/>
            </w:r>
            <w:r>
              <w:rPr>
                <w:rStyle w:val="95"/>
                <w:rFonts w:hint="eastAsia"/>
                <w:kern w:val="0"/>
                <w:szCs w:val="21"/>
              </w:rPr>
              <w:t>称</w:t>
            </w:r>
          </w:p>
        </w:tc>
        <w:tc>
          <w:tcPr>
            <w:tcW w:w="1700" w:type="dxa"/>
            <w:vAlign w:val="center"/>
          </w:tcPr>
          <w:p w14:paraId="1D74DC46">
            <w:pPr>
              <w:jc w:val="center"/>
              <w:rPr>
                <w:rStyle w:val="95"/>
                <w:kern w:val="0"/>
                <w:szCs w:val="21"/>
              </w:rPr>
            </w:pPr>
          </w:p>
        </w:tc>
        <w:tc>
          <w:tcPr>
            <w:tcW w:w="1567" w:type="dxa"/>
            <w:vAlign w:val="center"/>
          </w:tcPr>
          <w:p w14:paraId="35C38F01">
            <w:pPr>
              <w:spacing w:before="73"/>
              <w:jc w:val="center"/>
              <w:rPr>
                <w:rStyle w:val="95"/>
                <w:kern w:val="0"/>
                <w:szCs w:val="21"/>
              </w:rPr>
            </w:pPr>
            <w:r>
              <w:rPr>
                <w:rStyle w:val="95"/>
                <w:rFonts w:hint="eastAsia"/>
                <w:kern w:val="0"/>
                <w:szCs w:val="21"/>
              </w:rPr>
              <w:t>公司单位</w:t>
            </w:r>
          </w:p>
          <w:p w14:paraId="30AB917B">
            <w:pPr>
              <w:spacing w:before="73"/>
              <w:jc w:val="center"/>
              <w:rPr>
                <w:rStyle w:val="95"/>
                <w:kern w:val="0"/>
                <w:szCs w:val="21"/>
              </w:rPr>
            </w:pPr>
            <w:r>
              <w:rPr>
                <w:rStyle w:val="95"/>
                <w:rFonts w:hint="eastAsia"/>
                <w:kern w:val="0"/>
                <w:szCs w:val="21"/>
              </w:rPr>
              <w:t>职</w:t>
            </w:r>
            <w:r>
              <w:rPr>
                <w:rStyle w:val="95"/>
                <w:kern w:val="0"/>
                <w:szCs w:val="21"/>
              </w:rPr>
              <w:t xml:space="preserve">    </w:t>
            </w:r>
            <w:r>
              <w:rPr>
                <w:rStyle w:val="95"/>
                <w:rFonts w:hint="eastAsia"/>
                <w:kern w:val="0"/>
                <w:szCs w:val="21"/>
              </w:rPr>
              <w:t>务</w:t>
            </w:r>
          </w:p>
        </w:tc>
        <w:tc>
          <w:tcPr>
            <w:tcW w:w="1527" w:type="dxa"/>
            <w:gridSpan w:val="2"/>
            <w:vAlign w:val="center"/>
          </w:tcPr>
          <w:p w14:paraId="5F40F6AA">
            <w:pPr>
              <w:jc w:val="center"/>
              <w:rPr>
                <w:rStyle w:val="95"/>
                <w:kern w:val="0"/>
                <w:szCs w:val="21"/>
              </w:rPr>
            </w:pPr>
          </w:p>
        </w:tc>
        <w:tc>
          <w:tcPr>
            <w:tcW w:w="2241" w:type="dxa"/>
            <w:gridSpan w:val="2"/>
            <w:vAlign w:val="center"/>
          </w:tcPr>
          <w:p w14:paraId="03C1A957">
            <w:pPr>
              <w:spacing w:before="73"/>
              <w:jc w:val="center"/>
              <w:rPr>
                <w:rStyle w:val="95"/>
                <w:kern w:val="0"/>
                <w:szCs w:val="21"/>
              </w:rPr>
            </w:pPr>
            <w:r>
              <w:rPr>
                <w:rStyle w:val="95"/>
                <w:rFonts w:hint="eastAsia"/>
                <w:kern w:val="0"/>
                <w:szCs w:val="21"/>
              </w:rPr>
              <w:t>拟在本标段</w:t>
            </w:r>
          </w:p>
          <w:p w14:paraId="23FC28BD">
            <w:pPr>
              <w:spacing w:before="73"/>
              <w:jc w:val="center"/>
              <w:rPr>
                <w:rStyle w:val="95"/>
                <w:kern w:val="0"/>
                <w:szCs w:val="21"/>
              </w:rPr>
            </w:pPr>
            <w:r>
              <w:rPr>
                <w:rStyle w:val="95"/>
                <w:rFonts w:hint="eastAsia"/>
                <w:kern w:val="0"/>
                <w:szCs w:val="21"/>
              </w:rPr>
              <w:t>工程担任职务</w:t>
            </w:r>
          </w:p>
        </w:tc>
        <w:tc>
          <w:tcPr>
            <w:tcW w:w="1528" w:type="dxa"/>
            <w:vAlign w:val="center"/>
          </w:tcPr>
          <w:p w14:paraId="5D5B562A">
            <w:pPr>
              <w:jc w:val="center"/>
              <w:rPr>
                <w:rStyle w:val="95"/>
                <w:szCs w:val="21"/>
              </w:rPr>
            </w:pPr>
          </w:p>
        </w:tc>
      </w:tr>
      <w:tr w14:paraId="29E96D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0" w:hRule="atLeast"/>
          <w:jc w:val="center"/>
        </w:trPr>
        <w:tc>
          <w:tcPr>
            <w:tcW w:w="1400" w:type="dxa"/>
            <w:vAlign w:val="center"/>
          </w:tcPr>
          <w:p w14:paraId="7D355733">
            <w:pPr>
              <w:spacing w:before="73"/>
              <w:jc w:val="center"/>
              <w:rPr>
                <w:rStyle w:val="95"/>
                <w:kern w:val="0"/>
                <w:szCs w:val="21"/>
              </w:rPr>
            </w:pPr>
            <w:r>
              <w:rPr>
                <w:rStyle w:val="95"/>
                <w:rFonts w:hint="eastAsia"/>
                <w:kern w:val="0"/>
                <w:szCs w:val="21"/>
              </w:rPr>
              <w:t>毕业学校</w:t>
            </w:r>
          </w:p>
        </w:tc>
        <w:tc>
          <w:tcPr>
            <w:tcW w:w="8563" w:type="dxa"/>
            <w:gridSpan w:val="7"/>
            <w:vAlign w:val="center"/>
          </w:tcPr>
          <w:p w14:paraId="17C9AF45">
            <w:pPr>
              <w:tabs>
                <w:tab w:val="left" w:pos="2820"/>
                <w:tab w:val="left" w:pos="4080"/>
              </w:tabs>
              <w:spacing w:before="73"/>
              <w:ind w:left="-1291" w:leftChars="-615" w:firstLine="2310" w:firstLineChars="1100"/>
              <w:rPr>
                <w:rStyle w:val="95"/>
                <w:kern w:val="0"/>
                <w:szCs w:val="21"/>
              </w:rPr>
            </w:pPr>
            <w:r>
              <w:rPr>
                <w:rStyle w:val="95"/>
                <w:rFonts w:hint="eastAsia"/>
                <w:kern w:val="0"/>
                <w:szCs w:val="21"/>
              </w:rPr>
              <w:t>年</w:t>
            </w:r>
            <w:r>
              <w:rPr>
                <w:rStyle w:val="95"/>
                <w:kern w:val="0"/>
                <w:szCs w:val="21"/>
              </w:rPr>
              <w:t xml:space="preserve">  </w:t>
            </w:r>
            <w:r>
              <w:rPr>
                <w:rStyle w:val="95"/>
                <w:rFonts w:hint="eastAsia"/>
                <w:kern w:val="0"/>
                <w:szCs w:val="21"/>
              </w:rPr>
              <w:t>月毕业于</w:t>
            </w:r>
            <w:r>
              <w:rPr>
                <w:rStyle w:val="95"/>
                <w:kern w:val="0"/>
                <w:szCs w:val="21"/>
              </w:rPr>
              <w:t xml:space="preserve">      </w:t>
            </w:r>
            <w:r>
              <w:rPr>
                <w:rStyle w:val="95"/>
                <w:rFonts w:hint="eastAsia"/>
                <w:kern w:val="0"/>
                <w:szCs w:val="21"/>
              </w:rPr>
              <w:t>学校</w:t>
            </w:r>
            <w:r>
              <w:rPr>
                <w:rStyle w:val="95"/>
                <w:kern w:val="0"/>
                <w:szCs w:val="21"/>
              </w:rPr>
              <w:t xml:space="preserve">      </w:t>
            </w:r>
            <w:r>
              <w:rPr>
                <w:rStyle w:val="95"/>
                <w:rFonts w:hint="eastAsia"/>
                <w:kern w:val="0"/>
                <w:szCs w:val="21"/>
              </w:rPr>
              <w:t>专业，学制</w:t>
            </w:r>
            <w:r>
              <w:rPr>
                <w:rStyle w:val="95"/>
                <w:kern w:val="0"/>
                <w:szCs w:val="21"/>
              </w:rPr>
              <w:t xml:space="preserve">      </w:t>
            </w:r>
            <w:r>
              <w:rPr>
                <w:rStyle w:val="95"/>
                <w:rFonts w:hint="eastAsia"/>
                <w:kern w:val="0"/>
                <w:szCs w:val="21"/>
              </w:rPr>
              <w:t>年</w:t>
            </w:r>
          </w:p>
        </w:tc>
      </w:tr>
      <w:tr w14:paraId="6A7076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0" w:hRule="atLeast"/>
          <w:jc w:val="center"/>
        </w:trPr>
        <w:tc>
          <w:tcPr>
            <w:tcW w:w="9963" w:type="dxa"/>
            <w:gridSpan w:val="8"/>
            <w:vAlign w:val="center"/>
          </w:tcPr>
          <w:p w14:paraId="6ECBAACC">
            <w:pPr>
              <w:jc w:val="center"/>
              <w:rPr>
                <w:rStyle w:val="95"/>
                <w:szCs w:val="21"/>
              </w:rPr>
            </w:pPr>
            <w:r>
              <w:rPr>
                <w:rStyle w:val="95"/>
                <w:rFonts w:hint="eastAsia"/>
                <w:kern w:val="0"/>
                <w:szCs w:val="21"/>
              </w:rPr>
              <w:t>经</w:t>
            </w:r>
            <w:r>
              <w:rPr>
                <w:rStyle w:val="95"/>
                <w:kern w:val="0"/>
                <w:szCs w:val="21"/>
              </w:rPr>
              <w:t xml:space="preserve">     </w:t>
            </w:r>
            <w:r>
              <w:rPr>
                <w:rStyle w:val="95"/>
                <w:rFonts w:hint="eastAsia"/>
                <w:kern w:val="0"/>
                <w:szCs w:val="21"/>
              </w:rPr>
              <w:t>历</w:t>
            </w:r>
          </w:p>
        </w:tc>
      </w:tr>
      <w:tr w14:paraId="283D8D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0" w:hRule="atLeast"/>
          <w:jc w:val="center"/>
        </w:trPr>
        <w:tc>
          <w:tcPr>
            <w:tcW w:w="1400" w:type="dxa"/>
            <w:vAlign w:val="center"/>
          </w:tcPr>
          <w:p w14:paraId="0140FA52">
            <w:pPr>
              <w:jc w:val="center"/>
              <w:rPr>
                <w:rStyle w:val="95"/>
                <w:szCs w:val="21"/>
              </w:rPr>
            </w:pPr>
            <w:r>
              <w:rPr>
                <w:rStyle w:val="95"/>
                <w:rFonts w:hint="eastAsia"/>
                <w:szCs w:val="21"/>
              </w:rPr>
              <w:t>年～</w:t>
            </w:r>
          </w:p>
          <w:p w14:paraId="7AD95F8C">
            <w:pPr>
              <w:jc w:val="center"/>
              <w:rPr>
                <w:rStyle w:val="95"/>
                <w:szCs w:val="21"/>
              </w:rPr>
            </w:pPr>
            <w:r>
              <w:rPr>
                <w:rStyle w:val="95"/>
                <w:rFonts w:hint="eastAsia"/>
                <w:szCs w:val="21"/>
              </w:rPr>
              <w:t>年</w:t>
            </w:r>
          </w:p>
        </w:tc>
        <w:tc>
          <w:tcPr>
            <w:tcW w:w="4157" w:type="dxa"/>
            <w:gridSpan w:val="3"/>
            <w:vAlign w:val="center"/>
          </w:tcPr>
          <w:p w14:paraId="0F3716C6">
            <w:pPr>
              <w:jc w:val="center"/>
              <w:rPr>
                <w:rStyle w:val="95"/>
                <w:szCs w:val="21"/>
              </w:rPr>
            </w:pPr>
            <w:r>
              <w:rPr>
                <w:rStyle w:val="95"/>
                <w:rFonts w:hint="eastAsia"/>
                <w:kern w:val="0"/>
                <w:szCs w:val="21"/>
              </w:rPr>
              <w:t>参加过的工程项目名称</w:t>
            </w:r>
          </w:p>
        </w:tc>
        <w:tc>
          <w:tcPr>
            <w:tcW w:w="1438" w:type="dxa"/>
            <w:gridSpan w:val="2"/>
            <w:vAlign w:val="center"/>
          </w:tcPr>
          <w:p w14:paraId="290276FC">
            <w:pPr>
              <w:jc w:val="center"/>
              <w:rPr>
                <w:rStyle w:val="95"/>
                <w:szCs w:val="21"/>
              </w:rPr>
            </w:pPr>
            <w:r>
              <w:rPr>
                <w:rStyle w:val="95"/>
                <w:rFonts w:hint="eastAsia"/>
                <w:kern w:val="0"/>
                <w:szCs w:val="21"/>
              </w:rPr>
              <w:t>担任何职</w:t>
            </w:r>
          </w:p>
        </w:tc>
        <w:tc>
          <w:tcPr>
            <w:tcW w:w="2968" w:type="dxa"/>
            <w:gridSpan w:val="2"/>
            <w:vAlign w:val="center"/>
          </w:tcPr>
          <w:p w14:paraId="066DF2E0">
            <w:pPr>
              <w:jc w:val="center"/>
              <w:rPr>
                <w:rStyle w:val="95"/>
                <w:kern w:val="0"/>
                <w:szCs w:val="21"/>
              </w:rPr>
            </w:pPr>
            <w:r>
              <w:rPr>
                <w:rStyle w:val="95"/>
                <w:rFonts w:hint="eastAsia"/>
                <w:kern w:val="0"/>
                <w:szCs w:val="21"/>
              </w:rPr>
              <w:t>发包人及</w:t>
            </w:r>
          </w:p>
          <w:p w14:paraId="4A338BB7">
            <w:pPr>
              <w:jc w:val="center"/>
              <w:rPr>
                <w:rStyle w:val="95"/>
                <w:szCs w:val="21"/>
              </w:rPr>
            </w:pPr>
            <w:r>
              <w:rPr>
                <w:rStyle w:val="95"/>
                <w:rFonts w:hint="eastAsia"/>
                <w:kern w:val="0"/>
                <w:szCs w:val="21"/>
              </w:rPr>
              <w:t>联系电话</w:t>
            </w:r>
          </w:p>
        </w:tc>
      </w:tr>
      <w:tr w14:paraId="52AD67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0" w:hRule="atLeast"/>
          <w:jc w:val="center"/>
        </w:trPr>
        <w:tc>
          <w:tcPr>
            <w:tcW w:w="1400" w:type="dxa"/>
            <w:vAlign w:val="center"/>
          </w:tcPr>
          <w:p w14:paraId="4A4E2134">
            <w:pPr>
              <w:jc w:val="center"/>
              <w:rPr>
                <w:rStyle w:val="95"/>
                <w:szCs w:val="21"/>
              </w:rPr>
            </w:pPr>
          </w:p>
        </w:tc>
        <w:tc>
          <w:tcPr>
            <w:tcW w:w="4157" w:type="dxa"/>
            <w:gridSpan w:val="3"/>
            <w:vAlign w:val="center"/>
          </w:tcPr>
          <w:p w14:paraId="5D3539AE">
            <w:pPr>
              <w:jc w:val="center"/>
              <w:rPr>
                <w:rStyle w:val="95"/>
                <w:szCs w:val="21"/>
              </w:rPr>
            </w:pPr>
          </w:p>
        </w:tc>
        <w:tc>
          <w:tcPr>
            <w:tcW w:w="1438" w:type="dxa"/>
            <w:gridSpan w:val="2"/>
            <w:vAlign w:val="center"/>
          </w:tcPr>
          <w:p w14:paraId="1231A0DD">
            <w:pPr>
              <w:jc w:val="center"/>
              <w:rPr>
                <w:rStyle w:val="95"/>
                <w:szCs w:val="21"/>
              </w:rPr>
            </w:pPr>
          </w:p>
        </w:tc>
        <w:tc>
          <w:tcPr>
            <w:tcW w:w="2968" w:type="dxa"/>
            <w:gridSpan w:val="2"/>
            <w:vAlign w:val="center"/>
          </w:tcPr>
          <w:p w14:paraId="27865B38">
            <w:pPr>
              <w:jc w:val="center"/>
              <w:rPr>
                <w:rStyle w:val="95"/>
                <w:szCs w:val="21"/>
              </w:rPr>
            </w:pPr>
          </w:p>
        </w:tc>
      </w:tr>
      <w:tr w14:paraId="3E1EED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0" w:hRule="atLeast"/>
          <w:jc w:val="center"/>
        </w:trPr>
        <w:tc>
          <w:tcPr>
            <w:tcW w:w="1400" w:type="dxa"/>
            <w:vAlign w:val="center"/>
          </w:tcPr>
          <w:p w14:paraId="5A651758">
            <w:pPr>
              <w:jc w:val="center"/>
              <w:rPr>
                <w:rStyle w:val="95"/>
                <w:szCs w:val="21"/>
              </w:rPr>
            </w:pPr>
          </w:p>
        </w:tc>
        <w:tc>
          <w:tcPr>
            <w:tcW w:w="4157" w:type="dxa"/>
            <w:gridSpan w:val="3"/>
            <w:vAlign w:val="center"/>
          </w:tcPr>
          <w:p w14:paraId="50D54950">
            <w:pPr>
              <w:jc w:val="center"/>
              <w:rPr>
                <w:rStyle w:val="95"/>
                <w:szCs w:val="21"/>
              </w:rPr>
            </w:pPr>
          </w:p>
        </w:tc>
        <w:tc>
          <w:tcPr>
            <w:tcW w:w="1438" w:type="dxa"/>
            <w:gridSpan w:val="2"/>
            <w:vAlign w:val="center"/>
          </w:tcPr>
          <w:p w14:paraId="5B38FFE7">
            <w:pPr>
              <w:jc w:val="center"/>
              <w:rPr>
                <w:rStyle w:val="95"/>
                <w:szCs w:val="21"/>
              </w:rPr>
            </w:pPr>
          </w:p>
        </w:tc>
        <w:tc>
          <w:tcPr>
            <w:tcW w:w="2968" w:type="dxa"/>
            <w:gridSpan w:val="2"/>
            <w:vAlign w:val="center"/>
          </w:tcPr>
          <w:p w14:paraId="1EB8ED9B">
            <w:pPr>
              <w:jc w:val="center"/>
              <w:rPr>
                <w:rStyle w:val="95"/>
                <w:szCs w:val="21"/>
              </w:rPr>
            </w:pPr>
          </w:p>
        </w:tc>
      </w:tr>
      <w:tr w14:paraId="02A54D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0" w:hRule="atLeast"/>
          <w:jc w:val="center"/>
        </w:trPr>
        <w:tc>
          <w:tcPr>
            <w:tcW w:w="1400" w:type="dxa"/>
            <w:vAlign w:val="center"/>
          </w:tcPr>
          <w:p w14:paraId="2D29C210">
            <w:pPr>
              <w:jc w:val="center"/>
              <w:rPr>
                <w:rStyle w:val="95"/>
                <w:szCs w:val="21"/>
              </w:rPr>
            </w:pPr>
          </w:p>
        </w:tc>
        <w:tc>
          <w:tcPr>
            <w:tcW w:w="4157" w:type="dxa"/>
            <w:gridSpan w:val="3"/>
            <w:vAlign w:val="center"/>
          </w:tcPr>
          <w:p w14:paraId="6B180DB0">
            <w:pPr>
              <w:jc w:val="center"/>
              <w:rPr>
                <w:rStyle w:val="95"/>
                <w:szCs w:val="21"/>
              </w:rPr>
            </w:pPr>
          </w:p>
        </w:tc>
        <w:tc>
          <w:tcPr>
            <w:tcW w:w="1438" w:type="dxa"/>
            <w:gridSpan w:val="2"/>
            <w:vAlign w:val="center"/>
          </w:tcPr>
          <w:p w14:paraId="53342268">
            <w:pPr>
              <w:jc w:val="center"/>
              <w:rPr>
                <w:rStyle w:val="95"/>
                <w:szCs w:val="21"/>
              </w:rPr>
            </w:pPr>
          </w:p>
        </w:tc>
        <w:tc>
          <w:tcPr>
            <w:tcW w:w="2968" w:type="dxa"/>
            <w:gridSpan w:val="2"/>
            <w:vAlign w:val="center"/>
          </w:tcPr>
          <w:p w14:paraId="3C8DA691">
            <w:pPr>
              <w:jc w:val="center"/>
              <w:rPr>
                <w:rStyle w:val="95"/>
                <w:szCs w:val="21"/>
              </w:rPr>
            </w:pPr>
          </w:p>
        </w:tc>
      </w:tr>
      <w:tr w14:paraId="63E3A4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0" w:hRule="atLeast"/>
          <w:jc w:val="center"/>
        </w:trPr>
        <w:tc>
          <w:tcPr>
            <w:tcW w:w="1400" w:type="dxa"/>
            <w:vAlign w:val="center"/>
          </w:tcPr>
          <w:p w14:paraId="784D8CEE">
            <w:pPr>
              <w:jc w:val="center"/>
              <w:rPr>
                <w:rStyle w:val="95"/>
                <w:szCs w:val="21"/>
              </w:rPr>
            </w:pPr>
          </w:p>
        </w:tc>
        <w:tc>
          <w:tcPr>
            <w:tcW w:w="4157" w:type="dxa"/>
            <w:gridSpan w:val="3"/>
            <w:vAlign w:val="center"/>
          </w:tcPr>
          <w:p w14:paraId="2F4640EF">
            <w:pPr>
              <w:jc w:val="center"/>
              <w:rPr>
                <w:rStyle w:val="95"/>
                <w:szCs w:val="21"/>
              </w:rPr>
            </w:pPr>
          </w:p>
        </w:tc>
        <w:tc>
          <w:tcPr>
            <w:tcW w:w="1438" w:type="dxa"/>
            <w:gridSpan w:val="2"/>
            <w:vAlign w:val="center"/>
          </w:tcPr>
          <w:p w14:paraId="62368FD7">
            <w:pPr>
              <w:jc w:val="center"/>
              <w:rPr>
                <w:rStyle w:val="95"/>
                <w:szCs w:val="21"/>
              </w:rPr>
            </w:pPr>
          </w:p>
        </w:tc>
        <w:tc>
          <w:tcPr>
            <w:tcW w:w="2968" w:type="dxa"/>
            <w:gridSpan w:val="2"/>
            <w:vAlign w:val="center"/>
          </w:tcPr>
          <w:p w14:paraId="1AEA2B9F">
            <w:pPr>
              <w:jc w:val="center"/>
              <w:rPr>
                <w:rStyle w:val="95"/>
                <w:szCs w:val="21"/>
              </w:rPr>
            </w:pPr>
          </w:p>
        </w:tc>
      </w:tr>
      <w:tr w14:paraId="327638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510" w:hRule="atLeast"/>
          <w:jc w:val="center"/>
        </w:trPr>
        <w:tc>
          <w:tcPr>
            <w:tcW w:w="1400" w:type="dxa"/>
            <w:vAlign w:val="center"/>
          </w:tcPr>
          <w:p w14:paraId="045F7C72">
            <w:pPr>
              <w:jc w:val="center"/>
              <w:rPr>
                <w:rStyle w:val="95"/>
                <w:szCs w:val="21"/>
              </w:rPr>
            </w:pPr>
          </w:p>
        </w:tc>
        <w:tc>
          <w:tcPr>
            <w:tcW w:w="4157" w:type="dxa"/>
            <w:gridSpan w:val="3"/>
            <w:vAlign w:val="center"/>
          </w:tcPr>
          <w:p w14:paraId="2F25FB27">
            <w:pPr>
              <w:jc w:val="center"/>
              <w:rPr>
                <w:rStyle w:val="95"/>
                <w:szCs w:val="21"/>
              </w:rPr>
            </w:pPr>
          </w:p>
        </w:tc>
        <w:tc>
          <w:tcPr>
            <w:tcW w:w="1438" w:type="dxa"/>
            <w:gridSpan w:val="2"/>
            <w:vAlign w:val="center"/>
          </w:tcPr>
          <w:p w14:paraId="26E0F192">
            <w:pPr>
              <w:jc w:val="center"/>
              <w:rPr>
                <w:rStyle w:val="95"/>
                <w:szCs w:val="21"/>
              </w:rPr>
            </w:pPr>
          </w:p>
        </w:tc>
        <w:tc>
          <w:tcPr>
            <w:tcW w:w="2968" w:type="dxa"/>
            <w:gridSpan w:val="2"/>
            <w:vAlign w:val="center"/>
          </w:tcPr>
          <w:p w14:paraId="322A09AF">
            <w:pPr>
              <w:jc w:val="center"/>
              <w:rPr>
                <w:rStyle w:val="95"/>
                <w:szCs w:val="21"/>
              </w:rPr>
            </w:pPr>
          </w:p>
        </w:tc>
      </w:tr>
      <w:tr w14:paraId="073464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510" w:hRule="atLeast"/>
          <w:jc w:val="center"/>
        </w:trPr>
        <w:tc>
          <w:tcPr>
            <w:tcW w:w="5557" w:type="dxa"/>
            <w:gridSpan w:val="4"/>
            <w:vAlign w:val="center"/>
          </w:tcPr>
          <w:p w14:paraId="565A780C">
            <w:pPr>
              <w:jc w:val="center"/>
              <w:rPr>
                <w:rStyle w:val="95"/>
                <w:szCs w:val="21"/>
              </w:rPr>
            </w:pPr>
            <w:r>
              <w:rPr>
                <w:rStyle w:val="95"/>
                <w:rFonts w:hint="eastAsia"/>
                <w:szCs w:val="21"/>
              </w:rPr>
              <w:t>执业资格证书获得情况</w:t>
            </w:r>
          </w:p>
        </w:tc>
        <w:tc>
          <w:tcPr>
            <w:tcW w:w="4406" w:type="dxa"/>
            <w:gridSpan w:val="4"/>
            <w:vAlign w:val="center"/>
          </w:tcPr>
          <w:p w14:paraId="600274D4">
            <w:pPr>
              <w:jc w:val="center"/>
              <w:rPr>
                <w:rStyle w:val="95"/>
                <w:szCs w:val="21"/>
              </w:rPr>
            </w:pPr>
          </w:p>
        </w:tc>
      </w:tr>
      <w:tr w14:paraId="3F8CFF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0" w:hRule="atLeast"/>
          <w:jc w:val="center"/>
        </w:trPr>
        <w:tc>
          <w:tcPr>
            <w:tcW w:w="5557" w:type="dxa"/>
            <w:gridSpan w:val="4"/>
            <w:vAlign w:val="center"/>
          </w:tcPr>
          <w:p w14:paraId="39A17CFF">
            <w:pPr>
              <w:jc w:val="center"/>
              <w:rPr>
                <w:rStyle w:val="95"/>
                <w:szCs w:val="21"/>
              </w:rPr>
            </w:pPr>
            <w:r>
              <w:rPr>
                <w:rStyle w:val="95"/>
                <w:rFonts w:hint="eastAsia"/>
                <w:szCs w:val="21"/>
              </w:rPr>
              <w:t>获奖情况</w:t>
            </w:r>
          </w:p>
        </w:tc>
        <w:tc>
          <w:tcPr>
            <w:tcW w:w="4406" w:type="dxa"/>
            <w:gridSpan w:val="4"/>
            <w:vAlign w:val="center"/>
          </w:tcPr>
          <w:p w14:paraId="7F016D2B">
            <w:pPr>
              <w:jc w:val="center"/>
              <w:rPr>
                <w:rStyle w:val="95"/>
                <w:szCs w:val="21"/>
              </w:rPr>
            </w:pPr>
          </w:p>
        </w:tc>
      </w:tr>
      <w:tr w14:paraId="373584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cantSplit/>
          <w:trHeight w:val="510" w:hRule="atLeast"/>
          <w:jc w:val="center"/>
        </w:trPr>
        <w:tc>
          <w:tcPr>
            <w:tcW w:w="1400" w:type="dxa"/>
            <w:vMerge w:val="restart"/>
            <w:vAlign w:val="center"/>
          </w:tcPr>
          <w:p w14:paraId="7B7E368B">
            <w:pPr>
              <w:jc w:val="center"/>
              <w:rPr>
                <w:rStyle w:val="95"/>
                <w:szCs w:val="21"/>
              </w:rPr>
            </w:pPr>
            <w:r>
              <w:rPr>
                <w:rStyle w:val="95"/>
                <w:rFonts w:hint="eastAsia"/>
                <w:szCs w:val="21"/>
              </w:rPr>
              <w:t>目前任职</w:t>
            </w:r>
          </w:p>
          <w:p w14:paraId="188C06FB">
            <w:pPr>
              <w:jc w:val="center"/>
              <w:rPr>
                <w:rStyle w:val="95"/>
                <w:szCs w:val="21"/>
              </w:rPr>
            </w:pPr>
            <w:r>
              <w:rPr>
                <w:rStyle w:val="95"/>
                <w:rFonts w:hint="eastAsia"/>
                <w:szCs w:val="21"/>
              </w:rPr>
              <w:t>项目状况</w:t>
            </w:r>
          </w:p>
        </w:tc>
        <w:tc>
          <w:tcPr>
            <w:tcW w:w="4157" w:type="dxa"/>
            <w:gridSpan w:val="3"/>
            <w:vAlign w:val="center"/>
          </w:tcPr>
          <w:p w14:paraId="13B76AEB">
            <w:pPr>
              <w:jc w:val="center"/>
              <w:rPr>
                <w:rStyle w:val="95"/>
                <w:szCs w:val="21"/>
              </w:rPr>
            </w:pPr>
            <w:r>
              <w:rPr>
                <w:rStyle w:val="95"/>
                <w:rFonts w:hint="eastAsia"/>
                <w:szCs w:val="21"/>
              </w:rPr>
              <w:t>项目名称</w:t>
            </w:r>
          </w:p>
        </w:tc>
        <w:tc>
          <w:tcPr>
            <w:tcW w:w="1438" w:type="dxa"/>
            <w:gridSpan w:val="2"/>
            <w:vAlign w:val="center"/>
          </w:tcPr>
          <w:p w14:paraId="680EEC43">
            <w:pPr>
              <w:jc w:val="center"/>
              <w:rPr>
                <w:rStyle w:val="95"/>
                <w:szCs w:val="21"/>
              </w:rPr>
            </w:pPr>
          </w:p>
        </w:tc>
        <w:tc>
          <w:tcPr>
            <w:tcW w:w="2968" w:type="dxa"/>
            <w:gridSpan w:val="2"/>
            <w:vAlign w:val="center"/>
          </w:tcPr>
          <w:p w14:paraId="514078C4">
            <w:pPr>
              <w:jc w:val="center"/>
              <w:rPr>
                <w:rStyle w:val="95"/>
                <w:szCs w:val="21"/>
              </w:rPr>
            </w:pPr>
          </w:p>
        </w:tc>
      </w:tr>
      <w:tr w14:paraId="5BB6FC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cantSplit/>
          <w:trHeight w:val="510" w:hRule="atLeast"/>
          <w:jc w:val="center"/>
        </w:trPr>
        <w:tc>
          <w:tcPr>
            <w:tcW w:w="1400" w:type="dxa"/>
            <w:vMerge w:val="continue"/>
            <w:vAlign w:val="center"/>
          </w:tcPr>
          <w:p w14:paraId="318D836C">
            <w:pPr>
              <w:jc w:val="center"/>
              <w:rPr>
                <w:rStyle w:val="95"/>
                <w:szCs w:val="21"/>
              </w:rPr>
            </w:pPr>
          </w:p>
        </w:tc>
        <w:tc>
          <w:tcPr>
            <w:tcW w:w="4157" w:type="dxa"/>
            <w:gridSpan w:val="3"/>
            <w:vAlign w:val="center"/>
          </w:tcPr>
          <w:p w14:paraId="16DAF107">
            <w:pPr>
              <w:jc w:val="center"/>
              <w:rPr>
                <w:rStyle w:val="95"/>
                <w:szCs w:val="21"/>
              </w:rPr>
            </w:pPr>
            <w:r>
              <w:rPr>
                <w:rStyle w:val="95"/>
                <w:rFonts w:hint="eastAsia"/>
                <w:szCs w:val="21"/>
              </w:rPr>
              <w:t>担任职位</w:t>
            </w:r>
          </w:p>
        </w:tc>
        <w:tc>
          <w:tcPr>
            <w:tcW w:w="1438" w:type="dxa"/>
            <w:gridSpan w:val="2"/>
            <w:vAlign w:val="center"/>
          </w:tcPr>
          <w:p w14:paraId="70182A68">
            <w:pPr>
              <w:jc w:val="center"/>
              <w:rPr>
                <w:rStyle w:val="95"/>
                <w:szCs w:val="21"/>
              </w:rPr>
            </w:pPr>
          </w:p>
        </w:tc>
        <w:tc>
          <w:tcPr>
            <w:tcW w:w="2968" w:type="dxa"/>
            <w:gridSpan w:val="2"/>
            <w:vAlign w:val="center"/>
          </w:tcPr>
          <w:p w14:paraId="6F349688">
            <w:pPr>
              <w:jc w:val="center"/>
              <w:rPr>
                <w:rStyle w:val="95"/>
                <w:szCs w:val="21"/>
              </w:rPr>
            </w:pPr>
          </w:p>
        </w:tc>
      </w:tr>
      <w:tr w14:paraId="35FEA2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cantSplit/>
          <w:trHeight w:val="510" w:hRule="atLeast"/>
          <w:jc w:val="center"/>
        </w:trPr>
        <w:tc>
          <w:tcPr>
            <w:tcW w:w="1400" w:type="dxa"/>
            <w:vMerge w:val="continue"/>
            <w:vAlign w:val="center"/>
          </w:tcPr>
          <w:p w14:paraId="68D7695B">
            <w:pPr>
              <w:jc w:val="center"/>
              <w:rPr>
                <w:rStyle w:val="95"/>
                <w:szCs w:val="21"/>
              </w:rPr>
            </w:pPr>
          </w:p>
        </w:tc>
        <w:tc>
          <w:tcPr>
            <w:tcW w:w="4157" w:type="dxa"/>
            <w:gridSpan w:val="3"/>
            <w:vAlign w:val="center"/>
          </w:tcPr>
          <w:p w14:paraId="2A00023A">
            <w:pPr>
              <w:jc w:val="center"/>
              <w:rPr>
                <w:rStyle w:val="95"/>
                <w:szCs w:val="21"/>
              </w:rPr>
            </w:pPr>
            <w:r>
              <w:rPr>
                <w:rStyle w:val="95"/>
                <w:rFonts w:hint="eastAsia"/>
                <w:szCs w:val="21"/>
              </w:rPr>
              <w:t>可以调离日期</w:t>
            </w:r>
          </w:p>
        </w:tc>
        <w:tc>
          <w:tcPr>
            <w:tcW w:w="1438" w:type="dxa"/>
            <w:gridSpan w:val="2"/>
            <w:vAlign w:val="center"/>
          </w:tcPr>
          <w:p w14:paraId="7BB4444D">
            <w:pPr>
              <w:jc w:val="center"/>
              <w:rPr>
                <w:rStyle w:val="95"/>
                <w:szCs w:val="21"/>
              </w:rPr>
            </w:pPr>
          </w:p>
        </w:tc>
        <w:tc>
          <w:tcPr>
            <w:tcW w:w="2968" w:type="dxa"/>
            <w:gridSpan w:val="2"/>
            <w:vAlign w:val="center"/>
          </w:tcPr>
          <w:p w14:paraId="288A62BF">
            <w:pPr>
              <w:jc w:val="center"/>
              <w:rPr>
                <w:rStyle w:val="95"/>
                <w:szCs w:val="21"/>
              </w:rPr>
            </w:pPr>
          </w:p>
        </w:tc>
      </w:tr>
      <w:tr w14:paraId="3D878B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1446" w:hRule="atLeast"/>
          <w:jc w:val="center"/>
        </w:trPr>
        <w:tc>
          <w:tcPr>
            <w:tcW w:w="1400" w:type="dxa"/>
            <w:vAlign w:val="center"/>
          </w:tcPr>
          <w:p w14:paraId="3E4E3A59">
            <w:pPr>
              <w:jc w:val="center"/>
              <w:rPr>
                <w:rStyle w:val="95"/>
                <w:szCs w:val="21"/>
              </w:rPr>
            </w:pPr>
            <w:r>
              <w:rPr>
                <w:rStyle w:val="95"/>
                <w:rFonts w:hint="eastAsia"/>
                <w:szCs w:val="21"/>
              </w:rPr>
              <w:t>备注</w:t>
            </w:r>
          </w:p>
        </w:tc>
        <w:tc>
          <w:tcPr>
            <w:tcW w:w="8563" w:type="dxa"/>
            <w:gridSpan w:val="7"/>
            <w:vAlign w:val="center"/>
          </w:tcPr>
          <w:p w14:paraId="1B951B7F">
            <w:pPr>
              <w:jc w:val="center"/>
              <w:rPr>
                <w:rStyle w:val="95"/>
                <w:szCs w:val="21"/>
              </w:rPr>
            </w:pPr>
          </w:p>
        </w:tc>
      </w:tr>
    </w:tbl>
    <w:p w14:paraId="5203C452">
      <w:pPr>
        <w:spacing w:line="400" w:lineRule="exact"/>
        <w:rPr>
          <w:rStyle w:val="95"/>
        </w:rPr>
      </w:pPr>
      <w:r>
        <w:rPr>
          <w:rStyle w:val="95"/>
          <w:rFonts w:hint="eastAsia"/>
        </w:rPr>
        <w:t>投标人（盖章）：</w:t>
      </w:r>
    </w:p>
    <w:p w14:paraId="70853DA0">
      <w:pPr>
        <w:spacing w:line="400" w:lineRule="exact"/>
        <w:rPr>
          <w:rStyle w:val="95"/>
        </w:rPr>
      </w:pPr>
      <w:r>
        <w:rPr>
          <w:rStyle w:val="95"/>
          <w:rFonts w:hint="eastAsia"/>
        </w:rPr>
        <w:t>法定代表人或授权代理人（签字）：</w:t>
      </w:r>
    </w:p>
    <w:p w14:paraId="5DF97A6A">
      <w:pPr>
        <w:ind w:firstLine="105" w:firstLineChars="50"/>
        <w:rPr>
          <w:rStyle w:val="95"/>
          <w:szCs w:val="21"/>
        </w:rPr>
      </w:pPr>
    </w:p>
    <w:p w14:paraId="150275EE">
      <w:pPr>
        <w:pStyle w:val="85"/>
        <w:rPr>
          <w:rStyle w:val="95"/>
          <w:rFonts w:ascii="Times New Roman" w:hAnsi="Times New Roman"/>
        </w:rPr>
      </w:pPr>
    </w:p>
    <w:p w14:paraId="6AF50994">
      <w:pPr>
        <w:spacing w:line="260" w:lineRule="exact"/>
        <w:rPr>
          <w:rStyle w:val="95"/>
          <w:szCs w:val="21"/>
        </w:rPr>
      </w:pPr>
      <w:r>
        <w:rPr>
          <w:rStyle w:val="95"/>
          <w:rFonts w:hint="eastAsia"/>
          <w:szCs w:val="21"/>
        </w:rPr>
        <w:t>注：</w:t>
      </w:r>
      <w:r>
        <w:rPr>
          <w:rStyle w:val="95"/>
          <w:szCs w:val="21"/>
        </w:rPr>
        <w:t>1</w:t>
      </w:r>
      <w:r>
        <w:rPr>
          <w:rStyle w:val="95"/>
          <w:rFonts w:hint="eastAsia"/>
          <w:szCs w:val="21"/>
        </w:rPr>
        <w:t>、本表后应附项目经理、项目</w:t>
      </w:r>
      <w:r>
        <w:rPr>
          <w:rStyle w:val="95"/>
          <w:rFonts w:hint="eastAsia"/>
          <w:szCs w:val="21"/>
          <w:lang w:eastAsia="zh-CN"/>
        </w:rPr>
        <w:t>技术负责人</w:t>
      </w:r>
      <w:r>
        <w:rPr>
          <w:rStyle w:val="95"/>
          <w:rFonts w:hint="eastAsia"/>
          <w:szCs w:val="21"/>
        </w:rPr>
        <w:t>的身份证、资格证书以及招标文件所要求其他相关证书（如</w:t>
      </w:r>
      <w:r>
        <w:rPr>
          <w:rFonts w:hint="eastAsia"/>
          <w:szCs w:val="21"/>
        </w:rPr>
        <w:t>建筑师</w:t>
      </w:r>
      <w:r>
        <w:rPr>
          <w:szCs w:val="21"/>
        </w:rPr>
        <w:t>/</w:t>
      </w:r>
      <w:r>
        <w:rPr>
          <w:rFonts w:hint="eastAsia"/>
          <w:szCs w:val="21"/>
        </w:rPr>
        <w:t>勘察设计工程师</w:t>
      </w:r>
      <w:r>
        <w:rPr>
          <w:szCs w:val="21"/>
        </w:rPr>
        <w:t>/</w:t>
      </w:r>
      <w:r>
        <w:rPr>
          <w:rFonts w:hint="eastAsia"/>
          <w:szCs w:val="21"/>
        </w:rPr>
        <w:t>建造师</w:t>
      </w:r>
      <w:r>
        <w:rPr>
          <w:szCs w:val="21"/>
        </w:rPr>
        <w:t>/</w:t>
      </w:r>
      <w:r>
        <w:rPr>
          <w:rFonts w:hint="eastAsia"/>
          <w:szCs w:val="21"/>
        </w:rPr>
        <w:t>监理工程师</w:t>
      </w:r>
      <w:r>
        <w:rPr>
          <w:rStyle w:val="95"/>
          <w:rFonts w:hint="eastAsia"/>
          <w:szCs w:val="21"/>
        </w:rPr>
        <w:t>注册证书等）的扫描件及社保证明扫描件。</w:t>
      </w:r>
    </w:p>
    <w:p w14:paraId="6597FE37">
      <w:pPr>
        <w:spacing w:line="260" w:lineRule="exact"/>
        <w:ind w:firstLine="420" w:firstLineChars="200"/>
        <w:rPr>
          <w:szCs w:val="21"/>
        </w:rPr>
      </w:pPr>
      <w:r>
        <w:rPr>
          <w:rStyle w:val="95"/>
          <w:szCs w:val="21"/>
        </w:rPr>
        <w:t>2</w:t>
      </w:r>
      <w:r>
        <w:rPr>
          <w:rStyle w:val="95"/>
          <w:rFonts w:hint="eastAsia"/>
          <w:szCs w:val="21"/>
        </w:rPr>
        <w:t>、</w:t>
      </w:r>
      <w:r>
        <w:rPr>
          <w:rFonts w:hint="eastAsia"/>
          <w:szCs w:val="21"/>
        </w:rPr>
        <w:t>本表后须附对应项目中标通知书（备案）、合同及竣工验收报告扫描件。</w:t>
      </w:r>
    </w:p>
    <w:p w14:paraId="6EE85F31">
      <w:pPr>
        <w:spacing w:line="260" w:lineRule="exact"/>
        <w:ind w:firstLine="420" w:firstLineChars="200"/>
        <w:rPr>
          <w:rStyle w:val="95"/>
          <w:szCs w:val="21"/>
        </w:rPr>
      </w:pPr>
      <w:r>
        <w:rPr>
          <w:szCs w:val="21"/>
        </w:rPr>
        <w:t>3</w:t>
      </w:r>
      <w:r>
        <w:rPr>
          <w:rFonts w:hint="eastAsia"/>
          <w:szCs w:val="21"/>
        </w:rPr>
        <w:t>、资信证明材料：全国或山西省建筑市场监管公共服务平台公布的建筑市场主体资信截图或复印件。</w:t>
      </w:r>
    </w:p>
    <w:p w14:paraId="7358B4B1">
      <w:pPr>
        <w:pStyle w:val="87"/>
        <w:spacing w:after="240" w:line="900" w:lineRule="exact"/>
        <w:jc w:val="center"/>
        <w:rPr>
          <w:rStyle w:val="95"/>
          <w:rFonts w:ascii="Times New Roman" w:hAnsi="Times New Roman" w:eastAsia="宋体"/>
          <w:kern w:val="0"/>
          <w:sz w:val="28"/>
          <w:szCs w:val="28"/>
        </w:rPr>
      </w:pPr>
      <w:r>
        <w:rPr>
          <w:rStyle w:val="95"/>
          <w:rFonts w:hint="eastAsia" w:ascii="Times New Roman" w:hAnsi="Times New Roman" w:eastAsia="宋体"/>
          <w:kern w:val="0"/>
          <w:sz w:val="28"/>
          <w:szCs w:val="28"/>
        </w:rPr>
        <w:t>四、其他主要技术和管理人员汇总表</w:t>
      </w:r>
    </w:p>
    <w:tbl>
      <w:tblPr>
        <w:tblStyle w:val="45"/>
        <w:tblW w:w="996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44"/>
        <w:gridCol w:w="1456"/>
        <w:gridCol w:w="2084"/>
        <w:gridCol w:w="1659"/>
        <w:gridCol w:w="1662"/>
        <w:gridCol w:w="1658"/>
      </w:tblGrid>
      <w:tr w14:paraId="3702B4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91" w:hRule="atLeast"/>
          <w:jc w:val="center"/>
        </w:trPr>
        <w:tc>
          <w:tcPr>
            <w:tcW w:w="1444" w:type="dxa"/>
            <w:vAlign w:val="center"/>
          </w:tcPr>
          <w:p w14:paraId="242E8FC3">
            <w:pPr>
              <w:jc w:val="center"/>
              <w:rPr>
                <w:rStyle w:val="95"/>
                <w:szCs w:val="21"/>
              </w:rPr>
            </w:pPr>
            <w:r>
              <w:rPr>
                <w:rStyle w:val="95"/>
                <w:rFonts w:hint="eastAsia"/>
                <w:szCs w:val="21"/>
              </w:rPr>
              <w:t>姓名</w:t>
            </w:r>
          </w:p>
        </w:tc>
        <w:tc>
          <w:tcPr>
            <w:tcW w:w="1456" w:type="dxa"/>
            <w:vAlign w:val="center"/>
          </w:tcPr>
          <w:p w14:paraId="43246F2C">
            <w:pPr>
              <w:jc w:val="center"/>
              <w:rPr>
                <w:rStyle w:val="95"/>
                <w:szCs w:val="21"/>
              </w:rPr>
            </w:pPr>
            <w:r>
              <w:rPr>
                <w:rStyle w:val="95"/>
                <w:rFonts w:hint="eastAsia"/>
                <w:szCs w:val="21"/>
              </w:rPr>
              <w:t>年龄</w:t>
            </w:r>
          </w:p>
        </w:tc>
        <w:tc>
          <w:tcPr>
            <w:tcW w:w="2084" w:type="dxa"/>
            <w:vAlign w:val="center"/>
          </w:tcPr>
          <w:p w14:paraId="0190123A">
            <w:pPr>
              <w:jc w:val="center"/>
              <w:rPr>
                <w:rStyle w:val="95"/>
                <w:szCs w:val="21"/>
              </w:rPr>
            </w:pPr>
            <w:r>
              <w:rPr>
                <w:rStyle w:val="95"/>
                <w:rFonts w:hint="eastAsia"/>
                <w:szCs w:val="21"/>
              </w:rPr>
              <w:t>拟在本项目中</w:t>
            </w:r>
          </w:p>
          <w:p w14:paraId="03A1A413">
            <w:pPr>
              <w:jc w:val="center"/>
              <w:rPr>
                <w:rStyle w:val="95"/>
                <w:szCs w:val="21"/>
              </w:rPr>
            </w:pPr>
            <w:r>
              <w:rPr>
                <w:rStyle w:val="95"/>
                <w:rFonts w:hint="eastAsia"/>
                <w:szCs w:val="21"/>
              </w:rPr>
              <w:t>担任的职务</w:t>
            </w:r>
          </w:p>
        </w:tc>
        <w:tc>
          <w:tcPr>
            <w:tcW w:w="1659" w:type="dxa"/>
            <w:vAlign w:val="center"/>
          </w:tcPr>
          <w:p w14:paraId="59179B02">
            <w:pPr>
              <w:jc w:val="center"/>
              <w:rPr>
                <w:rStyle w:val="95"/>
                <w:szCs w:val="21"/>
              </w:rPr>
            </w:pPr>
            <w:r>
              <w:rPr>
                <w:rStyle w:val="95"/>
                <w:rFonts w:hint="eastAsia"/>
                <w:szCs w:val="21"/>
              </w:rPr>
              <w:t>技术职称</w:t>
            </w:r>
          </w:p>
        </w:tc>
        <w:tc>
          <w:tcPr>
            <w:tcW w:w="1662" w:type="dxa"/>
            <w:vAlign w:val="center"/>
          </w:tcPr>
          <w:p w14:paraId="53ECC5B6">
            <w:pPr>
              <w:jc w:val="center"/>
              <w:rPr>
                <w:rStyle w:val="95"/>
                <w:szCs w:val="21"/>
              </w:rPr>
            </w:pPr>
            <w:r>
              <w:rPr>
                <w:rStyle w:val="95"/>
                <w:rFonts w:hint="eastAsia"/>
                <w:szCs w:val="21"/>
              </w:rPr>
              <w:t>工作年限</w:t>
            </w:r>
          </w:p>
        </w:tc>
        <w:tc>
          <w:tcPr>
            <w:tcW w:w="1658" w:type="dxa"/>
            <w:vAlign w:val="center"/>
          </w:tcPr>
          <w:p w14:paraId="478EB658">
            <w:pPr>
              <w:jc w:val="center"/>
              <w:rPr>
                <w:rStyle w:val="95"/>
                <w:szCs w:val="21"/>
              </w:rPr>
            </w:pPr>
            <w:r>
              <w:rPr>
                <w:rStyle w:val="95"/>
                <w:rFonts w:hint="eastAsia"/>
                <w:szCs w:val="21"/>
              </w:rPr>
              <w:t>类似施工</w:t>
            </w:r>
          </w:p>
          <w:p w14:paraId="1477FC5D">
            <w:pPr>
              <w:jc w:val="center"/>
              <w:rPr>
                <w:rStyle w:val="95"/>
                <w:szCs w:val="21"/>
              </w:rPr>
            </w:pPr>
            <w:r>
              <w:rPr>
                <w:rStyle w:val="95"/>
                <w:rFonts w:hint="eastAsia"/>
                <w:szCs w:val="21"/>
              </w:rPr>
              <w:t>经验年限</w:t>
            </w:r>
          </w:p>
        </w:tc>
      </w:tr>
      <w:tr w14:paraId="4EEEAA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55" w:hRule="exact"/>
          <w:jc w:val="center"/>
        </w:trPr>
        <w:tc>
          <w:tcPr>
            <w:tcW w:w="1444" w:type="dxa"/>
            <w:vAlign w:val="center"/>
          </w:tcPr>
          <w:p w14:paraId="341E6EEB">
            <w:pPr>
              <w:jc w:val="center"/>
              <w:rPr>
                <w:rStyle w:val="95"/>
                <w:szCs w:val="21"/>
              </w:rPr>
            </w:pPr>
          </w:p>
        </w:tc>
        <w:tc>
          <w:tcPr>
            <w:tcW w:w="1456" w:type="dxa"/>
            <w:vAlign w:val="center"/>
          </w:tcPr>
          <w:p w14:paraId="602A9D2D">
            <w:pPr>
              <w:jc w:val="center"/>
              <w:rPr>
                <w:rStyle w:val="95"/>
                <w:szCs w:val="21"/>
              </w:rPr>
            </w:pPr>
          </w:p>
        </w:tc>
        <w:tc>
          <w:tcPr>
            <w:tcW w:w="2084" w:type="dxa"/>
            <w:vAlign w:val="center"/>
          </w:tcPr>
          <w:p w14:paraId="0FFAABE5">
            <w:pPr>
              <w:jc w:val="center"/>
              <w:rPr>
                <w:rStyle w:val="95"/>
                <w:szCs w:val="21"/>
              </w:rPr>
            </w:pPr>
          </w:p>
        </w:tc>
        <w:tc>
          <w:tcPr>
            <w:tcW w:w="1659" w:type="dxa"/>
            <w:vAlign w:val="center"/>
          </w:tcPr>
          <w:p w14:paraId="7FEC485C">
            <w:pPr>
              <w:jc w:val="center"/>
              <w:rPr>
                <w:rStyle w:val="95"/>
                <w:szCs w:val="21"/>
              </w:rPr>
            </w:pPr>
          </w:p>
        </w:tc>
        <w:tc>
          <w:tcPr>
            <w:tcW w:w="1662" w:type="dxa"/>
            <w:vAlign w:val="center"/>
          </w:tcPr>
          <w:p w14:paraId="7FB52530">
            <w:pPr>
              <w:jc w:val="center"/>
              <w:rPr>
                <w:rStyle w:val="95"/>
                <w:szCs w:val="21"/>
              </w:rPr>
            </w:pPr>
          </w:p>
        </w:tc>
        <w:tc>
          <w:tcPr>
            <w:tcW w:w="1658" w:type="dxa"/>
            <w:vAlign w:val="center"/>
          </w:tcPr>
          <w:p w14:paraId="072909E9">
            <w:pPr>
              <w:jc w:val="center"/>
              <w:rPr>
                <w:rStyle w:val="95"/>
                <w:szCs w:val="21"/>
              </w:rPr>
            </w:pPr>
          </w:p>
        </w:tc>
      </w:tr>
      <w:tr w14:paraId="374F9C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55" w:hRule="exact"/>
          <w:jc w:val="center"/>
        </w:trPr>
        <w:tc>
          <w:tcPr>
            <w:tcW w:w="1444" w:type="dxa"/>
            <w:vAlign w:val="center"/>
          </w:tcPr>
          <w:p w14:paraId="1F21FAE1">
            <w:pPr>
              <w:jc w:val="center"/>
              <w:rPr>
                <w:rStyle w:val="95"/>
                <w:szCs w:val="21"/>
              </w:rPr>
            </w:pPr>
          </w:p>
        </w:tc>
        <w:tc>
          <w:tcPr>
            <w:tcW w:w="1456" w:type="dxa"/>
            <w:vAlign w:val="center"/>
          </w:tcPr>
          <w:p w14:paraId="4CBA3408">
            <w:pPr>
              <w:jc w:val="center"/>
              <w:rPr>
                <w:rStyle w:val="95"/>
                <w:szCs w:val="21"/>
              </w:rPr>
            </w:pPr>
          </w:p>
        </w:tc>
        <w:tc>
          <w:tcPr>
            <w:tcW w:w="2084" w:type="dxa"/>
            <w:vAlign w:val="center"/>
          </w:tcPr>
          <w:p w14:paraId="2CAB7191">
            <w:pPr>
              <w:jc w:val="center"/>
              <w:rPr>
                <w:rStyle w:val="95"/>
                <w:szCs w:val="21"/>
              </w:rPr>
            </w:pPr>
          </w:p>
        </w:tc>
        <w:tc>
          <w:tcPr>
            <w:tcW w:w="1659" w:type="dxa"/>
            <w:vAlign w:val="center"/>
          </w:tcPr>
          <w:p w14:paraId="676288AC">
            <w:pPr>
              <w:jc w:val="center"/>
              <w:rPr>
                <w:rStyle w:val="95"/>
                <w:szCs w:val="21"/>
              </w:rPr>
            </w:pPr>
          </w:p>
        </w:tc>
        <w:tc>
          <w:tcPr>
            <w:tcW w:w="1662" w:type="dxa"/>
            <w:vAlign w:val="center"/>
          </w:tcPr>
          <w:p w14:paraId="3AAEE93A">
            <w:pPr>
              <w:jc w:val="center"/>
              <w:rPr>
                <w:rStyle w:val="95"/>
                <w:szCs w:val="21"/>
              </w:rPr>
            </w:pPr>
          </w:p>
        </w:tc>
        <w:tc>
          <w:tcPr>
            <w:tcW w:w="1658" w:type="dxa"/>
            <w:vAlign w:val="center"/>
          </w:tcPr>
          <w:p w14:paraId="6978C36F">
            <w:pPr>
              <w:jc w:val="center"/>
              <w:rPr>
                <w:rStyle w:val="95"/>
                <w:szCs w:val="21"/>
              </w:rPr>
            </w:pPr>
          </w:p>
        </w:tc>
      </w:tr>
      <w:tr w14:paraId="72966F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55" w:hRule="exact"/>
          <w:jc w:val="center"/>
        </w:trPr>
        <w:tc>
          <w:tcPr>
            <w:tcW w:w="1444" w:type="dxa"/>
            <w:vAlign w:val="center"/>
          </w:tcPr>
          <w:p w14:paraId="5C5A347F">
            <w:pPr>
              <w:jc w:val="center"/>
              <w:rPr>
                <w:rStyle w:val="95"/>
                <w:szCs w:val="21"/>
              </w:rPr>
            </w:pPr>
          </w:p>
        </w:tc>
        <w:tc>
          <w:tcPr>
            <w:tcW w:w="1456" w:type="dxa"/>
            <w:vAlign w:val="center"/>
          </w:tcPr>
          <w:p w14:paraId="19CF505E">
            <w:pPr>
              <w:jc w:val="center"/>
              <w:rPr>
                <w:rStyle w:val="95"/>
                <w:szCs w:val="21"/>
              </w:rPr>
            </w:pPr>
          </w:p>
        </w:tc>
        <w:tc>
          <w:tcPr>
            <w:tcW w:w="2084" w:type="dxa"/>
            <w:vAlign w:val="center"/>
          </w:tcPr>
          <w:p w14:paraId="5A1A6966">
            <w:pPr>
              <w:jc w:val="center"/>
              <w:rPr>
                <w:rStyle w:val="95"/>
                <w:szCs w:val="21"/>
              </w:rPr>
            </w:pPr>
          </w:p>
        </w:tc>
        <w:tc>
          <w:tcPr>
            <w:tcW w:w="1659" w:type="dxa"/>
            <w:vAlign w:val="center"/>
          </w:tcPr>
          <w:p w14:paraId="3D9CBD14">
            <w:pPr>
              <w:jc w:val="center"/>
              <w:rPr>
                <w:rStyle w:val="95"/>
                <w:szCs w:val="21"/>
              </w:rPr>
            </w:pPr>
          </w:p>
        </w:tc>
        <w:tc>
          <w:tcPr>
            <w:tcW w:w="1662" w:type="dxa"/>
            <w:vAlign w:val="center"/>
          </w:tcPr>
          <w:p w14:paraId="2A283A44">
            <w:pPr>
              <w:jc w:val="center"/>
              <w:rPr>
                <w:rStyle w:val="95"/>
                <w:szCs w:val="21"/>
              </w:rPr>
            </w:pPr>
          </w:p>
        </w:tc>
        <w:tc>
          <w:tcPr>
            <w:tcW w:w="1658" w:type="dxa"/>
            <w:vAlign w:val="center"/>
          </w:tcPr>
          <w:p w14:paraId="600D2706">
            <w:pPr>
              <w:jc w:val="center"/>
              <w:rPr>
                <w:rStyle w:val="95"/>
                <w:szCs w:val="21"/>
              </w:rPr>
            </w:pPr>
          </w:p>
        </w:tc>
      </w:tr>
      <w:tr w14:paraId="251CDF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55" w:hRule="exact"/>
          <w:jc w:val="center"/>
        </w:trPr>
        <w:tc>
          <w:tcPr>
            <w:tcW w:w="1444" w:type="dxa"/>
            <w:vAlign w:val="center"/>
          </w:tcPr>
          <w:p w14:paraId="4C211F03">
            <w:pPr>
              <w:jc w:val="center"/>
              <w:rPr>
                <w:rStyle w:val="95"/>
                <w:szCs w:val="21"/>
              </w:rPr>
            </w:pPr>
          </w:p>
        </w:tc>
        <w:tc>
          <w:tcPr>
            <w:tcW w:w="1456" w:type="dxa"/>
            <w:vAlign w:val="center"/>
          </w:tcPr>
          <w:p w14:paraId="7FBFBF87">
            <w:pPr>
              <w:jc w:val="center"/>
              <w:rPr>
                <w:rStyle w:val="95"/>
                <w:szCs w:val="21"/>
              </w:rPr>
            </w:pPr>
          </w:p>
        </w:tc>
        <w:tc>
          <w:tcPr>
            <w:tcW w:w="2084" w:type="dxa"/>
            <w:vAlign w:val="center"/>
          </w:tcPr>
          <w:p w14:paraId="74233BFE">
            <w:pPr>
              <w:jc w:val="center"/>
              <w:rPr>
                <w:rStyle w:val="95"/>
                <w:szCs w:val="21"/>
              </w:rPr>
            </w:pPr>
          </w:p>
        </w:tc>
        <w:tc>
          <w:tcPr>
            <w:tcW w:w="1659" w:type="dxa"/>
            <w:vAlign w:val="center"/>
          </w:tcPr>
          <w:p w14:paraId="206A5AA1">
            <w:pPr>
              <w:jc w:val="center"/>
              <w:rPr>
                <w:rStyle w:val="95"/>
                <w:szCs w:val="21"/>
              </w:rPr>
            </w:pPr>
          </w:p>
        </w:tc>
        <w:tc>
          <w:tcPr>
            <w:tcW w:w="1662" w:type="dxa"/>
            <w:vAlign w:val="center"/>
          </w:tcPr>
          <w:p w14:paraId="5850B9F9">
            <w:pPr>
              <w:jc w:val="center"/>
              <w:rPr>
                <w:rStyle w:val="95"/>
                <w:szCs w:val="21"/>
              </w:rPr>
            </w:pPr>
          </w:p>
        </w:tc>
        <w:tc>
          <w:tcPr>
            <w:tcW w:w="1658" w:type="dxa"/>
            <w:vAlign w:val="center"/>
          </w:tcPr>
          <w:p w14:paraId="1BC95732">
            <w:pPr>
              <w:jc w:val="center"/>
              <w:rPr>
                <w:rStyle w:val="95"/>
                <w:szCs w:val="21"/>
              </w:rPr>
            </w:pPr>
          </w:p>
        </w:tc>
      </w:tr>
      <w:tr w14:paraId="76CE15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55" w:hRule="exact"/>
          <w:jc w:val="center"/>
        </w:trPr>
        <w:tc>
          <w:tcPr>
            <w:tcW w:w="1444" w:type="dxa"/>
            <w:vAlign w:val="center"/>
          </w:tcPr>
          <w:p w14:paraId="3DF6B11D">
            <w:pPr>
              <w:jc w:val="center"/>
              <w:rPr>
                <w:rStyle w:val="95"/>
                <w:szCs w:val="21"/>
              </w:rPr>
            </w:pPr>
          </w:p>
        </w:tc>
        <w:tc>
          <w:tcPr>
            <w:tcW w:w="1456" w:type="dxa"/>
            <w:vAlign w:val="center"/>
          </w:tcPr>
          <w:p w14:paraId="7EC5505F">
            <w:pPr>
              <w:jc w:val="center"/>
              <w:rPr>
                <w:rStyle w:val="95"/>
                <w:szCs w:val="21"/>
              </w:rPr>
            </w:pPr>
          </w:p>
        </w:tc>
        <w:tc>
          <w:tcPr>
            <w:tcW w:w="2084" w:type="dxa"/>
            <w:vAlign w:val="center"/>
          </w:tcPr>
          <w:p w14:paraId="2D1208A4">
            <w:pPr>
              <w:jc w:val="center"/>
              <w:rPr>
                <w:rStyle w:val="95"/>
                <w:szCs w:val="21"/>
              </w:rPr>
            </w:pPr>
          </w:p>
        </w:tc>
        <w:tc>
          <w:tcPr>
            <w:tcW w:w="1659" w:type="dxa"/>
            <w:vAlign w:val="center"/>
          </w:tcPr>
          <w:p w14:paraId="5CC10CA1">
            <w:pPr>
              <w:jc w:val="center"/>
              <w:rPr>
                <w:rStyle w:val="95"/>
                <w:szCs w:val="21"/>
              </w:rPr>
            </w:pPr>
          </w:p>
        </w:tc>
        <w:tc>
          <w:tcPr>
            <w:tcW w:w="1662" w:type="dxa"/>
            <w:vAlign w:val="center"/>
          </w:tcPr>
          <w:p w14:paraId="29052607">
            <w:pPr>
              <w:jc w:val="center"/>
              <w:rPr>
                <w:rStyle w:val="95"/>
                <w:szCs w:val="21"/>
              </w:rPr>
            </w:pPr>
          </w:p>
        </w:tc>
        <w:tc>
          <w:tcPr>
            <w:tcW w:w="1658" w:type="dxa"/>
            <w:vAlign w:val="center"/>
          </w:tcPr>
          <w:p w14:paraId="67C1412D">
            <w:pPr>
              <w:jc w:val="center"/>
              <w:rPr>
                <w:rStyle w:val="95"/>
                <w:szCs w:val="21"/>
              </w:rPr>
            </w:pPr>
          </w:p>
        </w:tc>
      </w:tr>
      <w:tr w14:paraId="2C164A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55" w:hRule="exact"/>
          <w:jc w:val="center"/>
        </w:trPr>
        <w:tc>
          <w:tcPr>
            <w:tcW w:w="1444" w:type="dxa"/>
            <w:vAlign w:val="center"/>
          </w:tcPr>
          <w:p w14:paraId="40F9E1B3">
            <w:pPr>
              <w:jc w:val="center"/>
              <w:rPr>
                <w:rStyle w:val="95"/>
                <w:szCs w:val="21"/>
              </w:rPr>
            </w:pPr>
          </w:p>
        </w:tc>
        <w:tc>
          <w:tcPr>
            <w:tcW w:w="1456" w:type="dxa"/>
            <w:vAlign w:val="center"/>
          </w:tcPr>
          <w:p w14:paraId="2F803EF5">
            <w:pPr>
              <w:jc w:val="center"/>
              <w:rPr>
                <w:rStyle w:val="95"/>
                <w:szCs w:val="21"/>
              </w:rPr>
            </w:pPr>
          </w:p>
        </w:tc>
        <w:tc>
          <w:tcPr>
            <w:tcW w:w="2084" w:type="dxa"/>
            <w:vAlign w:val="center"/>
          </w:tcPr>
          <w:p w14:paraId="0CAD3BF9">
            <w:pPr>
              <w:jc w:val="center"/>
              <w:rPr>
                <w:rStyle w:val="95"/>
                <w:szCs w:val="21"/>
              </w:rPr>
            </w:pPr>
          </w:p>
        </w:tc>
        <w:tc>
          <w:tcPr>
            <w:tcW w:w="1659" w:type="dxa"/>
            <w:vAlign w:val="center"/>
          </w:tcPr>
          <w:p w14:paraId="261987D9">
            <w:pPr>
              <w:jc w:val="center"/>
              <w:rPr>
                <w:rStyle w:val="95"/>
                <w:szCs w:val="21"/>
              </w:rPr>
            </w:pPr>
          </w:p>
        </w:tc>
        <w:tc>
          <w:tcPr>
            <w:tcW w:w="1662" w:type="dxa"/>
            <w:vAlign w:val="center"/>
          </w:tcPr>
          <w:p w14:paraId="71D5C076">
            <w:pPr>
              <w:jc w:val="center"/>
              <w:rPr>
                <w:rStyle w:val="95"/>
                <w:szCs w:val="21"/>
              </w:rPr>
            </w:pPr>
          </w:p>
        </w:tc>
        <w:tc>
          <w:tcPr>
            <w:tcW w:w="1658" w:type="dxa"/>
            <w:vAlign w:val="center"/>
          </w:tcPr>
          <w:p w14:paraId="5A33B893">
            <w:pPr>
              <w:jc w:val="center"/>
              <w:rPr>
                <w:rStyle w:val="95"/>
                <w:szCs w:val="21"/>
              </w:rPr>
            </w:pPr>
          </w:p>
        </w:tc>
      </w:tr>
      <w:tr w14:paraId="09E15F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55" w:hRule="exact"/>
          <w:jc w:val="center"/>
        </w:trPr>
        <w:tc>
          <w:tcPr>
            <w:tcW w:w="1444" w:type="dxa"/>
            <w:vAlign w:val="center"/>
          </w:tcPr>
          <w:p w14:paraId="41608864">
            <w:pPr>
              <w:jc w:val="center"/>
              <w:rPr>
                <w:rStyle w:val="95"/>
                <w:szCs w:val="21"/>
              </w:rPr>
            </w:pPr>
          </w:p>
        </w:tc>
        <w:tc>
          <w:tcPr>
            <w:tcW w:w="1456" w:type="dxa"/>
            <w:vAlign w:val="center"/>
          </w:tcPr>
          <w:p w14:paraId="362B8A09">
            <w:pPr>
              <w:jc w:val="center"/>
              <w:rPr>
                <w:rStyle w:val="95"/>
                <w:szCs w:val="21"/>
              </w:rPr>
            </w:pPr>
          </w:p>
        </w:tc>
        <w:tc>
          <w:tcPr>
            <w:tcW w:w="2084" w:type="dxa"/>
            <w:vAlign w:val="center"/>
          </w:tcPr>
          <w:p w14:paraId="1545EF13">
            <w:pPr>
              <w:jc w:val="center"/>
              <w:rPr>
                <w:rStyle w:val="95"/>
                <w:szCs w:val="21"/>
              </w:rPr>
            </w:pPr>
          </w:p>
        </w:tc>
        <w:tc>
          <w:tcPr>
            <w:tcW w:w="1659" w:type="dxa"/>
            <w:vAlign w:val="center"/>
          </w:tcPr>
          <w:p w14:paraId="2E3C3EE9">
            <w:pPr>
              <w:jc w:val="center"/>
              <w:rPr>
                <w:rStyle w:val="95"/>
                <w:szCs w:val="21"/>
              </w:rPr>
            </w:pPr>
          </w:p>
        </w:tc>
        <w:tc>
          <w:tcPr>
            <w:tcW w:w="1662" w:type="dxa"/>
            <w:vAlign w:val="center"/>
          </w:tcPr>
          <w:p w14:paraId="3124E5E9">
            <w:pPr>
              <w:jc w:val="center"/>
              <w:rPr>
                <w:rStyle w:val="95"/>
                <w:szCs w:val="21"/>
              </w:rPr>
            </w:pPr>
          </w:p>
        </w:tc>
        <w:tc>
          <w:tcPr>
            <w:tcW w:w="1658" w:type="dxa"/>
            <w:vAlign w:val="center"/>
          </w:tcPr>
          <w:p w14:paraId="43162A25">
            <w:pPr>
              <w:jc w:val="center"/>
              <w:rPr>
                <w:rStyle w:val="95"/>
                <w:szCs w:val="21"/>
              </w:rPr>
            </w:pPr>
          </w:p>
        </w:tc>
      </w:tr>
      <w:tr w14:paraId="7CFFF6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55" w:hRule="exact"/>
          <w:jc w:val="center"/>
        </w:trPr>
        <w:tc>
          <w:tcPr>
            <w:tcW w:w="1444" w:type="dxa"/>
            <w:vAlign w:val="center"/>
          </w:tcPr>
          <w:p w14:paraId="01C750C0">
            <w:pPr>
              <w:jc w:val="center"/>
              <w:rPr>
                <w:rStyle w:val="95"/>
                <w:szCs w:val="21"/>
              </w:rPr>
            </w:pPr>
          </w:p>
        </w:tc>
        <w:tc>
          <w:tcPr>
            <w:tcW w:w="1456" w:type="dxa"/>
            <w:vAlign w:val="center"/>
          </w:tcPr>
          <w:p w14:paraId="5EBC42DE">
            <w:pPr>
              <w:jc w:val="center"/>
              <w:rPr>
                <w:rStyle w:val="95"/>
                <w:szCs w:val="21"/>
              </w:rPr>
            </w:pPr>
          </w:p>
        </w:tc>
        <w:tc>
          <w:tcPr>
            <w:tcW w:w="2084" w:type="dxa"/>
            <w:vAlign w:val="center"/>
          </w:tcPr>
          <w:p w14:paraId="495D0179">
            <w:pPr>
              <w:jc w:val="center"/>
              <w:rPr>
                <w:rStyle w:val="95"/>
                <w:szCs w:val="21"/>
              </w:rPr>
            </w:pPr>
          </w:p>
        </w:tc>
        <w:tc>
          <w:tcPr>
            <w:tcW w:w="1659" w:type="dxa"/>
            <w:vAlign w:val="center"/>
          </w:tcPr>
          <w:p w14:paraId="28291C8A">
            <w:pPr>
              <w:jc w:val="center"/>
              <w:rPr>
                <w:rStyle w:val="95"/>
                <w:szCs w:val="21"/>
              </w:rPr>
            </w:pPr>
          </w:p>
        </w:tc>
        <w:tc>
          <w:tcPr>
            <w:tcW w:w="1662" w:type="dxa"/>
            <w:vAlign w:val="center"/>
          </w:tcPr>
          <w:p w14:paraId="70005398">
            <w:pPr>
              <w:jc w:val="center"/>
              <w:rPr>
                <w:rStyle w:val="95"/>
                <w:szCs w:val="21"/>
              </w:rPr>
            </w:pPr>
          </w:p>
        </w:tc>
        <w:tc>
          <w:tcPr>
            <w:tcW w:w="1658" w:type="dxa"/>
            <w:vAlign w:val="center"/>
          </w:tcPr>
          <w:p w14:paraId="2F0C3CEE">
            <w:pPr>
              <w:jc w:val="center"/>
              <w:rPr>
                <w:rStyle w:val="95"/>
                <w:szCs w:val="21"/>
              </w:rPr>
            </w:pPr>
          </w:p>
        </w:tc>
      </w:tr>
      <w:tr w14:paraId="0D07C7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55" w:hRule="exact"/>
          <w:jc w:val="center"/>
        </w:trPr>
        <w:tc>
          <w:tcPr>
            <w:tcW w:w="1444" w:type="dxa"/>
            <w:vAlign w:val="center"/>
          </w:tcPr>
          <w:p w14:paraId="4D15B5A4">
            <w:pPr>
              <w:jc w:val="center"/>
              <w:rPr>
                <w:rStyle w:val="95"/>
                <w:szCs w:val="21"/>
              </w:rPr>
            </w:pPr>
          </w:p>
        </w:tc>
        <w:tc>
          <w:tcPr>
            <w:tcW w:w="1456" w:type="dxa"/>
            <w:vAlign w:val="center"/>
          </w:tcPr>
          <w:p w14:paraId="041626DB">
            <w:pPr>
              <w:jc w:val="center"/>
              <w:rPr>
                <w:rStyle w:val="95"/>
                <w:szCs w:val="21"/>
              </w:rPr>
            </w:pPr>
          </w:p>
        </w:tc>
        <w:tc>
          <w:tcPr>
            <w:tcW w:w="2084" w:type="dxa"/>
            <w:vAlign w:val="center"/>
          </w:tcPr>
          <w:p w14:paraId="4D84378C">
            <w:pPr>
              <w:jc w:val="center"/>
              <w:rPr>
                <w:rStyle w:val="95"/>
                <w:szCs w:val="21"/>
              </w:rPr>
            </w:pPr>
          </w:p>
        </w:tc>
        <w:tc>
          <w:tcPr>
            <w:tcW w:w="1659" w:type="dxa"/>
            <w:vAlign w:val="center"/>
          </w:tcPr>
          <w:p w14:paraId="10BBFD40">
            <w:pPr>
              <w:jc w:val="center"/>
              <w:rPr>
                <w:rStyle w:val="95"/>
                <w:szCs w:val="21"/>
              </w:rPr>
            </w:pPr>
          </w:p>
        </w:tc>
        <w:tc>
          <w:tcPr>
            <w:tcW w:w="1662" w:type="dxa"/>
            <w:vAlign w:val="center"/>
          </w:tcPr>
          <w:p w14:paraId="1B24EB4A">
            <w:pPr>
              <w:jc w:val="center"/>
              <w:rPr>
                <w:rStyle w:val="95"/>
                <w:szCs w:val="21"/>
              </w:rPr>
            </w:pPr>
          </w:p>
        </w:tc>
        <w:tc>
          <w:tcPr>
            <w:tcW w:w="1658" w:type="dxa"/>
            <w:vAlign w:val="center"/>
          </w:tcPr>
          <w:p w14:paraId="23D24A81">
            <w:pPr>
              <w:jc w:val="center"/>
              <w:rPr>
                <w:rStyle w:val="95"/>
                <w:szCs w:val="21"/>
              </w:rPr>
            </w:pPr>
          </w:p>
        </w:tc>
      </w:tr>
      <w:tr w14:paraId="71D983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55" w:hRule="exact"/>
          <w:jc w:val="center"/>
        </w:trPr>
        <w:tc>
          <w:tcPr>
            <w:tcW w:w="1444" w:type="dxa"/>
            <w:vAlign w:val="center"/>
          </w:tcPr>
          <w:p w14:paraId="0C68A867">
            <w:pPr>
              <w:jc w:val="center"/>
              <w:rPr>
                <w:rStyle w:val="95"/>
                <w:szCs w:val="21"/>
              </w:rPr>
            </w:pPr>
          </w:p>
        </w:tc>
        <w:tc>
          <w:tcPr>
            <w:tcW w:w="1456" w:type="dxa"/>
            <w:vAlign w:val="center"/>
          </w:tcPr>
          <w:p w14:paraId="1302057F">
            <w:pPr>
              <w:jc w:val="center"/>
              <w:rPr>
                <w:rStyle w:val="95"/>
                <w:szCs w:val="21"/>
              </w:rPr>
            </w:pPr>
          </w:p>
        </w:tc>
        <w:tc>
          <w:tcPr>
            <w:tcW w:w="2084" w:type="dxa"/>
            <w:vAlign w:val="center"/>
          </w:tcPr>
          <w:p w14:paraId="113F8833">
            <w:pPr>
              <w:jc w:val="center"/>
              <w:rPr>
                <w:rStyle w:val="95"/>
                <w:szCs w:val="21"/>
              </w:rPr>
            </w:pPr>
          </w:p>
        </w:tc>
        <w:tc>
          <w:tcPr>
            <w:tcW w:w="1659" w:type="dxa"/>
            <w:vAlign w:val="center"/>
          </w:tcPr>
          <w:p w14:paraId="10B4A498">
            <w:pPr>
              <w:jc w:val="center"/>
              <w:rPr>
                <w:rStyle w:val="95"/>
                <w:szCs w:val="21"/>
              </w:rPr>
            </w:pPr>
          </w:p>
        </w:tc>
        <w:tc>
          <w:tcPr>
            <w:tcW w:w="1662" w:type="dxa"/>
            <w:vAlign w:val="center"/>
          </w:tcPr>
          <w:p w14:paraId="6410921A">
            <w:pPr>
              <w:jc w:val="center"/>
              <w:rPr>
                <w:rStyle w:val="95"/>
                <w:szCs w:val="21"/>
              </w:rPr>
            </w:pPr>
          </w:p>
        </w:tc>
        <w:tc>
          <w:tcPr>
            <w:tcW w:w="1658" w:type="dxa"/>
            <w:vAlign w:val="center"/>
          </w:tcPr>
          <w:p w14:paraId="0BE5C6E9">
            <w:pPr>
              <w:jc w:val="center"/>
              <w:rPr>
                <w:rStyle w:val="95"/>
                <w:szCs w:val="21"/>
              </w:rPr>
            </w:pPr>
          </w:p>
        </w:tc>
      </w:tr>
      <w:tr w14:paraId="447BB7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55" w:hRule="exact"/>
          <w:jc w:val="center"/>
        </w:trPr>
        <w:tc>
          <w:tcPr>
            <w:tcW w:w="1444" w:type="dxa"/>
            <w:vAlign w:val="center"/>
          </w:tcPr>
          <w:p w14:paraId="5ED3578D">
            <w:pPr>
              <w:jc w:val="center"/>
              <w:rPr>
                <w:rStyle w:val="95"/>
                <w:szCs w:val="21"/>
              </w:rPr>
            </w:pPr>
          </w:p>
        </w:tc>
        <w:tc>
          <w:tcPr>
            <w:tcW w:w="1456" w:type="dxa"/>
            <w:vAlign w:val="center"/>
          </w:tcPr>
          <w:p w14:paraId="6A85F437">
            <w:pPr>
              <w:jc w:val="center"/>
              <w:rPr>
                <w:rStyle w:val="95"/>
                <w:szCs w:val="21"/>
              </w:rPr>
            </w:pPr>
          </w:p>
        </w:tc>
        <w:tc>
          <w:tcPr>
            <w:tcW w:w="2084" w:type="dxa"/>
            <w:vAlign w:val="center"/>
          </w:tcPr>
          <w:p w14:paraId="14392A94">
            <w:pPr>
              <w:jc w:val="center"/>
              <w:rPr>
                <w:rStyle w:val="95"/>
                <w:szCs w:val="21"/>
              </w:rPr>
            </w:pPr>
          </w:p>
        </w:tc>
        <w:tc>
          <w:tcPr>
            <w:tcW w:w="1659" w:type="dxa"/>
            <w:vAlign w:val="center"/>
          </w:tcPr>
          <w:p w14:paraId="36CD6414">
            <w:pPr>
              <w:jc w:val="center"/>
              <w:rPr>
                <w:rStyle w:val="95"/>
                <w:szCs w:val="21"/>
              </w:rPr>
            </w:pPr>
          </w:p>
        </w:tc>
        <w:tc>
          <w:tcPr>
            <w:tcW w:w="1662" w:type="dxa"/>
            <w:vAlign w:val="center"/>
          </w:tcPr>
          <w:p w14:paraId="76D0E8CF">
            <w:pPr>
              <w:jc w:val="center"/>
              <w:rPr>
                <w:rStyle w:val="95"/>
                <w:szCs w:val="21"/>
              </w:rPr>
            </w:pPr>
          </w:p>
        </w:tc>
        <w:tc>
          <w:tcPr>
            <w:tcW w:w="1658" w:type="dxa"/>
            <w:vAlign w:val="center"/>
          </w:tcPr>
          <w:p w14:paraId="027267CC">
            <w:pPr>
              <w:jc w:val="center"/>
              <w:rPr>
                <w:rStyle w:val="95"/>
                <w:szCs w:val="21"/>
              </w:rPr>
            </w:pPr>
          </w:p>
        </w:tc>
      </w:tr>
      <w:tr w14:paraId="5A00E3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55" w:hRule="exact"/>
          <w:jc w:val="center"/>
        </w:trPr>
        <w:tc>
          <w:tcPr>
            <w:tcW w:w="1444" w:type="dxa"/>
            <w:vAlign w:val="center"/>
          </w:tcPr>
          <w:p w14:paraId="2AD05334">
            <w:pPr>
              <w:jc w:val="center"/>
              <w:rPr>
                <w:rStyle w:val="95"/>
                <w:szCs w:val="21"/>
              </w:rPr>
            </w:pPr>
          </w:p>
        </w:tc>
        <w:tc>
          <w:tcPr>
            <w:tcW w:w="1456" w:type="dxa"/>
            <w:vAlign w:val="center"/>
          </w:tcPr>
          <w:p w14:paraId="35C7D6F0">
            <w:pPr>
              <w:jc w:val="center"/>
              <w:rPr>
                <w:rStyle w:val="95"/>
                <w:szCs w:val="21"/>
              </w:rPr>
            </w:pPr>
          </w:p>
        </w:tc>
        <w:tc>
          <w:tcPr>
            <w:tcW w:w="2084" w:type="dxa"/>
            <w:vAlign w:val="center"/>
          </w:tcPr>
          <w:p w14:paraId="2660804B">
            <w:pPr>
              <w:jc w:val="center"/>
              <w:rPr>
                <w:rStyle w:val="95"/>
                <w:szCs w:val="21"/>
              </w:rPr>
            </w:pPr>
          </w:p>
        </w:tc>
        <w:tc>
          <w:tcPr>
            <w:tcW w:w="1659" w:type="dxa"/>
            <w:vAlign w:val="center"/>
          </w:tcPr>
          <w:p w14:paraId="557E9D25">
            <w:pPr>
              <w:jc w:val="center"/>
              <w:rPr>
                <w:rStyle w:val="95"/>
                <w:szCs w:val="21"/>
              </w:rPr>
            </w:pPr>
          </w:p>
        </w:tc>
        <w:tc>
          <w:tcPr>
            <w:tcW w:w="1662" w:type="dxa"/>
            <w:vAlign w:val="center"/>
          </w:tcPr>
          <w:p w14:paraId="6CD8FE39">
            <w:pPr>
              <w:jc w:val="center"/>
              <w:rPr>
                <w:rStyle w:val="95"/>
                <w:szCs w:val="21"/>
              </w:rPr>
            </w:pPr>
          </w:p>
        </w:tc>
        <w:tc>
          <w:tcPr>
            <w:tcW w:w="1658" w:type="dxa"/>
            <w:vAlign w:val="center"/>
          </w:tcPr>
          <w:p w14:paraId="4D6DB9EE">
            <w:pPr>
              <w:jc w:val="center"/>
              <w:rPr>
                <w:rStyle w:val="95"/>
                <w:szCs w:val="21"/>
              </w:rPr>
            </w:pPr>
          </w:p>
        </w:tc>
      </w:tr>
      <w:tr w14:paraId="45FD3E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55" w:hRule="exact"/>
          <w:jc w:val="center"/>
        </w:trPr>
        <w:tc>
          <w:tcPr>
            <w:tcW w:w="1444" w:type="dxa"/>
            <w:vAlign w:val="center"/>
          </w:tcPr>
          <w:p w14:paraId="4959D45D">
            <w:pPr>
              <w:jc w:val="center"/>
              <w:rPr>
                <w:rStyle w:val="95"/>
                <w:szCs w:val="21"/>
              </w:rPr>
            </w:pPr>
          </w:p>
        </w:tc>
        <w:tc>
          <w:tcPr>
            <w:tcW w:w="1456" w:type="dxa"/>
            <w:vAlign w:val="center"/>
          </w:tcPr>
          <w:p w14:paraId="47AB7A55">
            <w:pPr>
              <w:jc w:val="center"/>
              <w:rPr>
                <w:rStyle w:val="95"/>
                <w:szCs w:val="21"/>
              </w:rPr>
            </w:pPr>
          </w:p>
        </w:tc>
        <w:tc>
          <w:tcPr>
            <w:tcW w:w="2084" w:type="dxa"/>
            <w:vAlign w:val="center"/>
          </w:tcPr>
          <w:p w14:paraId="23661146">
            <w:pPr>
              <w:jc w:val="center"/>
              <w:rPr>
                <w:rStyle w:val="95"/>
                <w:szCs w:val="21"/>
              </w:rPr>
            </w:pPr>
          </w:p>
        </w:tc>
        <w:tc>
          <w:tcPr>
            <w:tcW w:w="1659" w:type="dxa"/>
            <w:vAlign w:val="center"/>
          </w:tcPr>
          <w:p w14:paraId="6B1B1DD6">
            <w:pPr>
              <w:jc w:val="center"/>
              <w:rPr>
                <w:rStyle w:val="95"/>
                <w:szCs w:val="21"/>
              </w:rPr>
            </w:pPr>
          </w:p>
        </w:tc>
        <w:tc>
          <w:tcPr>
            <w:tcW w:w="1662" w:type="dxa"/>
            <w:vAlign w:val="center"/>
          </w:tcPr>
          <w:p w14:paraId="0910BE2F">
            <w:pPr>
              <w:jc w:val="center"/>
              <w:rPr>
                <w:rStyle w:val="95"/>
                <w:szCs w:val="21"/>
              </w:rPr>
            </w:pPr>
          </w:p>
        </w:tc>
        <w:tc>
          <w:tcPr>
            <w:tcW w:w="1658" w:type="dxa"/>
            <w:vAlign w:val="center"/>
          </w:tcPr>
          <w:p w14:paraId="5130B8F0">
            <w:pPr>
              <w:jc w:val="center"/>
              <w:rPr>
                <w:rStyle w:val="95"/>
                <w:szCs w:val="21"/>
              </w:rPr>
            </w:pPr>
          </w:p>
        </w:tc>
      </w:tr>
      <w:tr w14:paraId="6E34B5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55" w:hRule="exact"/>
          <w:jc w:val="center"/>
        </w:trPr>
        <w:tc>
          <w:tcPr>
            <w:tcW w:w="1444" w:type="dxa"/>
            <w:vAlign w:val="center"/>
          </w:tcPr>
          <w:p w14:paraId="6A7DB80E">
            <w:pPr>
              <w:jc w:val="center"/>
              <w:rPr>
                <w:rStyle w:val="95"/>
                <w:szCs w:val="21"/>
              </w:rPr>
            </w:pPr>
          </w:p>
        </w:tc>
        <w:tc>
          <w:tcPr>
            <w:tcW w:w="1456" w:type="dxa"/>
            <w:vAlign w:val="center"/>
          </w:tcPr>
          <w:p w14:paraId="4858261A">
            <w:pPr>
              <w:jc w:val="center"/>
              <w:rPr>
                <w:rStyle w:val="95"/>
                <w:szCs w:val="21"/>
              </w:rPr>
            </w:pPr>
          </w:p>
        </w:tc>
        <w:tc>
          <w:tcPr>
            <w:tcW w:w="2084" w:type="dxa"/>
            <w:vAlign w:val="center"/>
          </w:tcPr>
          <w:p w14:paraId="7B47C95C">
            <w:pPr>
              <w:jc w:val="center"/>
              <w:rPr>
                <w:rStyle w:val="95"/>
                <w:szCs w:val="21"/>
              </w:rPr>
            </w:pPr>
          </w:p>
        </w:tc>
        <w:tc>
          <w:tcPr>
            <w:tcW w:w="1659" w:type="dxa"/>
            <w:vAlign w:val="center"/>
          </w:tcPr>
          <w:p w14:paraId="7D619499">
            <w:pPr>
              <w:jc w:val="center"/>
              <w:rPr>
                <w:rStyle w:val="95"/>
                <w:szCs w:val="21"/>
              </w:rPr>
            </w:pPr>
          </w:p>
        </w:tc>
        <w:tc>
          <w:tcPr>
            <w:tcW w:w="1662" w:type="dxa"/>
            <w:vAlign w:val="center"/>
          </w:tcPr>
          <w:p w14:paraId="5E4D4B9B">
            <w:pPr>
              <w:jc w:val="center"/>
              <w:rPr>
                <w:rStyle w:val="95"/>
                <w:szCs w:val="21"/>
              </w:rPr>
            </w:pPr>
          </w:p>
        </w:tc>
        <w:tc>
          <w:tcPr>
            <w:tcW w:w="1658" w:type="dxa"/>
            <w:vAlign w:val="center"/>
          </w:tcPr>
          <w:p w14:paraId="3FCA7D6A">
            <w:pPr>
              <w:jc w:val="center"/>
              <w:rPr>
                <w:rStyle w:val="95"/>
                <w:szCs w:val="21"/>
              </w:rPr>
            </w:pPr>
          </w:p>
        </w:tc>
      </w:tr>
      <w:tr w14:paraId="3CB973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55" w:hRule="exact"/>
          <w:jc w:val="center"/>
        </w:trPr>
        <w:tc>
          <w:tcPr>
            <w:tcW w:w="1444" w:type="dxa"/>
            <w:vAlign w:val="center"/>
          </w:tcPr>
          <w:p w14:paraId="192C545B">
            <w:pPr>
              <w:jc w:val="center"/>
              <w:rPr>
                <w:rStyle w:val="95"/>
                <w:szCs w:val="21"/>
              </w:rPr>
            </w:pPr>
          </w:p>
        </w:tc>
        <w:tc>
          <w:tcPr>
            <w:tcW w:w="1456" w:type="dxa"/>
            <w:vAlign w:val="center"/>
          </w:tcPr>
          <w:p w14:paraId="7663CEB1">
            <w:pPr>
              <w:jc w:val="center"/>
              <w:rPr>
                <w:rStyle w:val="95"/>
                <w:szCs w:val="21"/>
              </w:rPr>
            </w:pPr>
          </w:p>
        </w:tc>
        <w:tc>
          <w:tcPr>
            <w:tcW w:w="2084" w:type="dxa"/>
            <w:vAlign w:val="center"/>
          </w:tcPr>
          <w:p w14:paraId="23E0E763">
            <w:pPr>
              <w:jc w:val="center"/>
              <w:rPr>
                <w:rStyle w:val="95"/>
                <w:szCs w:val="21"/>
              </w:rPr>
            </w:pPr>
          </w:p>
        </w:tc>
        <w:tc>
          <w:tcPr>
            <w:tcW w:w="1659" w:type="dxa"/>
            <w:vAlign w:val="center"/>
          </w:tcPr>
          <w:p w14:paraId="76EC8531">
            <w:pPr>
              <w:jc w:val="center"/>
              <w:rPr>
                <w:rStyle w:val="95"/>
                <w:szCs w:val="21"/>
              </w:rPr>
            </w:pPr>
          </w:p>
        </w:tc>
        <w:tc>
          <w:tcPr>
            <w:tcW w:w="1662" w:type="dxa"/>
            <w:vAlign w:val="center"/>
          </w:tcPr>
          <w:p w14:paraId="21E00AFA">
            <w:pPr>
              <w:jc w:val="center"/>
              <w:rPr>
                <w:rStyle w:val="95"/>
                <w:szCs w:val="21"/>
              </w:rPr>
            </w:pPr>
          </w:p>
        </w:tc>
        <w:tc>
          <w:tcPr>
            <w:tcW w:w="1658" w:type="dxa"/>
            <w:vAlign w:val="center"/>
          </w:tcPr>
          <w:p w14:paraId="53D30191">
            <w:pPr>
              <w:jc w:val="center"/>
              <w:rPr>
                <w:rStyle w:val="95"/>
                <w:szCs w:val="21"/>
              </w:rPr>
            </w:pPr>
          </w:p>
        </w:tc>
      </w:tr>
      <w:tr w14:paraId="1FA7F2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55" w:hRule="exact"/>
          <w:jc w:val="center"/>
        </w:trPr>
        <w:tc>
          <w:tcPr>
            <w:tcW w:w="1444" w:type="dxa"/>
            <w:vAlign w:val="center"/>
          </w:tcPr>
          <w:p w14:paraId="7BA4DCEB">
            <w:pPr>
              <w:jc w:val="center"/>
              <w:rPr>
                <w:rStyle w:val="95"/>
                <w:szCs w:val="21"/>
              </w:rPr>
            </w:pPr>
          </w:p>
        </w:tc>
        <w:tc>
          <w:tcPr>
            <w:tcW w:w="1456" w:type="dxa"/>
            <w:vAlign w:val="center"/>
          </w:tcPr>
          <w:p w14:paraId="4F73500C">
            <w:pPr>
              <w:jc w:val="center"/>
              <w:rPr>
                <w:rStyle w:val="95"/>
                <w:szCs w:val="21"/>
              </w:rPr>
            </w:pPr>
          </w:p>
        </w:tc>
        <w:tc>
          <w:tcPr>
            <w:tcW w:w="2084" w:type="dxa"/>
            <w:vAlign w:val="center"/>
          </w:tcPr>
          <w:p w14:paraId="7D38B96C">
            <w:pPr>
              <w:jc w:val="center"/>
              <w:rPr>
                <w:rStyle w:val="95"/>
                <w:szCs w:val="21"/>
              </w:rPr>
            </w:pPr>
          </w:p>
        </w:tc>
        <w:tc>
          <w:tcPr>
            <w:tcW w:w="1659" w:type="dxa"/>
            <w:vAlign w:val="center"/>
          </w:tcPr>
          <w:p w14:paraId="42A5A664">
            <w:pPr>
              <w:jc w:val="center"/>
              <w:rPr>
                <w:rStyle w:val="95"/>
                <w:szCs w:val="21"/>
              </w:rPr>
            </w:pPr>
          </w:p>
        </w:tc>
        <w:tc>
          <w:tcPr>
            <w:tcW w:w="1662" w:type="dxa"/>
            <w:vAlign w:val="center"/>
          </w:tcPr>
          <w:p w14:paraId="6D0BED9D">
            <w:pPr>
              <w:jc w:val="center"/>
              <w:rPr>
                <w:rStyle w:val="95"/>
                <w:szCs w:val="21"/>
              </w:rPr>
            </w:pPr>
          </w:p>
        </w:tc>
        <w:tc>
          <w:tcPr>
            <w:tcW w:w="1658" w:type="dxa"/>
            <w:vAlign w:val="center"/>
          </w:tcPr>
          <w:p w14:paraId="35939578">
            <w:pPr>
              <w:jc w:val="center"/>
              <w:rPr>
                <w:rStyle w:val="95"/>
                <w:szCs w:val="21"/>
              </w:rPr>
            </w:pPr>
          </w:p>
        </w:tc>
      </w:tr>
      <w:tr w14:paraId="48A98B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55" w:hRule="exact"/>
          <w:jc w:val="center"/>
        </w:trPr>
        <w:tc>
          <w:tcPr>
            <w:tcW w:w="1444" w:type="dxa"/>
            <w:vAlign w:val="center"/>
          </w:tcPr>
          <w:p w14:paraId="7356AED0">
            <w:pPr>
              <w:jc w:val="center"/>
              <w:rPr>
                <w:rStyle w:val="95"/>
                <w:szCs w:val="21"/>
              </w:rPr>
            </w:pPr>
          </w:p>
        </w:tc>
        <w:tc>
          <w:tcPr>
            <w:tcW w:w="1456" w:type="dxa"/>
            <w:vAlign w:val="center"/>
          </w:tcPr>
          <w:p w14:paraId="6C15DF76">
            <w:pPr>
              <w:jc w:val="center"/>
              <w:rPr>
                <w:rStyle w:val="95"/>
                <w:szCs w:val="21"/>
              </w:rPr>
            </w:pPr>
          </w:p>
        </w:tc>
        <w:tc>
          <w:tcPr>
            <w:tcW w:w="2084" w:type="dxa"/>
            <w:vAlign w:val="center"/>
          </w:tcPr>
          <w:p w14:paraId="568C53B0">
            <w:pPr>
              <w:jc w:val="center"/>
              <w:rPr>
                <w:rStyle w:val="95"/>
                <w:szCs w:val="21"/>
              </w:rPr>
            </w:pPr>
          </w:p>
        </w:tc>
        <w:tc>
          <w:tcPr>
            <w:tcW w:w="1659" w:type="dxa"/>
            <w:vAlign w:val="center"/>
          </w:tcPr>
          <w:p w14:paraId="0216537A">
            <w:pPr>
              <w:jc w:val="center"/>
              <w:rPr>
                <w:rStyle w:val="95"/>
                <w:szCs w:val="21"/>
              </w:rPr>
            </w:pPr>
          </w:p>
        </w:tc>
        <w:tc>
          <w:tcPr>
            <w:tcW w:w="1662" w:type="dxa"/>
            <w:vAlign w:val="center"/>
          </w:tcPr>
          <w:p w14:paraId="2A4E37D8">
            <w:pPr>
              <w:jc w:val="center"/>
              <w:rPr>
                <w:rStyle w:val="95"/>
                <w:szCs w:val="21"/>
              </w:rPr>
            </w:pPr>
          </w:p>
        </w:tc>
        <w:tc>
          <w:tcPr>
            <w:tcW w:w="1658" w:type="dxa"/>
            <w:vAlign w:val="center"/>
          </w:tcPr>
          <w:p w14:paraId="3894F4B2">
            <w:pPr>
              <w:jc w:val="center"/>
              <w:rPr>
                <w:rStyle w:val="95"/>
                <w:szCs w:val="21"/>
              </w:rPr>
            </w:pPr>
          </w:p>
        </w:tc>
      </w:tr>
    </w:tbl>
    <w:p w14:paraId="446E11B8">
      <w:pPr>
        <w:spacing w:line="400" w:lineRule="exact"/>
        <w:rPr>
          <w:rStyle w:val="95"/>
        </w:rPr>
      </w:pPr>
      <w:r>
        <w:rPr>
          <w:rStyle w:val="95"/>
          <w:rFonts w:hint="eastAsia"/>
        </w:rPr>
        <w:t>投标人（盖章）：</w:t>
      </w:r>
    </w:p>
    <w:p w14:paraId="4B242C19">
      <w:pPr>
        <w:spacing w:line="400" w:lineRule="exact"/>
        <w:rPr>
          <w:rStyle w:val="95"/>
        </w:rPr>
      </w:pPr>
      <w:r>
        <w:rPr>
          <w:rStyle w:val="95"/>
          <w:rFonts w:hint="eastAsia"/>
        </w:rPr>
        <w:t>法定代表人或授权代理人（签字）：</w:t>
      </w:r>
    </w:p>
    <w:p w14:paraId="52421298">
      <w:pPr>
        <w:rPr>
          <w:rStyle w:val="95"/>
          <w:szCs w:val="21"/>
        </w:rPr>
      </w:pPr>
    </w:p>
    <w:p w14:paraId="2069FA18">
      <w:pPr>
        <w:rPr>
          <w:rStyle w:val="95"/>
          <w:szCs w:val="21"/>
        </w:rPr>
      </w:pPr>
    </w:p>
    <w:p w14:paraId="4774D725">
      <w:pPr>
        <w:rPr>
          <w:rStyle w:val="95"/>
          <w:szCs w:val="21"/>
        </w:rPr>
      </w:pPr>
      <w:r>
        <w:rPr>
          <w:rStyle w:val="95"/>
          <w:rFonts w:hint="eastAsia"/>
          <w:szCs w:val="21"/>
        </w:rPr>
        <w:t>注：本表填报的人员应满足为确保本项目顺利完成所需最低技术与管理人员的要求。</w:t>
      </w:r>
    </w:p>
    <w:p w14:paraId="2791A452">
      <w:pPr>
        <w:pStyle w:val="87"/>
        <w:spacing w:before="0" w:after="120" w:line="900" w:lineRule="exact"/>
        <w:jc w:val="center"/>
        <w:rPr>
          <w:rStyle w:val="95"/>
          <w:rFonts w:ascii="Times New Roman" w:hAnsi="Times New Roman" w:eastAsia="宋体"/>
          <w:kern w:val="0"/>
          <w:sz w:val="28"/>
          <w:szCs w:val="28"/>
        </w:rPr>
      </w:pPr>
      <w:r>
        <w:rPr>
          <w:rStyle w:val="95"/>
          <w:rFonts w:hint="eastAsia" w:ascii="Times New Roman" w:hAnsi="Times New Roman" w:eastAsia="宋体"/>
          <w:kern w:val="0"/>
          <w:sz w:val="28"/>
          <w:szCs w:val="28"/>
        </w:rPr>
        <w:t>四</w:t>
      </w:r>
      <w:r>
        <w:rPr>
          <w:rStyle w:val="95"/>
          <w:rFonts w:ascii="Times New Roman" w:hAnsi="Times New Roman" w:eastAsia="宋体"/>
          <w:kern w:val="0"/>
          <w:sz w:val="28"/>
          <w:szCs w:val="28"/>
        </w:rPr>
        <w:t>-1</w:t>
      </w:r>
      <w:r>
        <w:rPr>
          <w:rStyle w:val="95"/>
          <w:rFonts w:hint="eastAsia" w:ascii="Times New Roman" w:hAnsi="Times New Roman" w:eastAsia="宋体"/>
          <w:kern w:val="0"/>
          <w:sz w:val="28"/>
          <w:szCs w:val="28"/>
        </w:rPr>
        <w:t>、拟委任的其他主要技术和管理人员资历表</w:t>
      </w:r>
    </w:p>
    <w:tbl>
      <w:tblPr>
        <w:tblStyle w:val="45"/>
        <w:tblW w:w="996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00"/>
        <w:gridCol w:w="1700"/>
        <w:gridCol w:w="1567"/>
        <w:gridCol w:w="891"/>
        <w:gridCol w:w="636"/>
        <w:gridCol w:w="803"/>
        <w:gridCol w:w="1439"/>
        <w:gridCol w:w="1528"/>
      </w:tblGrid>
      <w:tr w14:paraId="206D34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4" w:hRule="atLeast"/>
          <w:jc w:val="center"/>
        </w:trPr>
        <w:tc>
          <w:tcPr>
            <w:tcW w:w="1400" w:type="dxa"/>
            <w:vAlign w:val="center"/>
          </w:tcPr>
          <w:p w14:paraId="18A2E1FD">
            <w:pPr>
              <w:tabs>
                <w:tab w:val="left" w:pos="680"/>
              </w:tabs>
              <w:spacing w:before="73"/>
              <w:jc w:val="center"/>
              <w:rPr>
                <w:rStyle w:val="95"/>
                <w:kern w:val="0"/>
                <w:szCs w:val="21"/>
              </w:rPr>
            </w:pPr>
            <w:r>
              <w:rPr>
                <w:rStyle w:val="95"/>
                <w:rFonts w:hint="eastAsia"/>
                <w:kern w:val="0"/>
                <w:szCs w:val="21"/>
              </w:rPr>
              <w:t>姓</w:t>
            </w:r>
            <w:r>
              <w:rPr>
                <w:rStyle w:val="95"/>
                <w:kern w:val="0"/>
                <w:szCs w:val="21"/>
              </w:rPr>
              <w:tab/>
            </w:r>
            <w:r>
              <w:rPr>
                <w:rStyle w:val="95"/>
                <w:rFonts w:hint="eastAsia"/>
                <w:kern w:val="0"/>
                <w:szCs w:val="21"/>
              </w:rPr>
              <w:t>名</w:t>
            </w:r>
          </w:p>
        </w:tc>
        <w:tc>
          <w:tcPr>
            <w:tcW w:w="1700" w:type="dxa"/>
            <w:vAlign w:val="center"/>
          </w:tcPr>
          <w:p w14:paraId="4E678A05">
            <w:pPr>
              <w:jc w:val="center"/>
              <w:rPr>
                <w:rStyle w:val="95"/>
                <w:kern w:val="0"/>
                <w:szCs w:val="21"/>
              </w:rPr>
            </w:pPr>
          </w:p>
        </w:tc>
        <w:tc>
          <w:tcPr>
            <w:tcW w:w="1567" w:type="dxa"/>
            <w:vAlign w:val="center"/>
          </w:tcPr>
          <w:p w14:paraId="3CF0B971">
            <w:pPr>
              <w:spacing w:before="73"/>
              <w:jc w:val="center"/>
              <w:rPr>
                <w:rStyle w:val="95"/>
                <w:kern w:val="0"/>
                <w:szCs w:val="21"/>
              </w:rPr>
            </w:pPr>
            <w:r>
              <w:rPr>
                <w:rStyle w:val="95"/>
                <w:rFonts w:hint="eastAsia"/>
                <w:kern w:val="0"/>
                <w:szCs w:val="21"/>
              </w:rPr>
              <w:t>年</w:t>
            </w:r>
            <w:r>
              <w:rPr>
                <w:rStyle w:val="95"/>
                <w:kern w:val="0"/>
                <w:szCs w:val="21"/>
              </w:rPr>
              <w:t xml:space="preserve">  </w:t>
            </w:r>
            <w:r>
              <w:rPr>
                <w:rStyle w:val="95"/>
                <w:rFonts w:hint="eastAsia"/>
                <w:kern w:val="0"/>
                <w:szCs w:val="21"/>
              </w:rPr>
              <w:t>龄</w:t>
            </w:r>
          </w:p>
        </w:tc>
        <w:tc>
          <w:tcPr>
            <w:tcW w:w="1527" w:type="dxa"/>
            <w:gridSpan w:val="2"/>
            <w:vAlign w:val="center"/>
          </w:tcPr>
          <w:p w14:paraId="7EA80B62">
            <w:pPr>
              <w:jc w:val="center"/>
              <w:rPr>
                <w:rStyle w:val="95"/>
                <w:kern w:val="0"/>
                <w:szCs w:val="21"/>
              </w:rPr>
            </w:pPr>
          </w:p>
        </w:tc>
        <w:tc>
          <w:tcPr>
            <w:tcW w:w="2242" w:type="dxa"/>
            <w:gridSpan w:val="2"/>
            <w:vAlign w:val="center"/>
          </w:tcPr>
          <w:p w14:paraId="602032A7">
            <w:pPr>
              <w:spacing w:before="73"/>
              <w:jc w:val="center"/>
              <w:rPr>
                <w:rStyle w:val="95"/>
                <w:kern w:val="0"/>
                <w:szCs w:val="21"/>
              </w:rPr>
            </w:pPr>
            <w:r>
              <w:rPr>
                <w:rStyle w:val="95"/>
                <w:rFonts w:hint="eastAsia"/>
                <w:kern w:val="0"/>
                <w:szCs w:val="21"/>
              </w:rPr>
              <w:t>专</w:t>
            </w:r>
            <w:r>
              <w:rPr>
                <w:rStyle w:val="95"/>
                <w:kern w:val="0"/>
                <w:szCs w:val="21"/>
              </w:rPr>
              <w:t xml:space="preserve">  </w:t>
            </w:r>
            <w:r>
              <w:rPr>
                <w:rStyle w:val="95"/>
                <w:rFonts w:hint="eastAsia"/>
                <w:kern w:val="0"/>
                <w:szCs w:val="21"/>
              </w:rPr>
              <w:t>业</w:t>
            </w:r>
          </w:p>
        </w:tc>
        <w:tc>
          <w:tcPr>
            <w:tcW w:w="1528" w:type="dxa"/>
            <w:vAlign w:val="center"/>
          </w:tcPr>
          <w:p w14:paraId="5EF72707">
            <w:pPr>
              <w:jc w:val="center"/>
              <w:rPr>
                <w:rStyle w:val="95"/>
                <w:szCs w:val="21"/>
              </w:rPr>
            </w:pPr>
          </w:p>
        </w:tc>
      </w:tr>
      <w:tr w14:paraId="1B928D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4" w:hRule="atLeast"/>
          <w:jc w:val="center"/>
        </w:trPr>
        <w:tc>
          <w:tcPr>
            <w:tcW w:w="1400" w:type="dxa"/>
            <w:vAlign w:val="center"/>
          </w:tcPr>
          <w:p w14:paraId="4350757A">
            <w:pPr>
              <w:tabs>
                <w:tab w:val="left" w:pos="680"/>
              </w:tabs>
              <w:spacing w:before="73"/>
              <w:jc w:val="center"/>
              <w:rPr>
                <w:rStyle w:val="95"/>
                <w:kern w:val="0"/>
                <w:szCs w:val="21"/>
              </w:rPr>
            </w:pPr>
            <w:r>
              <w:rPr>
                <w:rStyle w:val="95"/>
                <w:rFonts w:hint="eastAsia"/>
                <w:kern w:val="0"/>
                <w:szCs w:val="21"/>
              </w:rPr>
              <w:t>职</w:t>
            </w:r>
            <w:r>
              <w:rPr>
                <w:rStyle w:val="95"/>
                <w:kern w:val="0"/>
                <w:szCs w:val="21"/>
              </w:rPr>
              <w:tab/>
            </w:r>
            <w:r>
              <w:rPr>
                <w:rStyle w:val="95"/>
                <w:rFonts w:hint="eastAsia"/>
                <w:kern w:val="0"/>
                <w:szCs w:val="21"/>
              </w:rPr>
              <w:t>称</w:t>
            </w:r>
          </w:p>
        </w:tc>
        <w:tc>
          <w:tcPr>
            <w:tcW w:w="1700" w:type="dxa"/>
            <w:vAlign w:val="center"/>
          </w:tcPr>
          <w:p w14:paraId="6207FB57">
            <w:pPr>
              <w:jc w:val="center"/>
              <w:rPr>
                <w:rStyle w:val="95"/>
                <w:kern w:val="0"/>
                <w:szCs w:val="21"/>
              </w:rPr>
            </w:pPr>
          </w:p>
        </w:tc>
        <w:tc>
          <w:tcPr>
            <w:tcW w:w="1567" w:type="dxa"/>
            <w:vAlign w:val="center"/>
          </w:tcPr>
          <w:p w14:paraId="5C605E3A">
            <w:pPr>
              <w:spacing w:before="73"/>
              <w:jc w:val="center"/>
              <w:rPr>
                <w:rStyle w:val="95"/>
                <w:kern w:val="0"/>
                <w:szCs w:val="21"/>
              </w:rPr>
            </w:pPr>
            <w:r>
              <w:rPr>
                <w:rStyle w:val="95"/>
                <w:rFonts w:hint="eastAsia"/>
                <w:kern w:val="0"/>
                <w:szCs w:val="21"/>
              </w:rPr>
              <w:t>公司单位</w:t>
            </w:r>
          </w:p>
          <w:p w14:paraId="5B4B08E8">
            <w:pPr>
              <w:spacing w:before="73"/>
              <w:jc w:val="center"/>
              <w:rPr>
                <w:rStyle w:val="95"/>
                <w:kern w:val="0"/>
                <w:szCs w:val="21"/>
              </w:rPr>
            </w:pPr>
            <w:r>
              <w:rPr>
                <w:rStyle w:val="95"/>
                <w:rFonts w:hint="eastAsia"/>
                <w:kern w:val="0"/>
                <w:szCs w:val="21"/>
              </w:rPr>
              <w:t>职</w:t>
            </w:r>
            <w:r>
              <w:rPr>
                <w:rStyle w:val="95"/>
                <w:kern w:val="0"/>
                <w:szCs w:val="21"/>
              </w:rPr>
              <w:t xml:space="preserve">    </w:t>
            </w:r>
            <w:r>
              <w:rPr>
                <w:rStyle w:val="95"/>
                <w:rFonts w:hint="eastAsia"/>
                <w:kern w:val="0"/>
                <w:szCs w:val="21"/>
              </w:rPr>
              <w:t>务</w:t>
            </w:r>
          </w:p>
        </w:tc>
        <w:tc>
          <w:tcPr>
            <w:tcW w:w="1527" w:type="dxa"/>
            <w:gridSpan w:val="2"/>
            <w:vAlign w:val="center"/>
          </w:tcPr>
          <w:p w14:paraId="0A7E7E31">
            <w:pPr>
              <w:jc w:val="center"/>
              <w:rPr>
                <w:rStyle w:val="95"/>
                <w:kern w:val="0"/>
                <w:szCs w:val="21"/>
              </w:rPr>
            </w:pPr>
          </w:p>
        </w:tc>
        <w:tc>
          <w:tcPr>
            <w:tcW w:w="2242" w:type="dxa"/>
            <w:gridSpan w:val="2"/>
            <w:vAlign w:val="center"/>
          </w:tcPr>
          <w:p w14:paraId="4F481E0B">
            <w:pPr>
              <w:spacing w:before="73"/>
              <w:jc w:val="center"/>
              <w:rPr>
                <w:rStyle w:val="95"/>
                <w:kern w:val="0"/>
                <w:szCs w:val="21"/>
              </w:rPr>
            </w:pPr>
            <w:r>
              <w:rPr>
                <w:rStyle w:val="95"/>
                <w:rFonts w:hint="eastAsia"/>
                <w:kern w:val="0"/>
                <w:szCs w:val="21"/>
              </w:rPr>
              <w:t>拟在本标段</w:t>
            </w:r>
          </w:p>
          <w:p w14:paraId="3B86BF6E">
            <w:pPr>
              <w:spacing w:before="73"/>
              <w:jc w:val="center"/>
              <w:rPr>
                <w:rStyle w:val="95"/>
                <w:kern w:val="0"/>
                <w:szCs w:val="21"/>
              </w:rPr>
            </w:pPr>
            <w:r>
              <w:rPr>
                <w:rStyle w:val="95"/>
                <w:rFonts w:hint="eastAsia"/>
                <w:kern w:val="0"/>
                <w:szCs w:val="21"/>
              </w:rPr>
              <w:t>工程担任职务</w:t>
            </w:r>
          </w:p>
        </w:tc>
        <w:tc>
          <w:tcPr>
            <w:tcW w:w="1528" w:type="dxa"/>
            <w:vAlign w:val="center"/>
          </w:tcPr>
          <w:p w14:paraId="020159AF">
            <w:pPr>
              <w:jc w:val="center"/>
              <w:rPr>
                <w:rStyle w:val="95"/>
                <w:szCs w:val="21"/>
              </w:rPr>
            </w:pPr>
          </w:p>
        </w:tc>
      </w:tr>
      <w:tr w14:paraId="45626A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4" w:hRule="atLeast"/>
          <w:jc w:val="center"/>
        </w:trPr>
        <w:tc>
          <w:tcPr>
            <w:tcW w:w="1400" w:type="dxa"/>
            <w:vAlign w:val="center"/>
          </w:tcPr>
          <w:p w14:paraId="3F572E0F">
            <w:pPr>
              <w:spacing w:before="73"/>
              <w:jc w:val="center"/>
              <w:rPr>
                <w:rStyle w:val="95"/>
                <w:kern w:val="0"/>
                <w:szCs w:val="21"/>
              </w:rPr>
            </w:pPr>
            <w:r>
              <w:rPr>
                <w:rStyle w:val="95"/>
                <w:rFonts w:hint="eastAsia"/>
                <w:kern w:val="0"/>
                <w:szCs w:val="21"/>
              </w:rPr>
              <w:t>毕业学校</w:t>
            </w:r>
          </w:p>
        </w:tc>
        <w:tc>
          <w:tcPr>
            <w:tcW w:w="8564" w:type="dxa"/>
            <w:gridSpan w:val="7"/>
            <w:vAlign w:val="center"/>
          </w:tcPr>
          <w:p w14:paraId="63D1DA49">
            <w:pPr>
              <w:tabs>
                <w:tab w:val="left" w:pos="2820"/>
                <w:tab w:val="left" w:pos="4080"/>
              </w:tabs>
              <w:spacing w:before="73"/>
              <w:ind w:left="-1291" w:leftChars="-615" w:firstLine="1260" w:firstLineChars="600"/>
              <w:rPr>
                <w:rStyle w:val="95"/>
                <w:kern w:val="0"/>
                <w:szCs w:val="21"/>
              </w:rPr>
            </w:pPr>
            <w:r>
              <w:rPr>
                <w:rStyle w:val="95"/>
                <w:rFonts w:hint="eastAsia"/>
                <w:kern w:val="0"/>
                <w:szCs w:val="21"/>
              </w:rPr>
              <w:t>年月毕业于学校专业，学制年</w:t>
            </w:r>
          </w:p>
        </w:tc>
      </w:tr>
      <w:tr w14:paraId="592D45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4" w:hRule="atLeast"/>
          <w:jc w:val="center"/>
        </w:trPr>
        <w:tc>
          <w:tcPr>
            <w:tcW w:w="9964" w:type="dxa"/>
            <w:gridSpan w:val="8"/>
            <w:vAlign w:val="center"/>
          </w:tcPr>
          <w:p w14:paraId="195F479C">
            <w:pPr>
              <w:jc w:val="center"/>
              <w:rPr>
                <w:rStyle w:val="95"/>
                <w:szCs w:val="21"/>
              </w:rPr>
            </w:pPr>
            <w:r>
              <w:rPr>
                <w:rStyle w:val="95"/>
                <w:rFonts w:hint="eastAsia"/>
                <w:kern w:val="0"/>
                <w:szCs w:val="21"/>
              </w:rPr>
              <w:t>经</w:t>
            </w:r>
            <w:r>
              <w:rPr>
                <w:rStyle w:val="95"/>
                <w:kern w:val="0"/>
                <w:szCs w:val="21"/>
              </w:rPr>
              <w:t xml:space="preserve">     </w:t>
            </w:r>
            <w:r>
              <w:rPr>
                <w:rStyle w:val="95"/>
                <w:rFonts w:hint="eastAsia"/>
                <w:kern w:val="0"/>
                <w:szCs w:val="21"/>
              </w:rPr>
              <w:t>历</w:t>
            </w:r>
          </w:p>
        </w:tc>
      </w:tr>
      <w:tr w14:paraId="644A9A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4" w:hRule="atLeast"/>
          <w:jc w:val="center"/>
        </w:trPr>
        <w:tc>
          <w:tcPr>
            <w:tcW w:w="1400" w:type="dxa"/>
            <w:vAlign w:val="center"/>
          </w:tcPr>
          <w:p w14:paraId="28D10629">
            <w:pPr>
              <w:jc w:val="center"/>
              <w:rPr>
                <w:rStyle w:val="95"/>
                <w:szCs w:val="21"/>
              </w:rPr>
            </w:pPr>
            <w:r>
              <w:rPr>
                <w:rStyle w:val="95"/>
                <w:rFonts w:hint="eastAsia"/>
                <w:szCs w:val="21"/>
              </w:rPr>
              <w:t>年～</w:t>
            </w:r>
          </w:p>
          <w:p w14:paraId="35770D5B">
            <w:pPr>
              <w:jc w:val="center"/>
              <w:rPr>
                <w:rStyle w:val="95"/>
                <w:szCs w:val="21"/>
              </w:rPr>
            </w:pPr>
            <w:r>
              <w:rPr>
                <w:rStyle w:val="95"/>
                <w:rFonts w:hint="eastAsia"/>
                <w:szCs w:val="21"/>
              </w:rPr>
              <w:t>年</w:t>
            </w:r>
          </w:p>
        </w:tc>
        <w:tc>
          <w:tcPr>
            <w:tcW w:w="4158" w:type="dxa"/>
            <w:gridSpan w:val="3"/>
            <w:vAlign w:val="center"/>
          </w:tcPr>
          <w:p w14:paraId="092B307A">
            <w:pPr>
              <w:jc w:val="center"/>
              <w:rPr>
                <w:rStyle w:val="95"/>
                <w:szCs w:val="21"/>
              </w:rPr>
            </w:pPr>
            <w:r>
              <w:rPr>
                <w:rStyle w:val="95"/>
                <w:rFonts w:hint="eastAsia"/>
                <w:kern w:val="0"/>
                <w:szCs w:val="21"/>
              </w:rPr>
              <w:t>参加过的工程项目名称</w:t>
            </w:r>
          </w:p>
        </w:tc>
        <w:tc>
          <w:tcPr>
            <w:tcW w:w="1439" w:type="dxa"/>
            <w:gridSpan w:val="2"/>
            <w:vAlign w:val="center"/>
          </w:tcPr>
          <w:p w14:paraId="161FB986">
            <w:pPr>
              <w:jc w:val="center"/>
              <w:rPr>
                <w:rStyle w:val="95"/>
                <w:szCs w:val="21"/>
              </w:rPr>
            </w:pPr>
            <w:r>
              <w:rPr>
                <w:rStyle w:val="95"/>
                <w:rFonts w:hint="eastAsia"/>
                <w:kern w:val="0"/>
                <w:szCs w:val="21"/>
              </w:rPr>
              <w:t>担任何职</w:t>
            </w:r>
          </w:p>
        </w:tc>
        <w:tc>
          <w:tcPr>
            <w:tcW w:w="2967" w:type="dxa"/>
            <w:gridSpan w:val="2"/>
            <w:vAlign w:val="center"/>
          </w:tcPr>
          <w:p w14:paraId="315827BD">
            <w:pPr>
              <w:jc w:val="center"/>
              <w:rPr>
                <w:rStyle w:val="95"/>
                <w:kern w:val="0"/>
                <w:szCs w:val="21"/>
              </w:rPr>
            </w:pPr>
            <w:r>
              <w:rPr>
                <w:rStyle w:val="95"/>
                <w:rFonts w:hint="eastAsia"/>
                <w:kern w:val="0"/>
                <w:szCs w:val="21"/>
              </w:rPr>
              <w:t>发包人及</w:t>
            </w:r>
          </w:p>
          <w:p w14:paraId="1073B86D">
            <w:pPr>
              <w:jc w:val="center"/>
              <w:rPr>
                <w:rStyle w:val="95"/>
                <w:szCs w:val="21"/>
              </w:rPr>
            </w:pPr>
            <w:r>
              <w:rPr>
                <w:rStyle w:val="95"/>
                <w:rFonts w:hint="eastAsia"/>
                <w:kern w:val="0"/>
                <w:szCs w:val="21"/>
              </w:rPr>
              <w:t>联系电话</w:t>
            </w:r>
          </w:p>
        </w:tc>
      </w:tr>
      <w:tr w14:paraId="5175D1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4" w:hRule="atLeast"/>
          <w:jc w:val="center"/>
        </w:trPr>
        <w:tc>
          <w:tcPr>
            <w:tcW w:w="1400" w:type="dxa"/>
            <w:vAlign w:val="center"/>
          </w:tcPr>
          <w:p w14:paraId="2124E50B">
            <w:pPr>
              <w:jc w:val="center"/>
              <w:rPr>
                <w:rStyle w:val="95"/>
                <w:szCs w:val="21"/>
              </w:rPr>
            </w:pPr>
          </w:p>
        </w:tc>
        <w:tc>
          <w:tcPr>
            <w:tcW w:w="4158" w:type="dxa"/>
            <w:gridSpan w:val="3"/>
            <w:vAlign w:val="center"/>
          </w:tcPr>
          <w:p w14:paraId="7D8A47EC">
            <w:pPr>
              <w:jc w:val="center"/>
              <w:rPr>
                <w:rStyle w:val="95"/>
                <w:szCs w:val="21"/>
              </w:rPr>
            </w:pPr>
          </w:p>
        </w:tc>
        <w:tc>
          <w:tcPr>
            <w:tcW w:w="1439" w:type="dxa"/>
            <w:gridSpan w:val="2"/>
            <w:vAlign w:val="center"/>
          </w:tcPr>
          <w:p w14:paraId="7B38A6B5">
            <w:pPr>
              <w:jc w:val="center"/>
              <w:rPr>
                <w:rStyle w:val="95"/>
                <w:szCs w:val="21"/>
              </w:rPr>
            </w:pPr>
          </w:p>
        </w:tc>
        <w:tc>
          <w:tcPr>
            <w:tcW w:w="2967" w:type="dxa"/>
            <w:gridSpan w:val="2"/>
            <w:vAlign w:val="center"/>
          </w:tcPr>
          <w:p w14:paraId="7B2888DA">
            <w:pPr>
              <w:jc w:val="center"/>
              <w:rPr>
                <w:rStyle w:val="95"/>
                <w:szCs w:val="21"/>
              </w:rPr>
            </w:pPr>
          </w:p>
        </w:tc>
      </w:tr>
      <w:tr w14:paraId="0ED876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4" w:hRule="atLeast"/>
          <w:jc w:val="center"/>
        </w:trPr>
        <w:tc>
          <w:tcPr>
            <w:tcW w:w="1400" w:type="dxa"/>
            <w:vAlign w:val="center"/>
          </w:tcPr>
          <w:p w14:paraId="36B4BEA4">
            <w:pPr>
              <w:jc w:val="center"/>
              <w:rPr>
                <w:rStyle w:val="95"/>
                <w:szCs w:val="21"/>
              </w:rPr>
            </w:pPr>
          </w:p>
        </w:tc>
        <w:tc>
          <w:tcPr>
            <w:tcW w:w="4158" w:type="dxa"/>
            <w:gridSpan w:val="3"/>
            <w:vAlign w:val="center"/>
          </w:tcPr>
          <w:p w14:paraId="63C794C2">
            <w:pPr>
              <w:jc w:val="center"/>
              <w:rPr>
                <w:rStyle w:val="95"/>
                <w:szCs w:val="21"/>
              </w:rPr>
            </w:pPr>
          </w:p>
        </w:tc>
        <w:tc>
          <w:tcPr>
            <w:tcW w:w="1439" w:type="dxa"/>
            <w:gridSpan w:val="2"/>
            <w:vAlign w:val="center"/>
          </w:tcPr>
          <w:p w14:paraId="599FF8F8">
            <w:pPr>
              <w:jc w:val="center"/>
              <w:rPr>
                <w:rStyle w:val="95"/>
                <w:szCs w:val="21"/>
              </w:rPr>
            </w:pPr>
          </w:p>
        </w:tc>
        <w:tc>
          <w:tcPr>
            <w:tcW w:w="2967" w:type="dxa"/>
            <w:gridSpan w:val="2"/>
            <w:vAlign w:val="center"/>
          </w:tcPr>
          <w:p w14:paraId="40FD3461">
            <w:pPr>
              <w:jc w:val="center"/>
              <w:rPr>
                <w:rStyle w:val="95"/>
                <w:szCs w:val="21"/>
              </w:rPr>
            </w:pPr>
          </w:p>
        </w:tc>
      </w:tr>
      <w:tr w14:paraId="1FBF5D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4" w:hRule="atLeast"/>
          <w:jc w:val="center"/>
        </w:trPr>
        <w:tc>
          <w:tcPr>
            <w:tcW w:w="1400" w:type="dxa"/>
            <w:vAlign w:val="center"/>
          </w:tcPr>
          <w:p w14:paraId="510C82F1">
            <w:pPr>
              <w:jc w:val="center"/>
              <w:rPr>
                <w:rStyle w:val="95"/>
                <w:szCs w:val="21"/>
              </w:rPr>
            </w:pPr>
          </w:p>
        </w:tc>
        <w:tc>
          <w:tcPr>
            <w:tcW w:w="4158" w:type="dxa"/>
            <w:gridSpan w:val="3"/>
            <w:vAlign w:val="center"/>
          </w:tcPr>
          <w:p w14:paraId="28B66440">
            <w:pPr>
              <w:jc w:val="center"/>
              <w:rPr>
                <w:rStyle w:val="95"/>
                <w:szCs w:val="21"/>
              </w:rPr>
            </w:pPr>
          </w:p>
        </w:tc>
        <w:tc>
          <w:tcPr>
            <w:tcW w:w="1439" w:type="dxa"/>
            <w:gridSpan w:val="2"/>
            <w:vAlign w:val="center"/>
          </w:tcPr>
          <w:p w14:paraId="1C18C589">
            <w:pPr>
              <w:jc w:val="center"/>
              <w:rPr>
                <w:rStyle w:val="95"/>
                <w:szCs w:val="21"/>
              </w:rPr>
            </w:pPr>
          </w:p>
        </w:tc>
        <w:tc>
          <w:tcPr>
            <w:tcW w:w="2967" w:type="dxa"/>
            <w:gridSpan w:val="2"/>
            <w:vAlign w:val="center"/>
          </w:tcPr>
          <w:p w14:paraId="211BA581">
            <w:pPr>
              <w:jc w:val="center"/>
              <w:rPr>
                <w:rStyle w:val="95"/>
                <w:szCs w:val="21"/>
              </w:rPr>
            </w:pPr>
          </w:p>
        </w:tc>
      </w:tr>
      <w:tr w14:paraId="1212E6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4" w:hRule="atLeast"/>
          <w:jc w:val="center"/>
        </w:trPr>
        <w:tc>
          <w:tcPr>
            <w:tcW w:w="1400" w:type="dxa"/>
            <w:vAlign w:val="center"/>
          </w:tcPr>
          <w:p w14:paraId="16A608BF">
            <w:pPr>
              <w:jc w:val="center"/>
              <w:rPr>
                <w:rStyle w:val="95"/>
                <w:szCs w:val="21"/>
              </w:rPr>
            </w:pPr>
          </w:p>
        </w:tc>
        <w:tc>
          <w:tcPr>
            <w:tcW w:w="4158" w:type="dxa"/>
            <w:gridSpan w:val="3"/>
            <w:vAlign w:val="center"/>
          </w:tcPr>
          <w:p w14:paraId="1438A90F">
            <w:pPr>
              <w:jc w:val="center"/>
              <w:rPr>
                <w:rStyle w:val="95"/>
                <w:szCs w:val="21"/>
              </w:rPr>
            </w:pPr>
          </w:p>
        </w:tc>
        <w:tc>
          <w:tcPr>
            <w:tcW w:w="1439" w:type="dxa"/>
            <w:gridSpan w:val="2"/>
            <w:vAlign w:val="center"/>
          </w:tcPr>
          <w:p w14:paraId="2FF7844B">
            <w:pPr>
              <w:jc w:val="center"/>
              <w:rPr>
                <w:rStyle w:val="95"/>
                <w:szCs w:val="21"/>
              </w:rPr>
            </w:pPr>
          </w:p>
        </w:tc>
        <w:tc>
          <w:tcPr>
            <w:tcW w:w="2967" w:type="dxa"/>
            <w:gridSpan w:val="2"/>
            <w:vAlign w:val="center"/>
          </w:tcPr>
          <w:p w14:paraId="53B10139">
            <w:pPr>
              <w:jc w:val="center"/>
              <w:rPr>
                <w:rStyle w:val="95"/>
                <w:szCs w:val="21"/>
              </w:rPr>
            </w:pPr>
          </w:p>
        </w:tc>
      </w:tr>
      <w:tr w14:paraId="08340F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4" w:hRule="atLeast"/>
          <w:jc w:val="center"/>
        </w:trPr>
        <w:tc>
          <w:tcPr>
            <w:tcW w:w="1400" w:type="dxa"/>
            <w:vAlign w:val="center"/>
          </w:tcPr>
          <w:p w14:paraId="6B7415A9">
            <w:pPr>
              <w:jc w:val="center"/>
              <w:rPr>
                <w:rStyle w:val="95"/>
                <w:szCs w:val="21"/>
              </w:rPr>
            </w:pPr>
          </w:p>
        </w:tc>
        <w:tc>
          <w:tcPr>
            <w:tcW w:w="4158" w:type="dxa"/>
            <w:gridSpan w:val="3"/>
            <w:vAlign w:val="center"/>
          </w:tcPr>
          <w:p w14:paraId="1A80BB1C">
            <w:pPr>
              <w:jc w:val="center"/>
              <w:rPr>
                <w:rStyle w:val="95"/>
                <w:szCs w:val="21"/>
              </w:rPr>
            </w:pPr>
          </w:p>
        </w:tc>
        <w:tc>
          <w:tcPr>
            <w:tcW w:w="1439" w:type="dxa"/>
            <w:gridSpan w:val="2"/>
            <w:vAlign w:val="center"/>
          </w:tcPr>
          <w:p w14:paraId="2F18BCF3">
            <w:pPr>
              <w:jc w:val="center"/>
              <w:rPr>
                <w:rStyle w:val="95"/>
                <w:szCs w:val="21"/>
              </w:rPr>
            </w:pPr>
          </w:p>
        </w:tc>
        <w:tc>
          <w:tcPr>
            <w:tcW w:w="2967" w:type="dxa"/>
            <w:gridSpan w:val="2"/>
            <w:vAlign w:val="center"/>
          </w:tcPr>
          <w:p w14:paraId="4E6106C7">
            <w:pPr>
              <w:jc w:val="center"/>
              <w:rPr>
                <w:rStyle w:val="95"/>
                <w:szCs w:val="21"/>
              </w:rPr>
            </w:pPr>
          </w:p>
        </w:tc>
      </w:tr>
      <w:tr w14:paraId="3F4EF2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4" w:hRule="atLeast"/>
          <w:jc w:val="center"/>
        </w:trPr>
        <w:tc>
          <w:tcPr>
            <w:tcW w:w="1400" w:type="dxa"/>
            <w:vAlign w:val="center"/>
          </w:tcPr>
          <w:p w14:paraId="6EC9BB55">
            <w:pPr>
              <w:jc w:val="center"/>
              <w:rPr>
                <w:rStyle w:val="95"/>
                <w:szCs w:val="21"/>
              </w:rPr>
            </w:pPr>
          </w:p>
        </w:tc>
        <w:tc>
          <w:tcPr>
            <w:tcW w:w="4158" w:type="dxa"/>
            <w:gridSpan w:val="3"/>
            <w:vAlign w:val="center"/>
          </w:tcPr>
          <w:p w14:paraId="174BC1E3">
            <w:pPr>
              <w:jc w:val="center"/>
              <w:rPr>
                <w:rStyle w:val="95"/>
                <w:szCs w:val="21"/>
              </w:rPr>
            </w:pPr>
          </w:p>
        </w:tc>
        <w:tc>
          <w:tcPr>
            <w:tcW w:w="1439" w:type="dxa"/>
            <w:gridSpan w:val="2"/>
            <w:vAlign w:val="center"/>
          </w:tcPr>
          <w:p w14:paraId="4513D809">
            <w:pPr>
              <w:jc w:val="center"/>
              <w:rPr>
                <w:rStyle w:val="95"/>
                <w:szCs w:val="21"/>
              </w:rPr>
            </w:pPr>
          </w:p>
        </w:tc>
        <w:tc>
          <w:tcPr>
            <w:tcW w:w="2967" w:type="dxa"/>
            <w:gridSpan w:val="2"/>
            <w:vAlign w:val="center"/>
          </w:tcPr>
          <w:p w14:paraId="5A117385">
            <w:pPr>
              <w:jc w:val="center"/>
              <w:rPr>
                <w:rStyle w:val="95"/>
                <w:szCs w:val="21"/>
              </w:rPr>
            </w:pPr>
          </w:p>
        </w:tc>
      </w:tr>
      <w:tr w14:paraId="34E19F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4" w:hRule="atLeast"/>
          <w:jc w:val="center"/>
        </w:trPr>
        <w:tc>
          <w:tcPr>
            <w:tcW w:w="5558" w:type="dxa"/>
            <w:gridSpan w:val="4"/>
            <w:vAlign w:val="center"/>
          </w:tcPr>
          <w:p w14:paraId="057D3E86">
            <w:pPr>
              <w:jc w:val="center"/>
              <w:rPr>
                <w:rStyle w:val="95"/>
                <w:szCs w:val="21"/>
              </w:rPr>
            </w:pPr>
            <w:r>
              <w:rPr>
                <w:rStyle w:val="95"/>
                <w:rFonts w:hint="eastAsia"/>
                <w:szCs w:val="21"/>
              </w:rPr>
              <w:t>执业资格证书获得情况</w:t>
            </w:r>
          </w:p>
        </w:tc>
        <w:tc>
          <w:tcPr>
            <w:tcW w:w="4406" w:type="dxa"/>
            <w:gridSpan w:val="4"/>
            <w:vAlign w:val="center"/>
          </w:tcPr>
          <w:p w14:paraId="002FB076">
            <w:pPr>
              <w:jc w:val="center"/>
              <w:rPr>
                <w:rStyle w:val="95"/>
                <w:szCs w:val="21"/>
              </w:rPr>
            </w:pPr>
          </w:p>
        </w:tc>
      </w:tr>
      <w:tr w14:paraId="4ADA45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4" w:hRule="atLeast"/>
          <w:jc w:val="center"/>
        </w:trPr>
        <w:tc>
          <w:tcPr>
            <w:tcW w:w="5558" w:type="dxa"/>
            <w:gridSpan w:val="4"/>
            <w:vAlign w:val="center"/>
          </w:tcPr>
          <w:p w14:paraId="3FB50053">
            <w:pPr>
              <w:jc w:val="center"/>
              <w:rPr>
                <w:rStyle w:val="95"/>
                <w:szCs w:val="21"/>
              </w:rPr>
            </w:pPr>
            <w:r>
              <w:rPr>
                <w:rStyle w:val="95"/>
                <w:rFonts w:hint="eastAsia"/>
                <w:szCs w:val="21"/>
              </w:rPr>
              <w:t>获奖情况</w:t>
            </w:r>
          </w:p>
        </w:tc>
        <w:tc>
          <w:tcPr>
            <w:tcW w:w="4406" w:type="dxa"/>
            <w:gridSpan w:val="4"/>
            <w:vAlign w:val="center"/>
          </w:tcPr>
          <w:p w14:paraId="561844F0">
            <w:pPr>
              <w:jc w:val="center"/>
              <w:rPr>
                <w:rStyle w:val="95"/>
                <w:szCs w:val="21"/>
              </w:rPr>
            </w:pPr>
          </w:p>
        </w:tc>
      </w:tr>
      <w:tr w14:paraId="08CB67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cantSplit/>
          <w:trHeight w:val="454" w:hRule="atLeast"/>
          <w:jc w:val="center"/>
        </w:trPr>
        <w:tc>
          <w:tcPr>
            <w:tcW w:w="1400" w:type="dxa"/>
            <w:vMerge w:val="restart"/>
            <w:vAlign w:val="center"/>
          </w:tcPr>
          <w:p w14:paraId="0616A51A">
            <w:pPr>
              <w:jc w:val="center"/>
              <w:rPr>
                <w:rStyle w:val="95"/>
                <w:szCs w:val="21"/>
              </w:rPr>
            </w:pPr>
            <w:r>
              <w:rPr>
                <w:rStyle w:val="95"/>
                <w:rFonts w:hint="eastAsia"/>
                <w:szCs w:val="21"/>
              </w:rPr>
              <w:t>目前任职</w:t>
            </w:r>
          </w:p>
          <w:p w14:paraId="535519CF">
            <w:pPr>
              <w:jc w:val="center"/>
              <w:rPr>
                <w:rStyle w:val="95"/>
                <w:szCs w:val="21"/>
              </w:rPr>
            </w:pPr>
            <w:r>
              <w:rPr>
                <w:rStyle w:val="95"/>
                <w:rFonts w:hint="eastAsia"/>
                <w:szCs w:val="21"/>
              </w:rPr>
              <w:t>项目状况</w:t>
            </w:r>
          </w:p>
        </w:tc>
        <w:tc>
          <w:tcPr>
            <w:tcW w:w="4158" w:type="dxa"/>
            <w:gridSpan w:val="3"/>
            <w:vAlign w:val="center"/>
          </w:tcPr>
          <w:p w14:paraId="098AF89F">
            <w:pPr>
              <w:jc w:val="center"/>
              <w:rPr>
                <w:rStyle w:val="95"/>
                <w:szCs w:val="21"/>
              </w:rPr>
            </w:pPr>
            <w:r>
              <w:rPr>
                <w:rStyle w:val="95"/>
                <w:rFonts w:hint="eastAsia"/>
                <w:szCs w:val="21"/>
              </w:rPr>
              <w:t>项目名称</w:t>
            </w:r>
          </w:p>
        </w:tc>
        <w:tc>
          <w:tcPr>
            <w:tcW w:w="1439" w:type="dxa"/>
            <w:gridSpan w:val="2"/>
            <w:vAlign w:val="center"/>
          </w:tcPr>
          <w:p w14:paraId="51B08E08">
            <w:pPr>
              <w:jc w:val="center"/>
              <w:rPr>
                <w:rStyle w:val="95"/>
                <w:szCs w:val="21"/>
              </w:rPr>
            </w:pPr>
          </w:p>
        </w:tc>
        <w:tc>
          <w:tcPr>
            <w:tcW w:w="2967" w:type="dxa"/>
            <w:gridSpan w:val="2"/>
            <w:vAlign w:val="center"/>
          </w:tcPr>
          <w:p w14:paraId="42901EDA">
            <w:pPr>
              <w:jc w:val="center"/>
              <w:rPr>
                <w:rStyle w:val="95"/>
                <w:szCs w:val="21"/>
              </w:rPr>
            </w:pPr>
          </w:p>
        </w:tc>
      </w:tr>
      <w:tr w14:paraId="079E2F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cantSplit/>
          <w:trHeight w:val="454" w:hRule="atLeast"/>
          <w:jc w:val="center"/>
        </w:trPr>
        <w:tc>
          <w:tcPr>
            <w:tcW w:w="1400" w:type="dxa"/>
            <w:vMerge w:val="continue"/>
            <w:vAlign w:val="center"/>
          </w:tcPr>
          <w:p w14:paraId="150CD96B">
            <w:pPr>
              <w:jc w:val="center"/>
              <w:rPr>
                <w:rStyle w:val="95"/>
                <w:szCs w:val="21"/>
              </w:rPr>
            </w:pPr>
          </w:p>
        </w:tc>
        <w:tc>
          <w:tcPr>
            <w:tcW w:w="4158" w:type="dxa"/>
            <w:gridSpan w:val="3"/>
            <w:vAlign w:val="center"/>
          </w:tcPr>
          <w:p w14:paraId="2DDA6CC8">
            <w:pPr>
              <w:jc w:val="center"/>
              <w:rPr>
                <w:rStyle w:val="95"/>
                <w:szCs w:val="21"/>
              </w:rPr>
            </w:pPr>
            <w:r>
              <w:rPr>
                <w:rStyle w:val="95"/>
                <w:rFonts w:hint="eastAsia"/>
                <w:szCs w:val="21"/>
              </w:rPr>
              <w:t>担任职位</w:t>
            </w:r>
          </w:p>
        </w:tc>
        <w:tc>
          <w:tcPr>
            <w:tcW w:w="1439" w:type="dxa"/>
            <w:gridSpan w:val="2"/>
            <w:vAlign w:val="center"/>
          </w:tcPr>
          <w:p w14:paraId="1C0D4E48">
            <w:pPr>
              <w:jc w:val="center"/>
              <w:rPr>
                <w:rStyle w:val="95"/>
                <w:szCs w:val="21"/>
              </w:rPr>
            </w:pPr>
          </w:p>
        </w:tc>
        <w:tc>
          <w:tcPr>
            <w:tcW w:w="2967" w:type="dxa"/>
            <w:gridSpan w:val="2"/>
            <w:vAlign w:val="center"/>
          </w:tcPr>
          <w:p w14:paraId="6D6D8D60">
            <w:pPr>
              <w:jc w:val="center"/>
              <w:rPr>
                <w:rStyle w:val="95"/>
                <w:szCs w:val="21"/>
              </w:rPr>
            </w:pPr>
          </w:p>
        </w:tc>
      </w:tr>
      <w:tr w14:paraId="754D9A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cantSplit/>
          <w:trHeight w:val="454" w:hRule="atLeast"/>
          <w:jc w:val="center"/>
        </w:trPr>
        <w:tc>
          <w:tcPr>
            <w:tcW w:w="1400" w:type="dxa"/>
            <w:vMerge w:val="continue"/>
            <w:vAlign w:val="center"/>
          </w:tcPr>
          <w:p w14:paraId="2D505901">
            <w:pPr>
              <w:jc w:val="center"/>
              <w:rPr>
                <w:rStyle w:val="95"/>
                <w:szCs w:val="21"/>
              </w:rPr>
            </w:pPr>
          </w:p>
        </w:tc>
        <w:tc>
          <w:tcPr>
            <w:tcW w:w="4158" w:type="dxa"/>
            <w:gridSpan w:val="3"/>
            <w:vAlign w:val="center"/>
          </w:tcPr>
          <w:p w14:paraId="386C8150">
            <w:pPr>
              <w:jc w:val="center"/>
              <w:rPr>
                <w:rStyle w:val="95"/>
                <w:szCs w:val="21"/>
              </w:rPr>
            </w:pPr>
            <w:r>
              <w:rPr>
                <w:rStyle w:val="95"/>
                <w:rFonts w:hint="eastAsia"/>
                <w:szCs w:val="21"/>
              </w:rPr>
              <w:t>可以调离日期</w:t>
            </w:r>
          </w:p>
        </w:tc>
        <w:tc>
          <w:tcPr>
            <w:tcW w:w="1439" w:type="dxa"/>
            <w:gridSpan w:val="2"/>
            <w:vAlign w:val="center"/>
          </w:tcPr>
          <w:p w14:paraId="16C70D39">
            <w:pPr>
              <w:jc w:val="center"/>
              <w:rPr>
                <w:rStyle w:val="95"/>
                <w:szCs w:val="21"/>
              </w:rPr>
            </w:pPr>
          </w:p>
        </w:tc>
        <w:tc>
          <w:tcPr>
            <w:tcW w:w="2967" w:type="dxa"/>
            <w:gridSpan w:val="2"/>
            <w:vAlign w:val="center"/>
          </w:tcPr>
          <w:p w14:paraId="6D80B87A">
            <w:pPr>
              <w:jc w:val="center"/>
              <w:rPr>
                <w:rStyle w:val="95"/>
                <w:szCs w:val="21"/>
              </w:rPr>
            </w:pPr>
          </w:p>
        </w:tc>
      </w:tr>
      <w:tr w14:paraId="70C798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233" w:hRule="atLeast"/>
          <w:jc w:val="center"/>
        </w:trPr>
        <w:tc>
          <w:tcPr>
            <w:tcW w:w="1400" w:type="dxa"/>
            <w:vAlign w:val="center"/>
          </w:tcPr>
          <w:p w14:paraId="1EDFED42">
            <w:pPr>
              <w:jc w:val="center"/>
              <w:rPr>
                <w:rStyle w:val="95"/>
                <w:szCs w:val="21"/>
              </w:rPr>
            </w:pPr>
            <w:r>
              <w:rPr>
                <w:rStyle w:val="95"/>
                <w:rFonts w:hint="eastAsia"/>
                <w:szCs w:val="21"/>
              </w:rPr>
              <w:t>备注</w:t>
            </w:r>
          </w:p>
        </w:tc>
        <w:tc>
          <w:tcPr>
            <w:tcW w:w="8564" w:type="dxa"/>
            <w:gridSpan w:val="7"/>
            <w:vAlign w:val="center"/>
          </w:tcPr>
          <w:p w14:paraId="4DA57D4E">
            <w:pPr>
              <w:jc w:val="center"/>
              <w:rPr>
                <w:rStyle w:val="95"/>
                <w:szCs w:val="21"/>
              </w:rPr>
            </w:pPr>
          </w:p>
        </w:tc>
      </w:tr>
    </w:tbl>
    <w:p w14:paraId="0778497E">
      <w:pPr>
        <w:spacing w:line="400" w:lineRule="exact"/>
        <w:rPr>
          <w:rStyle w:val="95"/>
        </w:rPr>
      </w:pPr>
      <w:r>
        <w:rPr>
          <w:rStyle w:val="95"/>
          <w:rFonts w:hint="eastAsia"/>
        </w:rPr>
        <w:t>投标人（盖章）：</w:t>
      </w:r>
    </w:p>
    <w:p w14:paraId="6C4EC804">
      <w:pPr>
        <w:spacing w:line="400" w:lineRule="exact"/>
        <w:rPr>
          <w:rStyle w:val="95"/>
        </w:rPr>
      </w:pPr>
      <w:r>
        <w:rPr>
          <w:rStyle w:val="95"/>
          <w:rFonts w:hint="eastAsia"/>
        </w:rPr>
        <w:t>法定代表人或授权代理人（签字）：</w:t>
      </w:r>
    </w:p>
    <w:p w14:paraId="70B9735A">
      <w:pPr>
        <w:rPr>
          <w:rStyle w:val="95"/>
          <w:szCs w:val="21"/>
        </w:rPr>
      </w:pPr>
    </w:p>
    <w:p w14:paraId="0BBC0402">
      <w:pPr>
        <w:rPr>
          <w:rStyle w:val="95"/>
          <w:szCs w:val="21"/>
        </w:rPr>
      </w:pPr>
    </w:p>
    <w:p w14:paraId="0345B777">
      <w:pPr>
        <w:rPr>
          <w:rStyle w:val="95"/>
          <w:szCs w:val="21"/>
        </w:rPr>
      </w:pPr>
      <w:r>
        <w:rPr>
          <w:rStyle w:val="95"/>
          <w:rFonts w:hint="eastAsia"/>
          <w:szCs w:val="21"/>
        </w:rPr>
        <w:t>注：</w:t>
      </w:r>
      <w:r>
        <w:rPr>
          <w:rStyle w:val="95"/>
          <w:szCs w:val="21"/>
        </w:rPr>
        <w:t>1</w:t>
      </w:r>
      <w:r>
        <w:rPr>
          <w:rStyle w:val="95"/>
          <w:rFonts w:hint="eastAsia"/>
          <w:szCs w:val="21"/>
        </w:rPr>
        <w:t>、本表人员应与表八中所列人员相一致，在本表后附身份证、职称资格证书以及投标人须知前附表附件所要求其他相关证书的扫描件及社保证明扫描件。</w:t>
      </w:r>
    </w:p>
    <w:p w14:paraId="57E22705">
      <w:pPr>
        <w:ind w:firstLine="105" w:firstLineChars="50"/>
        <w:rPr>
          <w:rStyle w:val="95"/>
          <w:szCs w:val="21"/>
        </w:rPr>
      </w:pPr>
      <w:r>
        <w:rPr>
          <w:rStyle w:val="95"/>
          <w:szCs w:val="21"/>
        </w:rPr>
        <w:t xml:space="preserve">   2</w:t>
      </w:r>
      <w:r>
        <w:rPr>
          <w:rStyle w:val="95"/>
          <w:rFonts w:hint="eastAsia"/>
          <w:szCs w:val="21"/>
        </w:rPr>
        <w:t>、目前未在具体项目上任职的，请在备注栏说明现在负责的工作内容。</w:t>
      </w:r>
    </w:p>
    <w:p w14:paraId="18C6F5CA">
      <w:pPr>
        <w:ind w:left="735" w:hanging="735" w:hangingChars="350"/>
        <w:rPr>
          <w:rStyle w:val="95"/>
        </w:rPr>
      </w:pPr>
    </w:p>
    <w:p w14:paraId="1EA83A97">
      <w:pPr>
        <w:spacing w:line="360" w:lineRule="auto"/>
        <w:ind w:firstLine="1960" w:firstLineChars="700"/>
        <w:rPr>
          <w:rStyle w:val="95"/>
          <w:b/>
          <w:kern w:val="0"/>
          <w:sz w:val="28"/>
          <w:szCs w:val="28"/>
        </w:rPr>
      </w:pPr>
      <w:r>
        <w:rPr>
          <w:rStyle w:val="95"/>
          <w:rFonts w:hint="eastAsia" w:ascii="Times New Roman" w:hAnsi="Times New Roman" w:eastAsia="宋体"/>
          <w:kern w:val="0"/>
          <w:sz w:val="28"/>
          <w:szCs w:val="28"/>
        </w:rPr>
        <w:t>五、</w:t>
      </w:r>
      <w:r>
        <w:rPr>
          <w:rStyle w:val="95"/>
          <w:rFonts w:hint="eastAsia"/>
          <w:b/>
          <w:kern w:val="0"/>
          <w:sz w:val="28"/>
          <w:szCs w:val="28"/>
        </w:rPr>
        <w:t>近年完成的类似项目情况表</w:t>
      </w:r>
    </w:p>
    <w:tbl>
      <w:tblPr>
        <w:tblStyle w:val="45"/>
        <w:tblW w:w="996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3194"/>
        <w:gridCol w:w="6769"/>
      </w:tblGrid>
      <w:tr w14:paraId="4E0282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7" w:hRule="exact"/>
          <w:jc w:val="center"/>
        </w:trPr>
        <w:tc>
          <w:tcPr>
            <w:tcW w:w="3194" w:type="dxa"/>
            <w:vAlign w:val="center"/>
          </w:tcPr>
          <w:p w14:paraId="70079B00">
            <w:pPr>
              <w:jc w:val="center"/>
              <w:rPr>
                <w:rStyle w:val="95"/>
                <w:szCs w:val="21"/>
              </w:rPr>
            </w:pPr>
            <w:r>
              <w:rPr>
                <w:rStyle w:val="95"/>
                <w:rFonts w:hint="eastAsia"/>
                <w:szCs w:val="21"/>
              </w:rPr>
              <w:t>序号</w:t>
            </w:r>
          </w:p>
        </w:tc>
        <w:tc>
          <w:tcPr>
            <w:tcW w:w="6769" w:type="dxa"/>
            <w:vAlign w:val="center"/>
          </w:tcPr>
          <w:p w14:paraId="1F20B3B4">
            <w:pPr>
              <w:jc w:val="center"/>
              <w:rPr>
                <w:rStyle w:val="95"/>
                <w:szCs w:val="21"/>
              </w:rPr>
            </w:pPr>
          </w:p>
        </w:tc>
      </w:tr>
      <w:tr w14:paraId="3AFBA6E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7" w:hRule="exact"/>
          <w:jc w:val="center"/>
        </w:trPr>
        <w:tc>
          <w:tcPr>
            <w:tcW w:w="3194" w:type="dxa"/>
            <w:vAlign w:val="center"/>
          </w:tcPr>
          <w:p w14:paraId="6F6C0CE0">
            <w:pPr>
              <w:jc w:val="center"/>
              <w:rPr>
                <w:rStyle w:val="95"/>
                <w:szCs w:val="21"/>
              </w:rPr>
            </w:pPr>
            <w:r>
              <w:rPr>
                <w:rStyle w:val="95"/>
                <w:rFonts w:hint="eastAsia"/>
                <w:szCs w:val="21"/>
              </w:rPr>
              <w:t>项目名称</w:t>
            </w:r>
          </w:p>
        </w:tc>
        <w:tc>
          <w:tcPr>
            <w:tcW w:w="6769" w:type="dxa"/>
            <w:vAlign w:val="center"/>
          </w:tcPr>
          <w:p w14:paraId="6F09978B">
            <w:pPr>
              <w:jc w:val="center"/>
              <w:rPr>
                <w:rStyle w:val="95"/>
                <w:szCs w:val="21"/>
              </w:rPr>
            </w:pPr>
          </w:p>
        </w:tc>
      </w:tr>
      <w:tr w14:paraId="357DB0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7" w:hRule="exact"/>
          <w:jc w:val="center"/>
        </w:trPr>
        <w:tc>
          <w:tcPr>
            <w:tcW w:w="3194" w:type="dxa"/>
            <w:vAlign w:val="center"/>
          </w:tcPr>
          <w:p w14:paraId="759B6734">
            <w:pPr>
              <w:jc w:val="center"/>
              <w:rPr>
                <w:rStyle w:val="95"/>
                <w:szCs w:val="21"/>
              </w:rPr>
            </w:pPr>
            <w:r>
              <w:rPr>
                <w:rStyle w:val="95"/>
                <w:rFonts w:hint="eastAsia"/>
                <w:szCs w:val="21"/>
              </w:rPr>
              <w:t>项目所在地</w:t>
            </w:r>
          </w:p>
        </w:tc>
        <w:tc>
          <w:tcPr>
            <w:tcW w:w="6769" w:type="dxa"/>
            <w:vAlign w:val="center"/>
          </w:tcPr>
          <w:p w14:paraId="06A4808C">
            <w:pPr>
              <w:jc w:val="center"/>
              <w:rPr>
                <w:rStyle w:val="95"/>
                <w:szCs w:val="21"/>
              </w:rPr>
            </w:pPr>
          </w:p>
        </w:tc>
      </w:tr>
      <w:tr w14:paraId="050FD1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7" w:hRule="exact"/>
          <w:jc w:val="center"/>
        </w:trPr>
        <w:tc>
          <w:tcPr>
            <w:tcW w:w="3194" w:type="dxa"/>
            <w:vAlign w:val="center"/>
          </w:tcPr>
          <w:p w14:paraId="0CB65392">
            <w:pPr>
              <w:jc w:val="center"/>
              <w:rPr>
                <w:rStyle w:val="95"/>
                <w:szCs w:val="21"/>
              </w:rPr>
            </w:pPr>
            <w:r>
              <w:rPr>
                <w:rStyle w:val="95"/>
                <w:rFonts w:hint="eastAsia"/>
                <w:szCs w:val="21"/>
              </w:rPr>
              <w:t>发包人名称</w:t>
            </w:r>
          </w:p>
        </w:tc>
        <w:tc>
          <w:tcPr>
            <w:tcW w:w="6769" w:type="dxa"/>
            <w:vAlign w:val="center"/>
          </w:tcPr>
          <w:p w14:paraId="6EDC20C8">
            <w:pPr>
              <w:jc w:val="center"/>
              <w:rPr>
                <w:rStyle w:val="95"/>
                <w:szCs w:val="21"/>
              </w:rPr>
            </w:pPr>
          </w:p>
        </w:tc>
      </w:tr>
      <w:tr w14:paraId="72DF56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7" w:hRule="exact"/>
          <w:jc w:val="center"/>
        </w:trPr>
        <w:tc>
          <w:tcPr>
            <w:tcW w:w="3194" w:type="dxa"/>
            <w:vAlign w:val="center"/>
          </w:tcPr>
          <w:p w14:paraId="5D694671">
            <w:pPr>
              <w:jc w:val="center"/>
              <w:rPr>
                <w:rStyle w:val="95"/>
                <w:szCs w:val="21"/>
              </w:rPr>
            </w:pPr>
            <w:r>
              <w:rPr>
                <w:rStyle w:val="95"/>
                <w:rFonts w:hint="eastAsia"/>
                <w:szCs w:val="21"/>
              </w:rPr>
              <w:t>发包人地址</w:t>
            </w:r>
          </w:p>
        </w:tc>
        <w:tc>
          <w:tcPr>
            <w:tcW w:w="6769" w:type="dxa"/>
            <w:vAlign w:val="center"/>
          </w:tcPr>
          <w:p w14:paraId="55088E3F">
            <w:pPr>
              <w:jc w:val="center"/>
              <w:rPr>
                <w:rStyle w:val="95"/>
                <w:szCs w:val="21"/>
              </w:rPr>
            </w:pPr>
          </w:p>
        </w:tc>
      </w:tr>
      <w:tr w14:paraId="780D96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7" w:hRule="exact"/>
          <w:jc w:val="center"/>
        </w:trPr>
        <w:tc>
          <w:tcPr>
            <w:tcW w:w="3194" w:type="dxa"/>
            <w:vAlign w:val="center"/>
          </w:tcPr>
          <w:p w14:paraId="4B0F906B">
            <w:pPr>
              <w:jc w:val="center"/>
              <w:rPr>
                <w:rStyle w:val="95"/>
                <w:szCs w:val="21"/>
              </w:rPr>
            </w:pPr>
            <w:r>
              <w:rPr>
                <w:rStyle w:val="95"/>
                <w:rFonts w:hint="eastAsia"/>
                <w:szCs w:val="21"/>
              </w:rPr>
              <w:t>发包人电话</w:t>
            </w:r>
          </w:p>
        </w:tc>
        <w:tc>
          <w:tcPr>
            <w:tcW w:w="6769" w:type="dxa"/>
            <w:vAlign w:val="center"/>
          </w:tcPr>
          <w:p w14:paraId="508806CE">
            <w:pPr>
              <w:jc w:val="center"/>
              <w:rPr>
                <w:rStyle w:val="95"/>
                <w:szCs w:val="21"/>
              </w:rPr>
            </w:pPr>
          </w:p>
        </w:tc>
      </w:tr>
      <w:tr w14:paraId="5A689D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7" w:hRule="exact"/>
          <w:jc w:val="center"/>
        </w:trPr>
        <w:tc>
          <w:tcPr>
            <w:tcW w:w="3194" w:type="dxa"/>
            <w:vAlign w:val="center"/>
          </w:tcPr>
          <w:p w14:paraId="206288F4">
            <w:pPr>
              <w:jc w:val="center"/>
              <w:rPr>
                <w:rStyle w:val="95"/>
                <w:szCs w:val="21"/>
              </w:rPr>
            </w:pPr>
            <w:r>
              <w:rPr>
                <w:rStyle w:val="95"/>
                <w:rFonts w:hint="eastAsia"/>
                <w:szCs w:val="21"/>
              </w:rPr>
              <w:t>合同价格</w:t>
            </w:r>
          </w:p>
        </w:tc>
        <w:tc>
          <w:tcPr>
            <w:tcW w:w="6769" w:type="dxa"/>
            <w:vAlign w:val="center"/>
          </w:tcPr>
          <w:p w14:paraId="20402B16">
            <w:pPr>
              <w:jc w:val="center"/>
              <w:rPr>
                <w:rStyle w:val="95"/>
                <w:szCs w:val="21"/>
              </w:rPr>
            </w:pPr>
          </w:p>
        </w:tc>
      </w:tr>
      <w:tr w14:paraId="0CC46B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7" w:hRule="exact"/>
          <w:jc w:val="center"/>
        </w:trPr>
        <w:tc>
          <w:tcPr>
            <w:tcW w:w="3194" w:type="dxa"/>
            <w:vAlign w:val="center"/>
          </w:tcPr>
          <w:p w14:paraId="00314207">
            <w:pPr>
              <w:jc w:val="center"/>
              <w:rPr>
                <w:rStyle w:val="95"/>
                <w:szCs w:val="21"/>
              </w:rPr>
            </w:pPr>
            <w:r>
              <w:rPr>
                <w:rStyle w:val="95"/>
                <w:rFonts w:hint="eastAsia"/>
                <w:szCs w:val="21"/>
              </w:rPr>
              <w:t>开工日期</w:t>
            </w:r>
          </w:p>
        </w:tc>
        <w:tc>
          <w:tcPr>
            <w:tcW w:w="6769" w:type="dxa"/>
            <w:vAlign w:val="center"/>
          </w:tcPr>
          <w:p w14:paraId="6E18472F">
            <w:pPr>
              <w:jc w:val="center"/>
              <w:rPr>
                <w:rStyle w:val="95"/>
                <w:szCs w:val="21"/>
              </w:rPr>
            </w:pPr>
          </w:p>
        </w:tc>
      </w:tr>
      <w:tr w14:paraId="39BB4D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7" w:hRule="exact"/>
          <w:jc w:val="center"/>
        </w:trPr>
        <w:tc>
          <w:tcPr>
            <w:tcW w:w="3194" w:type="dxa"/>
            <w:vAlign w:val="center"/>
          </w:tcPr>
          <w:p w14:paraId="350BDF6A">
            <w:pPr>
              <w:jc w:val="center"/>
              <w:rPr>
                <w:rStyle w:val="95"/>
                <w:szCs w:val="21"/>
              </w:rPr>
            </w:pPr>
            <w:r>
              <w:rPr>
                <w:rStyle w:val="95"/>
                <w:rFonts w:hint="eastAsia"/>
                <w:szCs w:val="21"/>
              </w:rPr>
              <w:t>交工日期</w:t>
            </w:r>
          </w:p>
        </w:tc>
        <w:tc>
          <w:tcPr>
            <w:tcW w:w="6769" w:type="dxa"/>
            <w:vAlign w:val="center"/>
          </w:tcPr>
          <w:p w14:paraId="3FA48786">
            <w:pPr>
              <w:jc w:val="center"/>
              <w:rPr>
                <w:rStyle w:val="95"/>
                <w:szCs w:val="21"/>
              </w:rPr>
            </w:pPr>
          </w:p>
        </w:tc>
      </w:tr>
      <w:tr w14:paraId="204F27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7" w:hRule="exact"/>
          <w:jc w:val="center"/>
        </w:trPr>
        <w:tc>
          <w:tcPr>
            <w:tcW w:w="3194" w:type="dxa"/>
            <w:vAlign w:val="center"/>
          </w:tcPr>
          <w:p w14:paraId="7CF77612">
            <w:pPr>
              <w:jc w:val="center"/>
              <w:rPr>
                <w:rStyle w:val="95"/>
                <w:szCs w:val="21"/>
              </w:rPr>
            </w:pPr>
            <w:r>
              <w:rPr>
                <w:rStyle w:val="95"/>
                <w:rFonts w:hint="eastAsia"/>
                <w:szCs w:val="21"/>
              </w:rPr>
              <w:t>承担的工作</w:t>
            </w:r>
          </w:p>
        </w:tc>
        <w:tc>
          <w:tcPr>
            <w:tcW w:w="6769" w:type="dxa"/>
            <w:vAlign w:val="center"/>
          </w:tcPr>
          <w:p w14:paraId="25328BF1">
            <w:pPr>
              <w:jc w:val="center"/>
              <w:rPr>
                <w:rStyle w:val="95"/>
                <w:szCs w:val="21"/>
              </w:rPr>
            </w:pPr>
          </w:p>
        </w:tc>
      </w:tr>
      <w:tr w14:paraId="33024E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7" w:hRule="exact"/>
          <w:jc w:val="center"/>
        </w:trPr>
        <w:tc>
          <w:tcPr>
            <w:tcW w:w="3194" w:type="dxa"/>
            <w:vAlign w:val="center"/>
          </w:tcPr>
          <w:p w14:paraId="1E8A4931">
            <w:pPr>
              <w:jc w:val="center"/>
              <w:rPr>
                <w:rStyle w:val="95"/>
                <w:szCs w:val="21"/>
              </w:rPr>
            </w:pPr>
            <w:r>
              <w:rPr>
                <w:rStyle w:val="95"/>
                <w:rFonts w:hint="eastAsia"/>
                <w:szCs w:val="21"/>
              </w:rPr>
              <w:t>工程质量</w:t>
            </w:r>
          </w:p>
        </w:tc>
        <w:tc>
          <w:tcPr>
            <w:tcW w:w="6769" w:type="dxa"/>
            <w:vAlign w:val="center"/>
          </w:tcPr>
          <w:p w14:paraId="5F3DDAE0">
            <w:pPr>
              <w:jc w:val="center"/>
              <w:rPr>
                <w:rStyle w:val="95"/>
                <w:szCs w:val="21"/>
              </w:rPr>
            </w:pPr>
          </w:p>
        </w:tc>
      </w:tr>
      <w:tr w14:paraId="28E427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7" w:hRule="exact"/>
          <w:jc w:val="center"/>
        </w:trPr>
        <w:tc>
          <w:tcPr>
            <w:tcW w:w="3194" w:type="dxa"/>
            <w:vAlign w:val="center"/>
          </w:tcPr>
          <w:p w14:paraId="2F31CA52">
            <w:pPr>
              <w:jc w:val="center"/>
              <w:rPr>
                <w:rStyle w:val="95"/>
                <w:szCs w:val="21"/>
              </w:rPr>
            </w:pPr>
            <w:r>
              <w:rPr>
                <w:rStyle w:val="95"/>
                <w:rFonts w:hint="eastAsia"/>
                <w:szCs w:val="21"/>
              </w:rPr>
              <w:t>项目描述</w:t>
            </w:r>
          </w:p>
        </w:tc>
        <w:tc>
          <w:tcPr>
            <w:tcW w:w="6769" w:type="dxa"/>
            <w:vAlign w:val="center"/>
          </w:tcPr>
          <w:p w14:paraId="145648D6">
            <w:pPr>
              <w:jc w:val="center"/>
              <w:rPr>
                <w:rStyle w:val="95"/>
                <w:szCs w:val="21"/>
              </w:rPr>
            </w:pPr>
          </w:p>
        </w:tc>
      </w:tr>
      <w:tr w14:paraId="60CA73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7" w:hRule="exact"/>
          <w:jc w:val="center"/>
        </w:trPr>
        <w:tc>
          <w:tcPr>
            <w:tcW w:w="3194" w:type="dxa"/>
            <w:vAlign w:val="center"/>
          </w:tcPr>
          <w:p w14:paraId="2E02F113">
            <w:pPr>
              <w:jc w:val="center"/>
              <w:rPr>
                <w:rStyle w:val="95"/>
                <w:szCs w:val="21"/>
              </w:rPr>
            </w:pPr>
            <w:r>
              <w:rPr>
                <w:rStyle w:val="95"/>
                <w:rFonts w:hint="eastAsia"/>
                <w:szCs w:val="21"/>
              </w:rPr>
              <w:t>备注</w:t>
            </w:r>
          </w:p>
        </w:tc>
        <w:tc>
          <w:tcPr>
            <w:tcW w:w="6769" w:type="dxa"/>
            <w:vAlign w:val="center"/>
          </w:tcPr>
          <w:p w14:paraId="1DD7D94C">
            <w:pPr>
              <w:jc w:val="center"/>
              <w:rPr>
                <w:rStyle w:val="95"/>
                <w:szCs w:val="21"/>
              </w:rPr>
            </w:pPr>
          </w:p>
        </w:tc>
      </w:tr>
    </w:tbl>
    <w:p w14:paraId="153951BF">
      <w:pPr>
        <w:spacing w:before="120" w:line="360" w:lineRule="auto"/>
        <w:rPr>
          <w:rStyle w:val="95"/>
        </w:rPr>
      </w:pPr>
      <w:r>
        <w:rPr>
          <w:rStyle w:val="95"/>
          <w:rFonts w:hint="eastAsia"/>
        </w:rPr>
        <w:t>投标人（盖章）：</w:t>
      </w:r>
    </w:p>
    <w:p w14:paraId="6185E7BB">
      <w:pPr>
        <w:spacing w:line="360" w:lineRule="auto"/>
        <w:rPr>
          <w:rStyle w:val="95"/>
        </w:rPr>
      </w:pPr>
      <w:r>
        <w:rPr>
          <w:rStyle w:val="95"/>
          <w:rFonts w:hint="eastAsia"/>
        </w:rPr>
        <w:t>法定代表人或授权代理人（签字）：</w:t>
      </w:r>
    </w:p>
    <w:p w14:paraId="78346B21">
      <w:pPr>
        <w:spacing w:line="360" w:lineRule="auto"/>
        <w:rPr>
          <w:rStyle w:val="95"/>
          <w:szCs w:val="21"/>
        </w:rPr>
      </w:pPr>
    </w:p>
    <w:p w14:paraId="5E865CC1">
      <w:pPr>
        <w:rPr>
          <w:rStyle w:val="95"/>
          <w:szCs w:val="21"/>
        </w:rPr>
      </w:pPr>
      <w:r>
        <w:rPr>
          <w:rStyle w:val="95"/>
          <w:rFonts w:hint="eastAsia"/>
          <w:szCs w:val="21"/>
        </w:rPr>
        <w:t>注：</w:t>
      </w:r>
      <w:r>
        <w:rPr>
          <w:rStyle w:val="95"/>
          <w:szCs w:val="21"/>
        </w:rPr>
        <w:t>1</w:t>
      </w:r>
      <w:r>
        <w:rPr>
          <w:rStyle w:val="95"/>
          <w:rFonts w:hint="eastAsia"/>
          <w:szCs w:val="21"/>
        </w:rPr>
        <w:t>、每张表格只填写一个项目，并标明序号。</w:t>
      </w:r>
    </w:p>
    <w:p w14:paraId="504BBADF">
      <w:pPr>
        <w:ind w:left="735" w:leftChars="200" w:hanging="315" w:hangingChars="150"/>
        <w:rPr>
          <w:rStyle w:val="95"/>
          <w:szCs w:val="21"/>
        </w:rPr>
      </w:pPr>
      <w:r>
        <w:rPr>
          <w:rStyle w:val="95"/>
          <w:szCs w:val="21"/>
        </w:rPr>
        <w:t>2</w:t>
      </w:r>
      <w:r>
        <w:rPr>
          <w:rStyle w:val="95"/>
          <w:rFonts w:hint="eastAsia"/>
          <w:szCs w:val="21"/>
        </w:rPr>
        <w:t>、本表后须附对应项目中标通知书（备案）、合同及竣工验收报告扫描件。</w:t>
      </w:r>
    </w:p>
    <w:p w14:paraId="529400B0">
      <w:pPr>
        <w:ind w:left="735" w:leftChars="200" w:hanging="315" w:hangingChars="150"/>
        <w:rPr>
          <w:szCs w:val="21"/>
        </w:rPr>
      </w:pPr>
      <w:r>
        <w:rPr>
          <w:rStyle w:val="95"/>
          <w:szCs w:val="21"/>
        </w:rPr>
        <w:t>3</w:t>
      </w:r>
      <w:r>
        <w:rPr>
          <w:rStyle w:val="95"/>
          <w:rFonts w:hint="eastAsia"/>
          <w:szCs w:val="21"/>
        </w:rPr>
        <w:t>、</w:t>
      </w:r>
      <w:r>
        <w:rPr>
          <w:rFonts w:hint="eastAsia"/>
          <w:szCs w:val="21"/>
        </w:rPr>
        <w:t>资信证明材料：全国或山西省建筑市场监管公共服务平台公布的建筑市场主体资信截图或复印件。</w:t>
      </w:r>
    </w:p>
    <w:p w14:paraId="2184C652">
      <w:pPr>
        <w:ind w:left="735" w:leftChars="200" w:hanging="315" w:hangingChars="150"/>
        <w:rPr>
          <w:rStyle w:val="95"/>
          <w:szCs w:val="21"/>
        </w:rPr>
      </w:pPr>
      <w:r>
        <w:rPr>
          <w:szCs w:val="21"/>
        </w:rPr>
        <w:t>4</w:t>
      </w:r>
      <w:r>
        <w:rPr>
          <w:rFonts w:hint="eastAsia"/>
          <w:szCs w:val="21"/>
        </w:rPr>
        <w:t>、</w:t>
      </w:r>
      <w:r>
        <w:rPr>
          <w:rStyle w:val="95"/>
          <w:rFonts w:hint="eastAsia"/>
          <w:szCs w:val="21"/>
        </w:rPr>
        <w:t>如近年来，投标人法人机构发生合法变更或重组或法人名称变更时，应提供相关部门的合法批件或其他相关证明材料来证明其所附业绩的继承性。</w:t>
      </w:r>
    </w:p>
    <w:p w14:paraId="1BE9F281">
      <w:pPr>
        <w:pStyle w:val="87"/>
        <w:spacing w:before="0" w:after="120" w:line="660" w:lineRule="exact"/>
        <w:jc w:val="center"/>
        <w:rPr>
          <w:rStyle w:val="95"/>
          <w:rFonts w:ascii="Times New Roman" w:hAnsi="Times New Roman" w:eastAsia="宋体"/>
          <w:kern w:val="0"/>
          <w:sz w:val="28"/>
          <w:szCs w:val="28"/>
        </w:rPr>
      </w:pPr>
      <w:r>
        <w:rPr>
          <w:rStyle w:val="95"/>
          <w:rFonts w:hint="eastAsia" w:ascii="Times New Roman" w:hAnsi="Times New Roman" w:eastAsia="宋体"/>
          <w:kern w:val="0"/>
          <w:sz w:val="28"/>
          <w:szCs w:val="28"/>
          <w:lang w:eastAsia="zh-CN"/>
        </w:rPr>
        <w:t>六</w:t>
      </w:r>
      <w:r>
        <w:rPr>
          <w:rStyle w:val="95"/>
          <w:rFonts w:hint="eastAsia" w:ascii="Times New Roman" w:hAnsi="Times New Roman" w:eastAsia="宋体"/>
          <w:kern w:val="0"/>
          <w:sz w:val="28"/>
          <w:szCs w:val="28"/>
        </w:rPr>
        <w:t>、正在施工和新承接的项目情况表</w:t>
      </w:r>
    </w:p>
    <w:tbl>
      <w:tblPr>
        <w:tblStyle w:val="45"/>
        <w:tblW w:w="996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3021"/>
        <w:gridCol w:w="6942"/>
      </w:tblGrid>
      <w:tr w14:paraId="74240DD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7" w:hRule="exact"/>
          <w:jc w:val="center"/>
        </w:trPr>
        <w:tc>
          <w:tcPr>
            <w:tcW w:w="3021" w:type="dxa"/>
            <w:vAlign w:val="center"/>
          </w:tcPr>
          <w:p w14:paraId="4D4E6E2E">
            <w:pPr>
              <w:jc w:val="center"/>
              <w:rPr>
                <w:rStyle w:val="95"/>
                <w:szCs w:val="21"/>
              </w:rPr>
            </w:pPr>
            <w:r>
              <w:rPr>
                <w:rStyle w:val="95"/>
                <w:rFonts w:hint="eastAsia"/>
                <w:szCs w:val="21"/>
              </w:rPr>
              <w:t>序号</w:t>
            </w:r>
          </w:p>
        </w:tc>
        <w:tc>
          <w:tcPr>
            <w:tcW w:w="6942" w:type="dxa"/>
            <w:vAlign w:val="center"/>
          </w:tcPr>
          <w:p w14:paraId="5CC48342">
            <w:pPr>
              <w:jc w:val="center"/>
              <w:rPr>
                <w:rStyle w:val="95"/>
                <w:szCs w:val="21"/>
              </w:rPr>
            </w:pPr>
          </w:p>
        </w:tc>
      </w:tr>
      <w:tr w14:paraId="0B9C14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7" w:hRule="exact"/>
          <w:jc w:val="center"/>
        </w:trPr>
        <w:tc>
          <w:tcPr>
            <w:tcW w:w="3021" w:type="dxa"/>
            <w:vAlign w:val="center"/>
          </w:tcPr>
          <w:p w14:paraId="49D683DE">
            <w:pPr>
              <w:jc w:val="center"/>
              <w:rPr>
                <w:rStyle w:val="95"/>
                <w:szCs w:val="21"/>
              </w:rPr>
            </w:pPr>
            <w:r>
              <w:rPr>
                <w:rStyle w:val="95"/>
                <w:rFonts w:hint="eastAsia"/>
                <w:szCs w:val="21"/>
              </w:rPr>
              <w:t>项目名称</w:t>
            </w:r>
          </w:p>
        </w:tc>
        <w:tc>
          <w:tcPr>
            <w:tcW w:w="6942" w:type="dxa"/>
            <w:vAlign w:val="center"/>
          </w:tcPr>
          <w:p w14:paraId="1BDCD93E">
            <w:pPr>
              <w:jc w:val="center"/>
              <w:rPr>
                <w:rStyle w:val="95"/>
                <w:szCs w:val="21"/>
              </w:rPr>
            </w:pPr>
          </w:p>
        </w:tc>
      </w:tr>
      <w:tr w14:paraId="730E9D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7" w:hRule="exact"/>
          <w:jc w:val="center"/>
        </w:trPr>
        <w:tc>
          <w:tcPr>
            <w:tcW w:w="3021" w:type="dxa"/>
            <w:vAlign w:val="center"/>
          </w:tcPr>
          <w:p w14:paraId="75BD1C89">
            <w:pPr>
              <w:jc w:val="center"/>
              <w:rPr>
                <w:rStyle w:val="95"/>
                <w:szCs w:val="21"/>
              </w:rPr>
            </w:pPr>
            <w:r>
              <w:rPr>
                <w:rStyle w:val="95"/>
                <w:rFonts w:hint="eastAsia"/>
                <w:szCs w:val="21"/>
              </w:rPr>
              <w:t>项目所在地</w:t>
            </w:r>
          </w:p>
        </w:tc>
        <w:tc>
          <w:tcPr>
            <w:tcW w:w="6942" w:type="dxa"/>
            <w:vAlign w:val="center"/>
          </w:tcPr>
          <w:p w14:paraId="48DFB8B0">
            <w:pPr>
              <w:jc w:val="center"/>
              <w:rPr>
                <w:rStyle w:val="95"/>
                <w:szCs w:val="21"/>
              </w:rPr>
            </w:pPr>
          </w:p>
        </w:tc>
      </w:tr>
      <w:tr w14:paraId="4A8AEC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7" w:hRule="exact"/>
          <w:jc w:val="center"/>
        </w:trPr>
        <w:tc>
          <w:tcPr>
            <w:tcW w:w="3021" w:type="dxa"/>
            <w:vAlign w:val="center"/>
          </w:tcPr>
          <w:p w14:paraId="36F1CBC8">
            <w:pPr>
              <w:jc w:val="center"/>
              <w:rPr>
                <w:rStyle w:val="95"/>
                <w:szCs w:val="21"/>
              </w:rPr>
            </w:pPr>
            <w:r>
              <w:rPr>
                <w:rStyle w:val="95"/>
                <w:rFonts w:hint="eastAsia"/>
                <w:szCs w:val="21"/>
              </w:rPr>
              <w:t>发包人名称</w:t>
            </w:r>
          </w:p>
        </w:tc>
        <w:tc>
          <w:tcPr>
            <w:tcW w:w="6942" w:type="dxa"/>
            <w:vAlign w:val="center"/>
          </w:tcPr>
          <w:p w14:paraId="044D0672">
            <w:pPr>
              <w:jc w:val="center"/>
              <w:rPr>
                <w:rStyle w:val="95"/>
                <w:szCs w:val="21"/>
              </w:rPr>
            </w:pPr>
          </w:p>
        </w:tc>
      </w:tr>
      <w:tr w14:paraId="51AD9B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7" w:hRule="exact"/>
          <w:jc w:val="center"/>
        </w:trPr>
        <w:tc>
          <w:tcPr>
            <w:tcW w:w="3021" w:type="dxa"/>
            <w:vAlign w:val="center"/>
          </w:tcPr>
          <w:p w14:paraId="15D62CA1">
            <w:pPr>
              <w:jc w:val="center"/>
              <w:rPr>
                <w:rStyle w:val="95"/>
                <w:szCs w:val="21"/>
              </w:rPr>
            </w:pPr>
            <w:r>
              <w:rPr>
                <w:rStyle w:val="95"/>
                <w:rFonts w:hint="eastAsia"/>
                <w:szCs w:val="21"/>
              </w:rPr>
              <w:t>发包人地址</w:t>
            </w:r>
          </w:p>
        </w:tc>
        <w:tc>
          <w:tcPr>
            <w:tcW w:w="6942" w:type="dxa"/>
            <w:vAlign w:val="center"/>
          </w:tcPr>
          <w:p w14:paraId="3B9E95D7">
            <w:pPr>
              <w:jc w:val="center"/>
              <w:rPr>
                <w:rStyle w:val="95"/>
                <w:szCs w:val="21"/>
              </w:rPr>
            </w:pPr>
          </w:p>
        </w:tc>
      </w:tr>
      <w:tr w14:paraId="4542F5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7" w:hRule="exact"/>
          <w:jc w:val="center"/>
        </w:trPr>
        <w:tc>
          <w:tcPr>
            <w:tcW w:w="3021" w:type="dxa"/>
            <w:vAlign w:val="center"/>
          </w:tcPr>
          <w:p w14:paraId="1D6E23FB">
            <w:pPr>
              <w:jc w:val="center"/>
              <w:rPr>
                <w:rStyle w:val="95"/>
                <w:szCs w:val="21"/>
              </w:rPr>
            </w:pPr>
            <w:r>
              <w:rPr>
                <w:rStyle w:val="95"/>
                <w:rFonts w:hint="eastAsia"/>
                <w:szCs w:val="21"/>
              </w:rPr>
              <w:t>发包人电话</w:t>
            </w:r>
          </w:p>
        </w:tc>
        <w:tc>
          <w:tcPr>
            <w:tcW w:w="6942" w:type="dxa"/>
            <w:vAlign w:val="center"/>
          </w:tcPr>
          <w:p w14:paraId="083614AE">
            <w:pPr>
              <w:jc w:val="center"/>
              <w:rPr>
                <w:rStyle w:val="95"/>
                <w:szCs w:val="21"/>
              </w:rPr>
            </w:pPr>
          </w:p>
        </w:tc>
      </w:tr>
      <w:tr w14:paraId="6DA313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7" w:hRule="exact"/>
          <w:jc w:val="center"/>
        </w:trPr>
        <w:tc>
          <w:tcPr>
            <w:tcW w:w="3021" w:type="dxa"/>
            <w:vAlign w:val="center"/>
          </w:tcPr>
          <w:p w14:paraId="6A52B50E">
            <w:pPr>
              <w:jc w:val="center"/>
              <w:rPr>
                <w:rStyle w:val="95"/>
                <w:szCs w:val="21"/>
              </w:rPr>
            </w:pPr>
            <w:r>
              <w:rPr>
                <w:rStyle w:val="95"/>
                <w:rFonts w:hint="eastAsia"/>
                <w:szCs w:val="21"/>
              </w:rPr>
              <w:t>签约合同价</w:t>
            </w:r>
          </w:p>
        </w:tc>
        <w:tc>
          <w:tcPr>
            <w:tcW w:w="6942" w:type="dxa"/>
            <w:vAlign w:val="center"/>
          </w:tcPr>
          <w:p w14:paraId="708BE316">
            <w:pPr>
              <w:jc w:val="center"/>
              <w:rPr>
                <w:rStyle w:val="95"/>
                <w:szCs w:val="21"/>
              </w:rPr>
            </w:pPr>
          </w:p>
        </w:tc>
      </w:tr>
      <w:tr w14:paraId="53D678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7" w:hRule="exact"/>
          <w:jc w:val="center"/>
        </w:trPr>
        <w:tc>
          <w:tcPr>
            <w:tcW w:w="3021" w:type="dxa"/>
            <w:vAlign w:val="center"/>
          </w:tcPr>
          <w:p w14:paraId="04D39AAE">
            <w:pPr>
              <w:jc w:val="center"/>
              <w:rPr>
                <w:rStyle w:val="95"/>
                <w:szCs w:val="21"/>
              </w:rPr>
            </w:pPr>
            <w:r>
              <w:rPr>
                <w:rStyle w:val="95"/>
                <w:rFonts w:hint="eastAsia"/>
                <w:szCs w:val="21"/>
              </w:rPr>
              <w:t>开工日期</w:t>
            </w:r>
          </w:p>
        </w:tc>
        <w:tc>
          <w:tcPr>
            <w:tcW w:w="6942" w:type="dxa"/>
            <w:vAlign w:val="center"/>
          </w:tcPr>
          <w:p w14:paraId="655142B3">
            <w:pPr>
              <w:jc w:val="center"/>
              <w:rPr>
                <w:rStyle w:val="95"/>
                <w:szCs w:val="21"/>
              </w:rPr>
            </w:pPr>
          </w:p>
        </w:tc>
      </w:tr>
      <w:tr w14:paraId="111A8A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7" w:hRule="exact"/>
          <w:jc w:val="center"/>
        </w:trPr>
        <w:tc>
          <w:tcPr>
            <w:tcW w:w="3021" w:type="dxa"/>
            <w:vAlign w:val="center"/>
          </w:tcPr>
          <w:p w14:paraId="0186BE0B">
            <w:pPr>
              <w:jc w:val="center"/>
              <w:rPr>
                <w:rStyle w:val="95"/>
                <w:szCs w:val="21"/>
              </w:rPr>
            </w:pPr>
            <w:r>
              <w:rPr>
                <w:rStyle w:val="95"/>
                <w:rFonts w:hint="eastAsia"/>
                <w:szCs w:val="21"/>
              </w:rPr>
              <w:t>计划交工日期</w:t>
            </w:r>
          </w:p>
        </w:tc>
        <w:tc>
          <w:tcPr>
            <w:tcW w:w="6942" w:type="dxa"/>
            <w:vAlign w:val="center"/>
          </w:tcPr>
          <w:p w14:paraId="3606F646">
            <w:pPr>
              <w:jc w:val="center"/>
              <w:rPr>
                <w:rStyle w:val="95"/>
                <w:szCs w:val="21"/>
              </w:rPr>
            </w:pPr>
          </w:p>
        </w:tc>
      </w:tr>
      <w:tr w14:paraId="6A12C8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7" w:hRule="exact"/>
          <w:jc w:val="center"/>
        </w:trPr>
        <w:tc>
          <w:tcPr>
            <w:tcW w:w="3021" w:type="dxa"/>
            <w:vAlign w:val="center"/>
          </w:tcPr>
          <w:p w14:paraId="6E5CAAFF">
            <w:pPr>
              <w:jc w:val="center"/>
              <w:rPr>
                <w:rStyle w:val="95"/>
                <w:szCs w:val="21"/>
              </w:rPr>
            </w:pPr>
            <w:r>
              <w:rPr>
                <w:rStyle w:val="95"/>
                <w:rFonts w:hint="eastAsia"/>
                <w:szCs w:val="21"/>
              </w:rPr>
              <w:t>承担的工作</w:t>
            </w:r>
          </w:p>
        </w:tc>
        <w:tc>
          <w:tcPr>
            <w:tcW w:w="6942" w:type="dxa"/>
            <w:vAlign w:val="center"/>
          </w:tcPr>
          <w:p w14:paraId="261766A2">
            <w:pPr>
              <w:jc w:val="center"/>
              <w:rPr>
                <w:rStyle w:val="95"/>
                <w:szCs w:val="21"/>
              </w:rPr>
            </w:pPr>
          </w:p>
        </w:tc>
      </w:tr>
      <w:tr w14:paraId="3BA08B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7" w:hRule="exact"/>
          <w:jc w:val="center"/>
        </w:trPr>
        <w:tc>
          <w:tcPr>
            <w:tcW w:w="3021" w:type="dxa"/>
            <w:vAlign w:val="center"/>
          </w:tcPr>
          <w:p w14:paraId="49477C3E">
            <w:pPr>
              <w:jc w:val="center"/>
              <w:rPr>
                <w:rStyle w:val="95"/>
                <w:szCs w:val="21"/>
              </w:rPr>
            </w:pPr>
            <w:r>
              <w:rPr>
                <w:rStyle w:val="95"/>
                <w:rFonts w:hint="eastAsia"/>
                <w:szCs w:val="21"/>
              </w:rPr>
              <w:t>工程质量要求</w:t>
            </w:r>
          </w:p>
        </w:tc>
        <w:tc>
          <w:tcPr>
            <w:tcW w:w="6942" w:type="dxa"/>
            <w:vAlign w:val="center"/>
          </w:tcPr>
          <w:p w14:paraId="5B3882B4">
            <w:pPr>
              <w:jc w:val="center"/>
              <w:rPr>
                <w:rStyle w:val="95"/>
                <w:szCs w:val="21"/>
              </w:rPr>
            </w:pPr>
          </w:p>
        </w:tc>
      </w:tr>
      <w:tr w14:paraId="0E71E9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7" w:hRule="exact"/>
          <w:jc w:val="center"/>
        </w:trPr>
        <w:tc>
          <w:tcPr>
            <w:tcW w:w="3021" w:type="dxa"/>
            <w:vAlign w:val="center"/>
          </w:tcPr>
          <w:p w14:paraId="39A2CBF9">
            <w:pPr>
              <w:jc w:val="center"/>
              <w:rPr>
                <w:rStyle w:val="95"/>
                <w:szCs w:val="21"/>
              </w:rPr>
            </w:pPr>
            <w:r>
              <w:rPr>
                <w:rStyle w:val="95"/>
                <w:rFonts w:hint="eastAsia"/>
                <w:szCs w:val="21"/>
              </w:rPr>
              <w:t>项目描述</w:t>
            </w:r>
          </w:p>
        </w:tc>
        <w:tc>
          <w:tcPr>
            <w:tcW w:w="6942" w:type="dxa"/>
            <w:vAlign w:val="center"/>
          </w:tcPr>
          <w:p w14:paraId="1206718F">
            <w:pPr>
              <w:jc w:val="center"/>
              <w:rPr>
                <w:rStyle w:val="95"/>
                <w:szCs w:val="21"/>
              </w:rPr>
            </w:pPr>
          </w:p>
        </w:tc>
      </w:tr>
      <w:tr w14:paraId="3614454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37" w:hRule="exact"/>
          <w:jc w:val="center"/>
        </w:trPr>
        <w:tc>
          <w:tcPr>
            <w:tcW w:w="3021" w:type="dxa"/>
            <w:vAlign w:val="center"/>
          </w:tcPr>
          <w:p w14:paraId="400A299B">
            <w:pPr>
              <w:jc w:val="center"/>
              <w:rPr>
                <w:rStyle w:val="95"/>
                <w:szCs w:val="21"/>
              </w:rPr>
            </w:pPr>
            <w:r>
              <w:rPr>
                <w:rStyle w:val="95"/>
                <w:rFonts w:hint="eastAsia"/>
                <w:szCs w:val="21"/>
              </w:rPr>
              <w:t>备注</w:t>
            </w:r>
          </w:p>
        </w:tc>
        <w:tc>
          <w:tcPr>
            <w:tcW w:w="6942" w:type="dxa"/>
            <w:vAlign w:val="center"/>
          </w:tcPr>
          <w:p w14:paraId="72F6D50C">
            <w:pPr>
              <w:jc w:val="center"/>
              <w:rPr>
                <w:rStyle w:val="95"/>
                <w:szCs w:val="21"/>
              </w:rPr>
            </w:pPr>
          </w:p>
        </w:tc>
      </w:tr>
    </w:tbl>
    <w:p w14:paraId="74D418FD">
      <w:pPr>
        <w:spacing w:before="4" w:line="100" w:lineRule="exact"/>
        <w:jc w:val="left"/>
        <w:rPr>
          <w:rStyle w:val="95"/>
          <w:kern w:val="0"/>
          <w:sz w:val="10"/>
          <w:szCs w:val="10"/>
        </w:rPr>
      </w:pPr>
    </w:p>
    <w:p w14:paraId="3A5D9441">
      <w:pPr>
        <w:spacing w:line="360" w:lineRule="auto"/>
        <w:rPr>
          <w:rStyle w:val="95"/>
        </w:rPr>
      </w:pPr>
      <w:r>
        <w:rPr>
          <w:rStyle w:val="95"/>
          <w:rFonts w:hint="eastAsia"/>
        </w:rPr>
        <w:t>投标人（盖章）：</w:t>
      </w:r>
    </w:p>
    <w:p w14:paraId="3811ECD3">
      <w:pPr>
        <w:spacing w:line="360" w:lineRule="auto"/>
        <w:rPr>
          <w:rStyle w:val="95"/>
        </w:rPr>
      </w:pPr>
      <w:r>
        <w:rPr>
          <w:rStyle w:val="95"/>
          <w:rFonts w:hint="eastAsia"/>
        </w:rPr>
        <w:t>法定代表人或授权代理人（签字）：</w:t>
      </w:r>
    </w:p>
    <w:p w14:paraId="4B3520E7">
      <w:pPr>
        <w:spacing w:line="360" w:lineRule="auto"/>
        <w:rPr>
          <w:rStyle w:val="95"/>
          <w:szCs w:val="21"/>
        </w:rPr>
      </w:pPr>
    </w:p>
    <w:p w14:paraId="102D9A01">
      <w:pPr>
        <w:spacing w:line="360" w:lineRule="auto"/>
        <w:rPr>
          <w:rStyle w:val="95"/>
          <w:szCs w:val="21"/>
        </w:rPr>
      </w:pPr>
      <w:r>
        <w:rPr>
          <w:rStyle w:val="95"/>
          <w:rFonts w:hint="eastAsia"/>
          <w:szCs w:val="21"/>
        </w:rPr>
        <w:t>注：</w:t>
      </w:r>
      <w:r>
        <w:rPr>
          <w:rStyle w:val="95"/>
          <w:szCs w:val="21"/>
        </w:rPr>
        <w:t>1</w:t>
      </w:r>
      <w:r>
        <w:rPr>
          <w:rStyle w:val="95"/>
          <w:rFonts w:hint="eastAsia"/>
          <w:szCs w:val="21"/>
        </w:rPr>
        <w:t>、每张表格只填写一个项目，并标明序号。</w:t>
      </w:r>
    </w:p>
    <w:p w14:paraId="35ACD5FA">
      <w:pPr>
        <w:spacing w:line="360" w:lineRule="auto"/>
        <w:ind w:firstLine="405"/>
        <w:rPr>
          <w:rStyle w:val="95"/>
          <w:szCs w:val="21"/>
        </w:rPr>
      </w:pPr>
      <w:r>
        <w:rPr>
          <w:rStyle w:val="95"/>
          <w:szCs w:val="21"/>
        </w:rPr>
        <w:t>2</w:t>
      </w:r>
      <w:r>
        <w:rPr>
          <w:rStyle w:val="95"/>
          <w:rFonts w:hint="eastAsia"/>
          <w:szCs w:val="21"/>
        </w:rPr>
        <w:t>、本表后应附对应项目中标通知书、合同（如有）扫描件。</w:t>
      </w:r>
    </w:p>
    <w:p w14:paraId="3B4F8ADC">
      <w:pPr>
        <w:spacing w:line="360" w:lineRule="auto"/>
        <w:ind w:left="714" w:leftChars="190" w:hanging="315" w:hangingChars="150"/>
        <w:rPr>
          <w:rStyle w:val="95"/>
          <w:szCs w:val="21"/>
        </w:rPr>
      </w:pPr>
      <w:r>
        <w:rPr>
          <w:rStyle w:val="95"/>
          <w:szCs w:val="21"/>
        </w:rPr>
        <w:t>3</w:t>
      </w:r>
      <w:r>
        <w:rPr>
          <w:rStyle w:val="95"/>
          <w:rFonts w:hint="eastAsia"/>
          <w:szCs w:val="21"/>
        </w:rPr>
        <w:t>、本表应包含所有在建工程项目，包括正在施工、已签订合同协议书即将开工或已收到中标通知书和意向书但尚未签订合同的所有项目。</w:t>
      </w:r>
      <w:r>
        <w:rPr>
          <w:rStyle w:val="95"/>
          <w:szCs w:val="21"/>
        </w:rPr>
        <w:br w:type="page"/>
      </w:r>
    </w:p>
    <w:p w14:paraId="7707E93F">
      <w:pPr>
        <w:rPr>
          <w:rStyle w:val="95"/>
          <w:szCs w:val="21"/>
        </w:rPr>
      </w:pPr>
    </w:p>
    <w:p w14:paraId="180715A0">
      <w:pPr>
        <w:pStyle w:val="85"/>
        <w:rPr>
          <w:rStyle w:val="95"/>
          <w:rFonts w:ascii="Times New Roman" w:hAnsi="Times New Roman"/>
        </w:rPr>
      </w:pPr>
    </w:p>
    <w:p w14:paraId="6434611E">
      <w:pPr>
        <w:pStyle w:val="87"/>
        <w:spacing w:after="120"/>
        <w:jc w:val="center"/>
        <w:rPr>
          <w:rStyle w:val="95"/>
          <w:rFonts w:ascii="Times New Roman" w:hAnsi="Times New Roman" w:eastAsia="宋体"/>
          <w:kern w:val="0"/>
          <w:sz w:val="28"/>
          <w:szCs w:val="28"/>
        </w:rPr>
      </w:pPr>
      <w:r>
        <w:rPr>
          <w:rStyle w:val="95"/>
          <w:rFonts w:hint="eastAsia" w:ascii="Times New Roman" w:hAnsi="Times New Roman" w:eastAsia="宋体"/>
          <w:kern w:val="0"/>
          <w:sz w:val="28"/>
          <w:szCs w:val="28"/>
          <w:lang w:eastAsia="zh-CN"/>
        </w:rPr>
        <w:t>七</w:t>
      </w:r>
      <w:r>
        <w:rPr>
          <w:rStyle w:val="95"/>
          <w:rFonts w:hint="eastAsia" w:ascii="Times New Roman" w:hAnsi="Times New Roman" w:eastAsia="宋体"/>
          <w:kern w:val="0"/>
          <w:sz w:val="28"/>
          <w:szCs w:val="28"/>
        </w:rPr>
        <w:t>、近年发生的诉讼及仲裁情况表</w:t>
      </w:r>
    </w:p>
    <w:tbl>
      <w:tblPr>
        <w:tblStyle w:val="45"/>
        <w:tblW w:w="996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4925"/>
        <w:gridCol w:w="5038"/>
      </w:tblGrid>
      <w:tr w14:paraId="117AB9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51" w:hRule="exact"/>
          <w:jc w:val="center"/>
        </w:trPr>
        <w:tc>
          <w:tcPr>
            <w:tcW w:w="4925" w:type="dxa"/>
            <w:vAlign w:val="center"/>
          </w:tcPr>
          <w:p w14:paraId="3748C9F3">
            <w:pPr>
              <w:jc w:val="center"/>
              <w:rPr>
                <w:rStyle w:val="95"/>
                <w:szCs w:val="21"/>
              </w:rPr>
            </w:pPr>
            <w:r>
              <w:rPr>
                <w:rStyle w:val="95"/>
                <w:rFonts w:hint="eastAsia"/>
                <w:szCs w:val="21"/>
              </w:rPr>
              <w:t>项目</w:t>
            </w:r>
          </w:p>
        </w:tc>
        <w:tc>
          <w:tcPr>
            <w:tcW w:w="5038" w:type="dxa"/>
            <w:vAlign w:val="center"/>
          </w:tcPr>
          <w:p w14:paraId="466E11A9">
            <w:pPr>
              <w:jc w:val="center"/>
              <w:rPr>
                <w:rStyle w:val="95"/>
                <w:szCs w:val="21"/>
              </w:rPr>
            </w:pPr>
            <w:r>
              <w:rPr>
                <w:rStyle w:val="95"/>
                <w:rFonts w:hint="eastAsia"/>
                <w:szCs w:val="21"/>
              </w:rPr>
              <w:t>投标人情况说明</w:t>
            </w:r>
          </w:p>
        </w:tc>
      </w:tr>
      <w:tr w14:paraId="0C9A98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51" w:hRule="exact"/>
          <w:jc w:val="center"/>
        </w:trPr>
        <w:tc>
          <w:tcPr>
            <w:tcW w:w="4925" w:type="dxa"/>
            <w:vAlign w:val="center"/>
          </w:tcPr>
          <w:p w14:paraId="798E868E">
            <w:pPr>
              <w:jc w:val="center"/>
              <w:rPr>
                <w:rStyle w:val="95"/>
                <w:sz w:val="24"/>
              </w:rPr>
            </w:pPr>
          </w:p>
        </w:tc>
        <w:tc>
          <w:tcPr>
            <w:tcW w:w="5038" w:type="dxa"/>
            <w:vAlign w:val="center"/>
          </w:tcPr>
          <w:p w14:paraId="6B60F146">
            <w:pPr>
              <w:jc w:val="center"/>
              <w:rPr>
                <w:rStyle w:val="95"/>
                <w:sz w:val="24"/>
              </w:rPr>
            </w:pPr>
          </w:p>
        </w:tc>
      </w:tr>
      <w:tr w14:paraId="623B06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51" w:hRule="exact"/>
          <w:jc w:val="center"/>
        </w:trPr>
        <w:tc>
          <w:tcPr>
            <w:tcW w:w="4925" w:type="dxa"/>
            <w:vAlign w:val="center"/>
          </w:tcPr>
          <w:p w14:paraId="7862837A">
            <w:pPr>
              <w:jc w:val="center"/>
              <w:rPr>
                <w:rStyle w:val="95"/>
                <w:sz w:val="24"/>
              </w:rPr>
            </w:pPr>
          </w:p>
        </w:tc>
        <w:tc>
          <w:tcPr>
            <w:tcW w:w="5038" w:type="dxa"/>
            <w:vAlign w:val="center"/>
          </w:tcPr>
          <w:p w14:paraId="2F3FAA89">
            <w:pPr>
              <w:jc w:val="center"/>
              <w:rPr>
                <w:rStyle w:val="95"/>
                <w:sz w:val="24"/>
              </w:rPr>
            </w:pPr>
          </w:p>
        </w:tc>
      </w:tr>
      <w:tr w14:paraId="174BDA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51" w:hRule="exact"/>
          <w:jc w:val="center"/>
        </w:trPr>
        <w:tc>
          <w:tcPr>
            <w:tcW w:w="4925" w:type="dxa"/>
            <w:vAlign w:val="center"/>
          </w:tcPr>
          <w:p w14:paraId="796D19BA">
            <w:pPr>
              <w:jc w:val="center"/>
              <w:rPr>
                <w:rStyle w:val="95"/>
                <w:sz w:val="24"/>
              </w:rPr>
            </w:pPr>
          </w:p>
        </w:tc>
        <w:tc>
          <w:tcPr>
            <w:tcW w:w="5038" w:type="dxa"/>
            <w:vAlign w:val="center"/>
          </w:tcPr>
          <w:p w14:paraId="49E243A4">
            <w:pPr>
              <w:jc w:val="center"/>
              <w:rPr>
                <w:rStyle w:val="95"/>
                <w:sz w:val="24"/>
              </w:rPr>
            </w:pPr>
          </w:p>
        </w:tc>
      </w:tr>
      <w:tr w14:paraId="6FF040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51" w:hRule="exact"/>
          <w:jc w:val="center"/>
        </w:trPr>
        <w:tc>
          <w:tcPr>
            <w:tcW w:w="4925" w:type="dxa"/>
            <w:vAlign w:val="center"/>
          </w:tcPr>
          <w:p w14:paraId="5E079280">
            <w:pPr>
              <w:jc w:val="center"/>
              <w:rPr>
                <w:rStyle w:val="95"/>
                <w:sz w:val="24"/>
              </w:rPr>
            </w:pPr>
          </w:p>
        </w:tc>
        <w:tc>
          <w:tcPr>
            <w:tcW w:w="5038" w:type="dxa"/>
            <w:vAlign w:val="center"/>
          </w:tcPr>
          <w:p w14:paraId="39B533D0">
            <w:pPr>
              <w:jc w:val="center"/>
              <w:rPr>
                <w:rStyle w:val="95"/>
                <w:sz w:val="24"/>
              </w:rPr>
            </w:pPr>
          </w:p>
        </w:tc>
      </w:tr>
      <w:tr w14:paraId="485DBB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51" w:hRule="exact"/>
          <w:jc w:val="center"/>
        </w:trPr>
        <w:tc>
          <w:tcPr>
            <w:tcW w:w="4925" w:type="dxa"/>
            <w:vAlign w:val="center"/>
          </w:tcPr>
          <w:p w14:paraId="2BFD264C">
            <w:pPr>
              <w:jc w:val="center"/>
              <w:rPr>
                <w:rStyle w:val="95"/>
                <w:sz w:val="24"/>
              </w:rPr>
            </w:pPr>
          </w:p>
        </w:tc>
        <w:tc>
          <w:tcPr>
            <w:tcW w:w="5038" w:type="dxa"/>
            <w:vAlign w:val="center"/>
          </w:tcPr>
          <w:p w14:paraId="48BEDB45">
            <w:pPr>
              <w:jc w:val="center"/>
              <w:rPr>
                <w:rStyle w:val="95"/>
                <w:sz w:val="24"/>
              </w:rPr>
            </w:pPr>
          </w:p>
        </w:tc>
      </w:tr>
      <w:tr w14:paraId="4B4AA5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51" w:hRule="exact"/>
          <w:jc w:val="center"/>
        </w:trPr>
        <w:tc>
          <w:tcPr>
            <w:tcW w:w="4925" w:type="dxa"/>
            <w:vAlign w:val="center"/>
          </w:tcPr>
          <w:p w14:paraId="6B235C03">
            <w:pPr>
              <w:jc w:val="center"/>
              <w:rPr>
                <w:rStyle w:val="95"/>
                <w:sz w:val="24"/>
              </w:rPr>
            </w:pPr>
          </w:p>
        </w:tc>
        <w:tc>
          <w:tcPr>
            <w:tcW w:w="5038" w:type="dxa"/>
            <w:vAlign w:val="center"/>
          </w:tcPr>
          <w:p w14:paraId="3C37C38D">
            <w:pPr>
              <w:jc w:val="center"/>
              <w:rPr>
                <w:rStyle w:val="95"/>
                <w:sz w:val="24"/>
              </w:rPr>
            </w:pPr>
          </w:p>
        </w:tc>
      </w:tr>
    </w:tbl>
    <w:p w14:paraId="2D5D4AA5">
      <w:pPr>
        <w:spacing w:before="120" w:line="400" w:lineRule="exact"/>
        <w:rPr>
          <w:rStyle w:val="95"/>
        </w:rPr>
      </w:pPr>
      <w:r>
        <w:rPr>
          <w:rStyle w:val="95"/>
          <w:rFonts w:hint="eastAsia"/>
        </w:rPr>
        <w:t>投标人（盖章）：</w:t>
      </w:r>
    </w:p>
    <w:p w14:paraId="651DC49D">
      <w:pPr>
        <w:spacing w:line="400" w:lineRule="exact"/>
        <w:rPr>
          <w:rStyle w:val="95"/>
        </w:rPr>
      </w:pPr>
      <w:r>
        <w:rPr>
          <w:rStyle w:val="95"/>
          <w:rFonts w:hint="eastAsia"/>
        </w:rPr>
        <w:t>法定代表人或授权代理人（签字）：</w:t>
      </w:r>
    </w:p>
    <w:p w14:paraId="29768FD7">
      <w:pPr>
        <w:spacing w:line="400" w:lineRule="exact"/>
        <w:rPr>
          <w:rStyle w:val="95"/>
          <w:szCs w:val="21"/>
        </w:rPr>
      </w:pPr>
    </w:p>
    <w:p w14:paraId="446B1E62">
      <w:pPr>
        <w:spacing w:line="400" w:lineRule="exact"/>
        <w:rPr>
          <w:rStyle w:val="95"/>
          <w:szCs w:val="21"/>
        </w:rPr>
      </w:pPr>
    </w:p>
    <w:p w14:paraId="3A5170BF">
      <w:pPr>
        <w:spacing w:line="400" w:lineRule="exact"/>
        <w:rPr>
          <w:rStyle w:val="95"/>
          <w:szCs w:val="21"/>
        </w:rPr>
      </w:pPr>
      <w:r>
        <w:rPr>
          <w:rStyle w:val="95"/>
          <w:rFonts w:hint="eastAsia"/>
          <w:szCs w:val="21"/>
        </w:rPr>
        <w:t>注：本表后应附法院或仲裁机构做出的判决、裁决等有关法律文书扫描件，如没有，填写无。</w:t>
      </w:r>
    </w:p>
    <w:p w14:paraId="684C3C55">
      <w:pPr>
        <w:spacing w:line="400" w:lineRule="exact"/>
        <w:rPr>
          <w:rStyle w:val="95"/>
        </w:rPr>
      </w:pPr>
    </w:p>
    <w:p w14:paraId="3E2DABF9">
      <w:pPr>
        <w:pStyle w:val="311"/>
        <w:rPr>
          <w:rStyle w:val="95"/>
          <w:rFonts w:ascii="Times New Roman" w:hAnsi="Times New Roman"/>
        </w:rPr>
      </w:pPr>
    </w:p>
    <w:p w14:paraId="3A4FCC65">
      <w:pPr>
        <w:pStyle w:val="311"/>
        <w:rPr>
          <w:rStyle w:val="95"/>
          <w:rFonts w:ascii="Times New Roman" w:hAnsi="Times New Roman"/>
        </w:rPr>
      </w:pPr>
    </w:p>
    <w:p w14:paraId="051A8283">
      <w:pPr>
        <w:pStyle w:val="311"/>
        <w:rPr>
          <w:rStyle w:val="95"/>
          <w:rFonts w:ascii="Times New Roman" w:hAnsi="Times New Roman"/>
        </w:rPr>
      </w:pPr>
    </w:p>
    <w:p w14:paraId="15ED3005">
      <w:pPr>
        <w:pStyle w:val="311"/>
        <w:rPr>
          <w:rStyle w:val="95"/>
          <w:rFonts w:ascii="Times New Roman" w:hAnsi="Times New Roman"/>
        </w:rPr>
      </w:pPr>
    </w:p>
    <w:p w14:paraId="73E97A3F">
      <w:pPr>
        <w:pStyle w:val="311"/>
        <w:rPr>
          <w:rStyle w:val="95"/>
          <w:rFonts w:ascii="Times New Roman" w:hAnsi="Times New Roman"/>
        </w:rPr>
      </w:pPr>
    </w:p>
    <w:p w14:paraId="532118B2">
      <w:pPr>
        <w:pStyle w:val="311"/>
        <w:ind w:left="0" w:leftChars="0" w:firstLine="0" w:firstLineChars="0"/>
        <w:rPr>
          <w:rStyle w:val="95"/>
          <w:rFonts w:ascii="Times New Roman" w:hAnsi="Times New Roman"/>
        </w:rPr>
      </w:pPr>
    </w:p>
    <w:p w14:paraId="78D78BC4">
      <w:pPr>
        <w:pStyle w:val="311"/>
        <w:rPr>
          <w:rStyle w:val="95"/>
          <w:rFonts w:ascii="Times New Roman" w:hAnsi="Times New Roman"/>
        </w:rPr>
      </w:pPr>
    </w:p>
    <w:p w14:paraId="152909F4">
      <w:pPr>
        <w:ind w:right="-483" w:rightChars="-230"/>
        <w:jc w:val="center"/>
        <w:rPr>
          <w:rStyle w:val="95"/>
          <w:b/>
          <w:kern w:val="0"/>
          <w:sz w:val="28"/>
          <w:szCs w:val="28"/>
        </w:rPr>
      </w:pPr>
      <w:r>
        <w:rPr>
          <w:rStyle w:val="95"/>
          <w:rFonts w:hint="eastAsia"/>
          <w:b/>
          <w:kern w:val="0"/>
          <w:sz w:val="28"/>
          <w:szCs w:val="28"/>
          <w:lang w:eastAsia="zh-CN"/>
        </w:rPr>
        <w:t>八</w:t>
      </w:r>
      <w:r>
        <w:rPr>
          <w:rStyle w:val="95"/>
          <w:rFonts w:hint="eastAsia"/>
          <w:b/>
          <w:kern w:val="0"/>
          <w:sz w:val="28"/>
          <w:szCs w:val="28"/>
        </w:rPr>
        <w:t>、承包人（投标人）项目班子人员配备登记表</w:t>
      </w:r>
    </w:p>
    <w:p w14:paraId="51EB330C">
      <w:pPr>
        <w:ind w:right="-483" w:rightChars="-230"/>
        <w:jc w:val="right"/>
        <w:rPr>
          <w:rStyle w:val="95"/>
        </w:rPr>
      </w:pPr>
      <w:r>
        <w:rPr>
          <w:rStyle w:val="95"/>
          <w:rFonts w:hint="eastAsia"/>
          <w:sz w:val="24"/>
        </w:rPr>
        <w:t>年</w:t>
      </w:r>
      <w:r>
        <w:rPr>
          <w:rStyle w:val="95"/>
          <w:sz w:val="24"/>
        </w:rPr>
        <w:t xml:space="preserve">   </w:t>
      </w:r>
      <w:r>
        <w:rPr>
          <w:rStyle w:val="95"/>
          <w:rFonts w:hint="eastAsia"/>
          <w:sz w:val="24"/>
        </w:rPr>
        <w:t>月</w:t>
      </w:r>
      <w:r>
        <w:rPr>
          <w:rStyle w:val="95"/>
          <w:sz w:val="24"/>
        </w:rPr>
        <w:t xml:space="preserve">   </w:t>
      </w:r>
      <w:r>
        <w:rPr>
          <w:rStyle w:val="95"/>
          <w:rFonts w:hint="eastAsia"/>
          <w:sz w:val="24"/>
        </w:rPr>
        <w:t>日</w:t>
      </w:r>
    </w:p>
    <w:tbl>
      <w:tblPr>
        <w:tblStyle w:val="45"/>
        <w:tblW w:w="1034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93"/>
        <w:gridCol w:w="1095"/>
        <w:gridCol w:w="582"/>
        <w:gridCol w:w="567"/>
        <w:gridCol w:w="567"/>
        <w:gridCol w:w="567"/>
        <w:gridCol w:w="567"/>
        <w:gridCol w:w="645"/>
        <w:gridCol w:w="600"/>
        <w:gridCol w:w="525"/>
        <w:gridCol w:w="570"/>
        <w:gridCol w:w="267"/>
        <w:gridCol w:w="303"/>
        <w:gridCol w:w="705"/>
        <w:gridCol w:w="585"/>
        <w:gridCol w:w="533"/>
        <w:gridCol w:w="978"/>
      </w:tblGrid>
      <w:tr w14:paraId="7D995A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0" w:hRule="exact"/>
          <w:jc w:val="center"/>
        </w:trPr>
        <w:tc>
          <w:tcPr>
            <w:tcW w:w="1788" w:type="dxa"/>
            <w:gridSpan w:val="2"/>
            <w:vAlign w:val="center"/>
          </w:tcPr>
          <w:p w14:paraId="505E2BB7">
            <w:pPr>
              <w:jc w:val="center"/>
              <w:rPr>
                <w:rStyle w:val="95"/>
                <w:sz w:val="24"/>
              </w:rPr>
            </w:pPr>
            <w:r>
              <w:rPr>
                <w:rStyle w:val="95"/>
                <w:rFonts w:hint="eastAsia"/>
                <w:sz w:val="24"/>
              </w:rPr>
              <w:t>承包人</w:t>
            </w:r>
          </w:p>
          <w:p w14:paraId="21A9DACC">
            <w:pPr>
              <w:jc w:val="center"/>
              <w:rPr>
                <w:rStyle w:val="95"/>
                <w:sz w:val="24"/>
              </w:rPr>
            </w:pPr>
            <w:r>
              <w:rPr>
                <w:rStyle w:val="95"/>
                <w:rFonts w:hint="eastAsia"/>
                <w:sz w:val="24"/>
              </w:rPr>
              <w:t>（投标人）</w:t>
            </w:r>
          </w:p>
        </w:tc>
        <w:tc>
          <w:tcPr>
            <w:tcW w:w="4095" w:type="dxa"/>
            <w:gridSpan w:val="7"/>
            <w:vAlign w:val="center"/>
          </w:tcPr>
          <w:p w14:paraId="1E0854B4">
            <w:pPr>
              <w:spacing w:line="400" w:lineRule="exact"/>
              <w:jc w:val="left"/>
              <w:rPr>
                <w:rStyle w:val="95"/>
                <w:sz w:val="24"/>
              </w:rPr>
            </w:pPr>
            <w:r>
              <w:rPr>
                <w:rStyle w:val="95"/>
                <w:rFonts w:hint="eastAsia"/>
                <w:sz w:val="24"/>
              </w:rPr>
              <w:t>（公章）</w:t>
            </w:r>
          </w:p>
        </w:tc>
        <w:tc>
          <w:tcPr>
            <w:tcW w:w="1362" w:type="dxa"/>
            <w:gridSpan w:val="3"/>
            <w:vAlign w:val="center"/>
          </w:tcPr>
          <w:p w14:paraId="75FC142A">
            <w:pPr>
              <w:spacing w:line="400" w:lineRule="exact"/>
              <w:jc w:val="center"/>
              <w:rPr>
                <w:rStyle w:val="95"/>
                <w:sz w:val="24"/>
              </w:rPr>
            </w:pPr>
            <w:r>
              <w:rPr>
                <w:rStyle w:val="95"/>
                <w:rFonts w:hint="eastAsia"/>
                <w:sz w:val="24"/>
              </w:rPr>
              <w:t>资质等级</w:t>
            </w:r>
          </w:p>
        </w:tc>
        <w:tc>
          <w:tcPr>
            <w:tcW w:w="3104" w:type="dxa"/>
            <w:gridSpan w:val="5"/>
          </w:tcPr>
          <w:p w14:paraId="2DAF2C9F">
            <w:pPr>
              <w:rPr>
                <w:rStyle w:val="95"/>
                <w:sz w:val="24"/>
              </w:rPr>
            </w:pPr>
          </w:p>
        </w:tc>
      </w:tr>
      <w:tr w14:paraId="53374C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2" w:hRule="exact"/>
          <w:jc w:val="center"/>
        </w:trPr>
        <w:tc>
          <w:tcPr>
            <w:tcW w:w="1788" w:type="dxa"/>
            <w:gridSpan w:val="2"/>
            <w:vAlign w:val="center"/>
          </w:tcPr>
          <w:p w14:paraId="6411CEDE">
            <w:pPr>
              <w:spacing w:line="400" w:lineRule="exact"/>
              <w:jc w:val="center"/>
              <w:rPr>
                <w:rStyle w:val="95"/>
                <w:sz w:val="24"/>
              </w:rPr>
            </w:pPr>
            <w:r>
              <w:rPr>
                <w:rStyle w:val="95"/>
                <w:rFonts w:hint="eastAsia"/>
                <w:sz w:val="24"/>
              </w:rPr>
              <w:t>详细地址</w:t>
            </w:r>
          </w:p>
        </w:tc>
        <w:tc>
          <w:tcPr>
            <w:tcW w:w="4095" w:type="dxa"/>
            <w:gridSpan w:val="7"/>
            <w:vAlign w:val="center"/>
          </w:tcPr>
          <w:p w14:paraId="570F380F">
            <w:pPr>
              <w:spacing w:line="400" w:lineRule="exact"/>
              <w:jc w:val="center"/>
              <w:rPr>
                <w:rStyle w:val="95"/>
                <w:sz w:val="24"/>
              </w:rPr>
            </w:pPr>
          </w:p>
        </w:tc>
        <w:tc>
          <w:tcPr>
            <w:tcW w:w="1362" w:type="dxa"/>
            <w:gridSpan w:val="3"/>
            <w:vAlign w:val="center"/>
          </w:tcPr>
          <w:p w14:paraId="3136EC48">
            <w:pPr>
              <w:spacing w:line="400" w:lineRule="exact"/>
              <w:jc w:val="center"/>
              <w:rPr>
                <w:rStyle w:val="95"/>
                <w:sz w:val="24"/>
              </w:rPr>
            </w:pPr>
            <w:r>
              <w:rPr>
                <w:rStyle w:val="95"/>
                <w:rFonts w:hint="eastAsia"/>
                <w:sz w:val="24"/>
              </w:rPr>
              <w:t>电</w:t>
            </w:r>
            <w:r>
              <w:rPr>
                <w:rStyle w:val="95"/>
                <w:sz w:val="24"/>
              </w:rPr>
              <w:t xml:space="preserve">    </w:t>
            </w:r>
            <w:r>
              <w:rPr>
                <w:rStyle w:val="95"/>
                <w:rFonts w:hint="eastAsia"/>
                <w:sz w:val="24"/>
              </w:rPr>
              <w:t>话</w:t>
            </w:r>
          </w:p>
        </w:tc>
        <w:tc>
          <w:tcPr>
            <w:tcW w:w="3104" w:type="dxa"/>
            <w:gridSpan w:val="5"/>
          </w:tcPr>
          <w:p w14:paraId="2CFA1F27">
            <w:pPr>
              <w:rPr>
                <w:rStyle w:val="95"/>
                <w:sz w:val="24"/>
              </w:rPr>
            </w:pPr>
          </w:p>
        </w:tc>
      </w:tr>
      <w:tr w14:paraId="7F8C87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2" w:hRule="exact"/>
          <w:jc w:val="center"/>
        </w:trPr>
        <w:tc>
          <w:tcPr>
            <w:tcW w:w="1788" w:type="dxa"/>
            <w:gridSpan w:val="2"/>
            <w:vAlign w:val="center"/>
          </w:tcPr>
          <w:p w14:paraId="624B3CEF">
            <w:pPr>
              <w:spacing w:line="400" w:lineRule="exact"/>
              <w:jc w:val="center"/>
              <w:rPr>
                <w:rStyle w:val="95"/>
                <w:sz w:val="24"/>
              </w:rPr>
            </w:pPr>
            <w:r>
              <w:rPr>
                <w:rStyle w:val="95"/>
                <w:rFonts w:hint="eastAsia"/>
                <w:sz w:val="24"/>
              </w:rPr>
              <w:t>驻同地址</w:t>
            </w:r>
          </w:p>
        </w:tc>
        <w:tc>
          <w:tcPr>
            <w:tcW w:w="4095" w:type="dxa"/>
            <w:gridSpan w:val="7"/>
            <w:vAlign w:val="center"/>
          </w:tcPr>
          <w:p w14:paraId="4DED74F3">
            <w:pPr>
              <w:spacing w:line="400" w:lineRule="exact"/>
              <w:jc w:val="center"/>
              <w:rPr>
                <w:rStyle w:val="95"/>
                <w:sz w:val="24"/>
              </w:rPr>
            </w:pPr>
          </w:p>
        </w:tc>
        <w:tc>
          <w:tcPr>
            <w:tcW w:w="1362" w:type="dxa"/>
            <w:gridSpan w:val="3"/>
            <w:vAlign w:val="center"/>
          </w:tcPr>
          <w:p w14:paraId="55CABC1D">
            <w:pPr>
              <w:spacing w:line="400" w:lineRule="exact"/>
              <w:jc w:val="center"/>
              <w:rPr>
                <w:rStyle w:val="95"/>
                <w:sz w:val="24"/>
              </w:rPr>
            </w:pPr>
            <w:r>
              <w:rPr>
                <w:rStyle w:val="95"/>
                <w:rFonts w:hint="eastAsia"/>
                <w:sz w:val="24"/>
              </w:rPr>
              <w:t>电</w:t>
            </w:r>
            <w:r>
              <w:rPr>
                <w:rStyle w:val="95"/>
                <w:sz w:val="24"/>
              </w:rPr>
              <w:t xml:space="preserve">    </w:t>
            </w:r>
            <w:r>
              <w:rPr>
                <w:rStyle w:val="95"/>
                <w:rFonts w:hint="eastAsia"/>
                <w:sz w:val="24"/>
              </w:rPr>
              <w:t>话</w:t>
            </w:r>
          </w:p>
        </w:tc>
        <w:tc>
          <w:tcPr>
            <w:tcW w:w="3104" w:type="dxa"/>
            <w:gridSpan w:val="5"/>
          </w:tcPr>
          <w:p w14:paraId="3ADE07D9">
            <w:pPr>
              <w:rPr>
                <w:rStyle w:val="95"/>
                <w:sz w:val="24"/>
              </w:rPr>
            </w:pPr>
          </w:p>
        </w:tc>
      </w:tr>
      <w:tr w14:paraId="646658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2" w:hRule="exact"/>
          <w:jc w:val="center"/>
        </w:trPr>
        <w:tc>
          <w:tcPr>
            <w:tcW w:w="1788" w:type="dxa"/>
            <w:gridSpan w:val="2"/>
            <w:vAlign w:val="center"/>
          </w:tcPr>
          <w:p w14:paraId="2E8C4C93">
            <w:pPr>
              <w:spacing w:line="400" w:lineRule="exact"/>
              <w:jc w:val="center"/>
              <w:rPr>
                <w:rStyle w:val="95"/>
                <w:sz w:val="24"/>
              </w:rPr>
            </w:pPr>
            <w:r>
              <w:rPr>
                <w:rStyle w:val="95"/>
                <w:rFonts w:hint="eastAsia"/>
                <w:sz w:val="24"/>
              </w:rPr>
              <w:t>法定代表人</w:t>
            </w:r>
          </w:p>
        </w:tc>
        <w:tc>
          <w:tcPr>
            <w:tcW w:w="4095" w:type="dxa"/>
            <w:gridSpan w:val="7"/>
            <w:vAlign w:val="center"/>
          </w:tcPr>
          <w:p w14:paraId="0DE9F890">
            <w:pPr>
              <w:spacing w:line="400" w:lineRule="exact"/>
              <w:jc w:val="center"/>
              <w:rPr>
                <w:rStyle w:val="95"/>
                <w:sz w:val="24"/>
              </w:rPr>
            </w:pPr>
          </w:p>
        </w:tc>
        <w:tc>
          <w:tcPr>
            <w:tcW w:w="1362" w:type="dxa"/>
            <w:gridSpan w:val="3"/>
            <w:vAlign w:val="center"/>
          </w:tcPr>
          <w:p w14:paraId="61862B75">
            <w:pPr>
              <w:spacing w:line="400" w:lineRule="exact"/>
              <w:jc w:val="center"/>
              <w:rPr>
                <w:rStyle w:val="95"/>
                <w:sz w:val="24"/>
              </w:rPr>
            </w:pPr>
            <w:r>
              <w:rPr>
                <w:rStyle w:val="95"/>
                <w:rFonts w:hint="eastAsia"/>
                <w:sz w:val="24"/>
              </w:rPr>
              <w:t>电</w:t>
            </w:r>
            <w:r>
              <w:rPr>
                <w:rStyle w:val="95"/>
                <w:sz w:val="24"/>
              </w:rPr>
              <w:t xml:space="preserve">    </w:t>
            </w:r>
            <w:r>
              <w:rPr>
                <w:rStyle w:val="95"/>
                <w:rFonts w:hint="eastAsia"/>
                <w:sz w:val="24"/>
              </w:rPr>
              <w:t>话</w:t>
            </w:r>
          </w:p>
        </w:tc>
        <w:tc>
          <w:tcPr>
            <w:tcW w:w="3104" w:type="dxa"/>
            <w:gridSpan w:val="5"/>
          </w:tcPr>
          <w:p w14:paraId="0258A5A0">
            <w:pPr>
              <w:rPr>
                <w:rStyle w:val="95"/>
                <w:sz w:val="24"/>
              </w:rPr>
            </w:pPr>
          </w:p>
        </w:tc>
      </w:tr>
      <w:tr w14:paraId="779F5A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exact"/>
          <w:jc w:val="center"/>
        </w:trPr>
        <w:tc>
          <w:tcPr>
            <w:tcW w:w="1788" w:type="dxa"/>
            <w:gridSpan w:val="2"/>
            <w:vAlign w:val="center"/>
          </w:tcPr>
          <w:p w14:paraId="0C9DD81F">
            <w:pPr>
              <w:spacing w:line="300" w:lineRule="exact"/>
              <w:jc w:val="center"/>
              <w:rPr>
                <w:rStyle w:val="95"/>
                <w:sz w:val="24"/>
              </w:rPr>
            </w:pPr>
            <w:r>
              <w:rPr>
                <w:rStyle w:val="95"/>
                <w:rFonts w:hint="eastAsia"/>
                <w:sz w:val="24"/>
              </w:rPr>
              <w:t>项目经理</w:t>
            </w:r>
          </w:p>
        </w:tc>
        <w:tc>
          <w:tcPr>
            <w:tcW w:w="4095" w:type="dxa"/>
            <w:gridSpan w:val="7"/>
            <w:vAlign w:val="center"/>
          </w:tcPr>
          <w:p w14:paraId="1301DCDA">
            <w:pPr>
              <w:spacing w:line="300" w:lineRule="exact"/>
              <w:jc w:val="center"/>
              <w:rPr>
                <w:rStyle w:val="95"/>
                <w:sz w:val="24"/>
              </w:rPr>
            </w:pPr>
          </w:p>
        </w:tc>
        <w:tc>
          <w:tcPr>
            <w:tcW w:w="1362" w:type="dxa"/>
            <w:gridSpan w:val="3"/>
            <w:vAlign w:val="center"/>
          </w:tcPr>
          <w:p w14:paraId="5C8ACBCA">
            <w:pPr>
              <w:spacing w:line="300" w:lineRule="exact"/>
              <w:jc w:val="center"/>
              <w:rPr>
                <w:rStyle w:val="95"/>
                <w:sz w:val="24"/>
              </w:rPr>
            </w:pPr>
            <w:r>
              <w:rPr>
                <w:rStyle w:val="95"/>
                <w:rFonts w:hint="eastAsia"/>
                <w:sz w:val="24"/>
              </w:rPr>
              <w:t>手</w:t>
            </w:r>
            <w:r>
              <w:rPr>
                <w:rStyle w:val="95"/>
                <w:sz w:val="24"/>
              </w:rPr>
              <w:t xml:space="preserve">    </w:t>
            </w:r>
            <w:r>
              <w:rPr>
                <w:rStyle w:val="95"/>
                <w:rFonts w:hint="eastAsia"/>
                <w:sz w:val="24"/>
              </w:rPr>
              <w:t>机</w:t>
            </w:r>
          </w:p>
        </w:tc>
        <w:tc>
          <w:tcPr>
            <w:tcW w:w="3104" w:type="dxa"/>
            <w:gridSpan w:val="5"/>
            <w:vAlign w:val="center"/>
          </w:tcPr>
          <w:p w14:paraId="16F55BBE">
            <w:pPr>
              <w:spacing w:line="300" w:lineRule="exact"/>
              <w:rPr>
                <w:rStyle w:val="95"/>
                <w:sz w:val="24"/>
              </w:rPr>
            </w:pPr>
          </w:p>
        </w:tc>
      </w:tr>
      <w:tr w14:paraId="7DEDD0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8" w:hRule="exact"/>
          <w:jc w:val="center"/>
        </w:trPr>
        <w:tc>
          <w:tcPr>
            <w:tcW w:w="1788" w:type="dxa"/>
            <w:gridSpan w:val="2"/>
            <w:vAlign w:val="center"/>
          </w:tcPr>
          <w:p w14:paraId="7300DDEB">
            <w:pPr>
              <w:spacing w:line="300" w:lineRule="exact"/>
              <w:jc w:val="center"/>
              <w:rPr>
                <w:rStyle w:val="95"/>
                <w:sz w:val="24"/>
              </w:rPr>
            </w:pPr>
            <w:r>
              <w:rPr>
                <w:rStyle w:val="95"/>
                <w:rFonts w:hint="eastAsia"/>
                <w:sz w:val="24"/>
              </w:rPr>
              <w:t>工程地址</w:t>
            </w:r>
          </w:p>
        </w:tc>
        <w:tc>
          <w:tcPr>
            <w:tcW w:w="8561" w:type="dxa"/>
            <w:gridSpan w:val="15"/>
            <w:vAlign w:val="center"/>
          </w:tcPr>
          <w:p w14:paraId="7CEF4470">
            <w:pPr>
              <w:jc w:val="center"/>
              <w:rPr>
                <w:rStyle w:val="95"/>
                <w:sz w:val="24"/>
              </w:rPr>
            </w:pPr>
          </w:p>
        </w:tc>
      </w:tr>
      <w:tr w14:paraId="539BAA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exact"/>
          <w:jc w:val="center"/>
        </w:trPr>
        <w:tc>
          <w:tcPr>
            <w:tcW w:w="1788" w:type="dxa"/>
            <w:gridSpan w:val="2"/>
            <w:vAlign w:val="center"/>
          </w:tcPr>
          <w:p w14:paraId="2D60EC7E">
            <w:pPr>
              <w:spacing w:line="300" w:lineRule="exact"/>
              <w:jc w:val="center"/>
              <w:rPr>
                <w:rStyle w:val="95"/>
                <w:sz w:val="24"/>
              </w:rPr>
            </w:pPr>
            <w:r>
              <w:rPr>
                <w:rStyle w:val="95"/>
                <w:rFonts w:hint="eastAsia"/>
                <w:sz w:val="24"/>
              </w:rPr>
              <w:t>投资总额</w:t>
            </w:r>
          </w:p>
          <w:p w14:paraId="1DD12EAB">
            <w:pPr>
              <w:spacing w:line="300" w:lineRule="exact"/>
              <w:jc w:val="center"/>
              <w:rPr>
                <w:rStyle w:val="95"/>
                <w:sz w:val="24"/>
              </w:rPr>
            </w:pPr>
            <w:r>
              <w:rPr>
                <w:rStyle w:val="95"/>
                <w:rFonts w:hint="eastAsia"/>
                <w:sz w:val="24"/>
              </w:rPr>
              <w:t>（万</w:t>
            </w:r>
            <w:r>
              <w:rPr>
                <w:rStyle w:val="95"/>
                <w:sz w:val="24"/>
              </w:rPr>
              <w:t xml:space="preserve">  </w:t>
            </w:r>
            <w:r>
              <w:rPr>
                <w:rStyle w:val="95"/>
                <w:rFonts w:hint="eastAsia"/>
                <w:sz w:val="24"/>
              </w:rPr>
              <w:t>元）</w:t>
            </w:r>
          </w:p>
        </w:tc>
        <w:tc>
          <w:tcPr>
            <w:tcW w:w="4095" w:type="dxa"/>
            <w:gridSpan w:val="7"/>
            <w:vAlign w:val="center"/>
          </w:tcPr>
          <w:p w14:paraId="6688B391">
            <w:pPr>
              <w:spacing w:line="300" w:lineRule="exact"/>
              <w:jc w:val="center"/>
              <w:rPr>
                <w:rStyle w:val="95"/>
                <w:sz w:val="24"/>
              </w:rPr>
            </w:pPr>
          </w:p>
        </w:tc>
        <w:tc>
          <w:tcPr>
            <w:tcW w:w="1362" w:type="dxa"/>
            <w:gridSpan w:val="3"/>
            <w:vAlign w:val="center"/>
          </w:tcPr>
          <w:p w14:paraId="0B1A4010">
            <w:pPr>
              <w:spacing w:line="300" w:lineRule="exact"/>
              <w:jc w:val="center"/>
              <w:rPr>
                <w:rStyle w:val="95"/>
                <w:sz w:val="24"/>
              </w:rPr>
            </w:pPr>
            <w:r>
              <w:rPr>
                <w:rFonts w:hint="eastAsia"/>
                <w:sz w:val="24"/>
              </w:rPr>
              <w:t>结构</w:t>
            </w:r>
            <w:r>
              <w:rPr>
                <w:sz w:val="24"/>
              </w:rPr>
              <w:t>/</w:t>
            </w:r>
            <w:r>
              <w:rPr>
                <w:rFonts w:hint="eastAsia"/>
                <w:sz w:val="24"/>
              </w:rPr>
              <w:t>层数</w:t>
            </w:r>
          </w:p>
        </w:tc>
        <w:tc>
          <w:tcPr>
            <w:tcW w:w="3104" w:type="dxa"/>
            <w:gridSpan w:val="5"/>
          </w:tcPr>
          <w:p w14:paraId="623A1695">
            <w:pPr>
              <w:spacing w:line="300" w:lineRule="exact"/>
              <w:rPr>
                <w:rStyle w:val="95"/>
                <w:sz w:val="24"/>
              </w:rPr>
            </w:pPr>
          </w:p>
        </w:tc>
      </w:tr>
      <w:tr w14:paraId="27B0A7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exact"/>
          <w:jc w:val="center"/>
        </w:trPr>
        <w:tc>
          <w:tcPr>
            <w:tcW w:w="1788" w:type="dxa"/>
            <w:gridSpan w:val="2"/>
            <w:vAlign w:val="center"/>
          </w:tcPr>
          <w:p w14:paraId="081BF3DD">
            <w:pPr>
              <w:spacing w:line="300" w:lineRule="exact"/>
              <w:jc w:val="center"/>
              <w:rPr>
                <w:rStyle w:val="95"/>
                <w:sz w:val="24"/>
              </w:rPr>
            </w:pPr>
            <w:r>
              <w:rPr>
                <w:rFonts w:hint="eastAsia"/>
                <w:sz w:val="24"/>
              </w:rPr>
              <w:t>开竣工日期</w:t>
            </w:r>
          </w:p>
        </w:tc>
        <w:tc>
          <w:tcPr>
            <w:tcW w:w="4095" w:type="dxa"/>
            <w:gridSpan w:val="7"/>
            <w:vAlign w:val="center"/>
          </w:tcPr>
          <w:p w14:paraId="56332039">
            <w:pPr>
              <w:spacing w:line="300" w:lineRule="exact"/>
              <w:jc w:val="center"/>
              <w:rPr>
                <w:rStyle w:val="95"/>
                <w:sz w:val="24"/>
              </w:rPr>
            </w:pPr>
          </w:p>
        </w:tc>
        <w:tc>
          <w:tcPr>
            <w:tcW w:w="1362" w:type="dxa"/>
            <w:gridSpan w:val="3"/>
            <w:vAlign w:val="center"/>
          </w:tcPr>
          <w:p w14:paraId="78D29144">
            <w:pPr>
              <w:spacing w:line="300" w:lineRule="exact"/>
              <w:jc w:val="center"/>
              <w:rPr>
                <w:rFonts w:ascii="宋体"/>
                <w:sz w:val="18"/>
                <w:szCs w:val="18"/>
              </w:rPr>
            </w:pPr>
            <w:r>
              <w:rPr>
                <w:rFonts w:hint="eastAsia" w:ascii="宋体" w:hAnsi="宋体"/>
                <w:sz w:val="18"/>
                <w:szCs w:val="18"/>
              </w:rPr>
              <w:t>签约合同价</w:t>
            </w:r>
          </w:p>
          <w:p w14:paraId="78F17612">
            <w:pPr>
              <w:spacing w:line="300" w:lineRule="exact"/>
              <w:jc w:val="center"/>
              <w:rPr>
                <w:rStyle w:val="95"/>
                <w:sz w:val="24"/>
              </w:rPr>
            </w:pPr>
            <w:r>
              <w:rPr>
                <w:rFonts w:hint="eastAsia" w:ascii="宋体" w:hAnsi="宋体"/>
                <w:sz w:val="18"/>
                <w:szCs w:val="18"/>
              </w:rPr>
              <w:t>（投标价）（万元）</w:t>
            </w:r>
          </w:p>
        </w:tc>
        <w:tc>
          <w:tcPr>
            <w:tcW w:w="3104" w:type="dxa"/>
            <w:gridSpan w:val="5"/>
          </w:tcPr>
          <w:p w14:paraId="40E9ED25">
            <w:pPr>
              <w:spacing w:line="300" w:lineRule="exact"/>
              <w:rPr>
                <w:rStyle w:val="95"/>
                <w:sz w:val="24"/>
              </w:rPr>
            </w:pPr>
          </w:p>
        </w:tc>
      </w:tr>
      <w:tr w14:paraId="25BCE9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5" w:hRule="atLeast"/>
          <w:jc w:val="center"/>
        </w:trPr>
        <w:tc>
          <w:tcPr>
            <w:tcW w:w="10349" w:type="dxa"/>
            <w:gridSpan w:val="17"/>
            <w:vAlign w:val="center"/>
          </w:tcPr>
          <w:p w14:paraId="65E258D8">
            <w:pPr>
              <w:jc w:val="center"/>
              <w:rPr>
                <w:rStyle w:val="95"/>
                <w:sz w:val="24"/>
              </w:rPr>
            </w:pPr>
            <w:r>
              <w:rPr>
                <w:rStyle w:val="95"/>
                <w:rFonts w:hint="eastAsia"/>
                <w:sz w:val="24"/>
              </w:rPr>
              <w:t>项目班子人员配备</w:t>
            </w:r>
          </w:p>
        </w:tc>
      </w:tr>
      <w:tr w14:paraId="388461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21" w:hRule="atLeast"/>
          <w:jc w:val="center"/>
        </w:trPr>
        <w:tc>
          <w:tcPr>
            <w:tcW w:w="1788" w:type="dxa"/>
            <w:gridSpan w:val="2"/>
            <w:tcBorders>
              <w:tl2br w:val="single" w:color="000000" w:sz="4" w:space="0"/>
            </w:tcBorders>
            <w:vAlign w:val="center"/>
          </w:tcPr>
          <w:p w14:paraId="0D7E2298">
            <w:pPr>
              <w:rPr>
                <w:rStyle w:val="95"/>
                <w:sz w:val="24"/>
              </w:rPr>
            </w:pPr>
            <w:r>
              <w:rPr>
                <w:rStyle w:val="95"/>
                <w:sz w:val="24"/>
              </w:rPr>
              <w:t xml:space="preserve">        </w:t>
            </w:r>
            <w:r>
              <w:rPr>
                <w:rStyle w:val="95"/>
                <w:rFonts w:hint="eastAsia"/>
                <w:sz w:val="24"/>
              </w:rPr>
              <w:t>岗</w:t>
            </w:r>
            <w:r>
              <w:rPr>
                <w:rStyle w:val="95"/>
                <w:sz w:val="24"/>
              </w:rPr>
              <w:t xml:space="preserve">  </w:t>
            </w:r>
            <w:r>
              <w:rPr>
                <w:rStyle w:val="95"/>
                <w:rFonts w:hint="eastAsia"/>
                <w:sz w:val="24"/>
              </w:rPr>
              <w:t>位</w:t>
            </w:r>
          </w:p>
          <w:p w14:paraId="77BF4D2F">
            <w:pPr>
              <w:rPr>
                <w:rStyle w:val="95"/>
                <w:sz w:val="24"/>
              </w:rPr>
            </w:pPr>
          </w:p>
          <w:p w14:paraId="67F83525">
            <w:pPr>
              <w:rPr>
                <w:rStyle w:val="95"/>
                <w:sz w:val="24"/>
              </w:rPr>
            </w:pPr>
            <w:r>
              <w:rPr>
                <w:rStyle w:val="95"/>
                <w:rFonts w:hint="eastAsia"/>
                <w:sz w:val="24"/>
              </w:rPr>
              <w:t>人</w:t>
            </w:r>
            <w:r>
              <w:rPr>
                <w:rStyle w:val="95"/>
                <w:sz w:val="24"/>
              </w:rPr>
              <w:t xml:space="preserve">  </w:t>
            </w:r>
            <w:r>
              <w:rPr>
                <w:rStyle w:val="95"/>
                <w:rFonts w:hint="eastAsia"/>
                <w:sz w:val="24"/>
              </w:rPr>
              <w:t>员</w:t>
            </w:r>
            <w:r>
              <w:rPr>
                <w:rStyle w:val="95"/>
                <w:sz w:val="24"/>
              </w:rPr>
              <w:t xml:space="preserve">                                                              </w:t>
            </w:r>
          </w:p>
        </w:tc>
        <w:tc>
          <w:tcPr>
            <w:tcW w:w="582" w:type="dxa"/>
            <w:tcBorders>
              <w:right w:val="single" w:color="auto" w:sz="4" w:space="0"/>
            </w:tcBorders>
            <w:vAlign w:val="center"/>
          </w:tcPr>
          <w:p w14:paraId="35E8BAA8">
            <w:pPr>
              <w:jc w:val="center"/>
              <w:rPr>
                <w:rStyle w:val="95"/>
                <w:szCs w:val="21"/>
              </w:rPr>
            </w:pPr>
            <w:r>
              <w:rPr>
                <w:rStyle w:val="95"/>
                <w:rFonts w:hint="eastAsia"/>
                <w:szCs w:val="21"/>
              </w:rPr>
              <w:t>项</w:t>
            </w:r>
          </w:p>
          <w:p w14:paraId="5D7AFDCB">
            <w:pPr>
              <w:jc w:val="center"/>
              <w:rPr>
                <w:rStyle w:val="95"/>
                <w:szCs w:val="21"/>
              </w:rPr>
            </w:pPr>
            <w:r>
              <w:rPr>
                <w:rStyle w:val="95"/>
                <w:rFonts w:hint="eastAsia"/>
                <w:szCs w:val="21"/>
              </w:rPr>
              <w:t>目</w:t>
            </w:r>
          </w:p>
          <w:p w14:paraId="4421958D">
            <w:pPr>
              <w:jc w:val="center"/>
              <w:rPr>
                <w:rStyle w:val="95"/>
                <w:szCs w:val="21"/>
              </w:rPr>
            </w:pPr>
            <w:r>
              <w:rPr>
                <w:rStyle w:val="95"/>
                <w:rFonts w:hint="eastAsia"/>
                <w:szCs w:val="21"/>
              </w:rPr>
              <w:t>经</w:t>
            </w:r>
          </w:p>
          <w:p w14:paraId="0E512B15">
            <w:pPr>
              <w:jc w:val="center"/>
              <w:rPr>
                <w:rStyle w:val="95"/>
                <w:szCs w:val="21"/>
              </w:rPr>
            </w:pPr>
            <w:r>
              <w:rPr>
                <w:rStyle w:val="95"/>
                <w:rFonts w:hint="eastAsia"/>
                <w:szCs w:val="21"/>
              </w:rPr>
              <w:t>理</w:t>
            </w:r>
          </w:p>
        </w:tc>
        <w:tc>
          <w:tcPr>
            <w:tcW w:w="567" w:type="dxa"/>
            <w:tcBorders>
              <w:left w:val="single" w:color="auto" w:sz="4" w:space="0"/>
            </w:tcBorders>
            <w:vAlign w:val="center"/>
          </w:tcPr>
          <w:p w14:paraId="0387448A">
            <w:pPr>
              <w:jc w:val="center"/>
              <w:rPr>
                <w:rStyle w:val="95"/>
                <w:szCs w:val="21"/>
              </w:rPr>
            </w:pPr>
            <w:r>
              <w:rPr>
                <w:rStyle w:val="95"/>
                <w:rFonts w:hint="eastAsia"/>
                <w:szCs w:val="21"/>
              </w:rPr>
              <w:t>设</w:t>
            </w:r>
          </w:p>
          <w:p w14:paraId="028FBEA2">
            <w:pPr>
              <w:jc w:val="center"/>
              <w:rPr>
                <w:rStyle w:val="95"/>
                <w:szCs w:val="21"/>
              </w:rPr>
            </w:pPr>
            <w:r>
              <w:rPr>
                <w:rStyle w:val="95"/>
                <w:rFonts w:hint="eastAsia"/>
                <w:szCs w:val="21"/>
              </w:rPr>
              <w:t>计</w:t>
            </w:r>
          </w:p>
          <w:p w14:paraId="4F4633E4">
            <w:pPr>
              <w:jc w:val="center"/>
              <w:rPr>
                <w:rStyle w:val="95"/>
                <w:szCs w:val="21"/>
              </w:rPr>
            </w:pPr>
            <w:r>
              <w:rPr>
                <w:rStyle w:val="95"/>
                <w:rFonts w:hint="eastAsia"/>
                <w:szCs w:val="21"/>
              </w:rPr>
              <w:t>负</w:t>
            </w:r>
          </w:p>
          <w:p w14:paraId="312FBC10">
            <w:pPr>
              <w:jc w:val="center"/>
              <w:rPr>
                <w:rStyle w:val="95"/>
                <w:szCs w:val="21"/>
              </w:rPr>
            </w:pPr>
            <w:r>
              <w:rPr>
                <w:rStyle w:val="95"/>
                <w:rFonts w:hint="eastAsia"/>
                <w:szCs w:val="21"/>
              </w:rPr>
              <w:t>责</w:t>
            </w:r>
          </w:p>
          <w:p w14:paraId="188AFF43">
            <w:pPr>
              <w:jc w:val="center"/>
              <w:rPr>
                <w:rStyle w:val="95"/>
                <w:szCs w:val="21"/>
              </w:rPr>
            </w:pPr>
            <w:r>
              <w:rPr>
                <w:rStyle w:val="95"/>
                <w:rFonts w:hint="eastAsia"/>
                <w:szCs w:val="21"/>
              </w:rPr>
              <w:t>人</w:t>
            </w:r>
          </w:p>
        </w:tc>
        <w:tc>
          <w:tcPr>
            <w:tcW w:w="567" w:type="dxa"/>
            <w:vAlign w:val="center"/>
          </w:tcPr>
          <w:p w14:paraId="2AFB724E">
            <w:pPr>
              <w:jc w:val="center"/>
              <w:rPr>
                <w:rStyle w:val="95"/>
                <w:rFonts w:hint="eastAsia"/>
                <w:szCs w:val="21"/>
                <w:lang w:eastAsia="zh-CN"/>
              </w:rPr>
            </w:pPr>
            <w:r>
              <w:rPr>
                <w:rStyle w:val="95"/>
                <w:rFonts w:hint="eastAsia"/>
                <w:szCs w:val="21"/>
                <w:lang w:eastAsia="zh-CN"/>
              </w:rPr>
              <w:t>技</w:t>
            </w:r>
          </w:p>
          <w:p w14:paraId="2A0A58F7">
            <w:pPr>
              <w:jc w:val="center"/>
              <w:rPr>
                <w:rStyle w:val="95"/>
                <w:rFonts w:hint="eastAsia"/>
                <w:szCs w:val="21"/>
                <w:lang w:eastAsia="zh-CN"/>
              </w:rPr>
            </w:pPr>
            <w:r>
              <w:rPr>
                <w:rStyle w:val="95"/>
                <w:rFonts w:hint="eastAsia"/>
                <w:szCs w:val="21"/>
                <w:lang w:eastAsia="zh-CN"/>
              </w:rPr>
              <w:t>术</w:t>
            </w:r>
          </w:p>
          <w:p w14:paraId="0491824B">
            <w:pPr>
              <w:jc w:val="center"/>
              <w:rPr>
                <w:rStyle w:val="95"/>
                <w:rFonts w:hint="eastAsia"/>
                <w:szCs w:val="21"/>
                <w:lang w:eastAsia="zh-CN"/>
              </w:rPr>
            </w:pPr>
            <w:r>
              <w:rPr>
                <w:rStyle w:val="95"/>
                <w:rFonts w:hint="eastAsia"/>
                <w:szCs w:val="21"/>
                <w:lang w:eastAsia="zh-CN"/>
              </w:rPr>
              <w:t>负</w:t>
            </w:r>
          </w:p>
          <w:p w14:paraId="72427459">
            <w:pPr>
              <w:jc w:val="center"/>
              <w:rPr>
                <w:rStyle w:val="95"/>
                <w:rFonts w:hint="eastAsia"/>
                <w:szCs w:val="21"/>
                <w:lang w:eastAsia="zh-CN"/>
              </w:rPr>
            </w:pPr>
            <w:r>
              <w:rPr>
                <w:rStyle w:val="95"/>
                <w:rFonts w:hint="eastAsia"/>
                <w:szCs w:val="21"/>
                <w:lang w:eastAsia="zh-CN"/>
              </w:rPr>
              <w:t>责</w:t>
            </w:r>
          </w:p>
          <w:p w14:paraId="46BCE28C">
            <w:pPr>
              <w:jc w:val="center"/>
              <w:rPr>
                <w:rStyle w:val="95"/>
                <w:rFonts w:hint="eastAsia" w:eastAsia="宋体"/>
                <w:szCs w:val="21"/>
                <w:lang w:eastAsia="zh-CN"/>
              </w:rPr>
            </w:pPr>
            <w:r>
              <w:rPr>
                <w:rStyle w:val="95"/>
                <w:rFonts w:hint="eastAsia"/>
                <w:szCs w:val="21"/>
                <w:lang w:eastAsia="zh-CN"/>
              </w:rPr>
              <w:t>人</w:t>
            </w:r>
          </w:p>
        </w:tc>
        <w:tc>
          <w:tcPr>
            <w:tcW w:w="1134" w:type="dxa"/>
            <w:gridSpan w:val="2"/>
            <w:vAlign w:val="center"/>
          </w:tcPr>
          <w:p w14:paraId="6216037F">
            <w:pPr>
              <w:jc w:val="center"/>
              <w:rPr>
                <w:rStyle w:val="95"/>
                <w:szCs w:val="21"/>
              </w:rPr>
            </w:pPr>
            <w:r>
              <w:rPr>
                <w:rStyle w:val="95"/>
                <w:rFonts w:hint="eastAsia"/>
                <w:szCs w:val="21"/>
              </w:rPr>
              <w:t>施</w:t>
            </w:r>
          </w:p>
          <w:p w14:paraId="781F1A55">
            <w:pPr>
              <w:jc w:val="center"/>
              <w:rPr>
                <w:rStyle w:val="95"/>
                <w:szCs w:val="21"/>
              </w:rPr>
            </w:pPr>
            <w:r>
              <w:rPr>
                <w:rStyle w:val="95"/>
                <w:rFonts w:hint="eastAsia"/>
                <w:szCs w:val="21"/>
              </w:rPr>
              <w:t>工</w:t>
            </w:r>
          </w:p>
          <w:p w14:paraId="563FE12D">
            <w:pPr>
              <w:jc w:val="center"/>
              <w:rPr>
                <w:rStyle w:val="95"/>
                <w:rFonts w:hint="eastAsia"/>
                <w:szCs w:val="21"/>
              </w:rPr>
            </w:pPr>
            <w:r>
              <w:rPr>
                <w:rStyle w:val="95"/>
                <w:rFonts w:hint="eastAsia"/>
                <w:szCs w:val="21"/>
              </w:rPr>
              <w:t>员</w:t>
            </w:r>
          </w:p>
        </w:tc>
        <w:tc>
          <w:tcPr>
            <w:tcW w:w="645" w:type="dxa"/>
            <w:vAlign w:val="center"/>
          </w:tcPr>
          <w:p w14:paraId="25C32FF3">
            <w:pPr>
              <w:jc w:val="center"/>
              <w:rPr>
                <w:rStyle w:val="95"/>
                <w:rFonts w:hint="eastAsia"/>
                <w:szCs w:val="21"/>
                <w:lang w:eastAsia="zh-CN"/>
              </w:rPr>
            </w:pPr>
            <w:r>
              <w:rPr>
                <w:rStyle w:val="95"/>
                <w:rFonts w:hint="eastAsia"/>
                <w:szCs w:val="21"/>
                <w:lang w:eastAsia="zh-CN"/>
              </w:rPr>
              <w:t>质</w:t>
            </w:r>
          </w:p>
          <w:p w14:paraId="53A82A45">
            <w:pPr>
              <w:jc w:val="center"/>
              <w:rPr>
                <w:rStyle w:val="95"/>
                <w:rFonts w:hint="eastAsia"/>
                <w:szCs w:val="21"/>
                <w:lang w:eastAsia="zh-CN"/>
              </w:rPr>
            </w:pPr>
            <w:r>
              <w:rPr>
                <w:rStyle w:val="95"/>
                <w:rFonts w:hint="eastAsia"/>
                <w:szCs w:val="21"/>
                <w:lang w:eastAsia="zh-CN"/>
              </w:rPr>
              <w:t>量</w:t>
            </w:r>
          </w:p>
          <w:p w14:paraId="724FB74A">
            <w:pPr>
              <w:jc w:val="center"/>
              <w:rPr>
                <w:rStyle w:val="95"/>
                <w:rFonts w:hint="eastAsia" w:eastAsia="宋体"/>
                <w:szCs w:val="21"/>
                <w:lang w:eastAsia="zh-CN"/>
              </w:rPr>
            </w:pPr>
            <w:r>
              <w:rPr>
                <w:rStyle w:val="95"/>
                <w:rFonts w:hint="eastAsia"/>
                <w:szCs w:val="21"/>
                <w:lang w:eastAsia="zh-CN"/>
              </w:rPr>
              <w:t>员</w:t>
            </w:r>
          </w:p>
        </w:tc>
        <w:tc>
          <w:tcPr>
            <w:tcW w:w="1125" w:type="dxa"/>
            <w:gridSpan w:val="2"/>
            <w:vAlign w:val="center"/>
          </w:tcPr>
          <w:p w14:paraId="49A4AAAD">
            <w:pPr>
              <w:jc w:val="center"/>
              <w:rPr>
                <w:rStyle w:val="95"/>
                <w:rFonts w:hint="eastAsia"/>
                <w:szCs w:val="21"/>
                <w:lang w:eastAsia="zh-CN"/>
              </w:rPr>
            </w:pPr>
            <w:r>
              <w:rPr>
                <w:rStyle w:val="95"/>
                <w:rFonts w:hint="eastAsia"/>
                <w:szCs w:val="21"/>
                <w:lang w:eastAsia="zh-CN"/>
              </w:rPr>
              <w:t>安</w:t>
            </w:r>
          </w:p>
          <w:p w14:paraId="74F512F5">
            <w:pPr>
              <w:jc w:val="center"/>
              <w:rPr>
                <w:rStyle w:val="95"/>
                <w:rFonts w:hint="eastAsia"/>
                <w:szCs w:val="21"/>
                <w:lang w:eastAsia="zh-CN"/>
              </w:rPr>
            </w:pPr>
            <w:r>
              <w:rPr>
                <w:rStyle w:val="95"/>
                <w:rFonts w:hint="eastAsia"/>
                <w:szCs w:val="21"/>
                <w:lang w:eastAsia="zh-CN"/>
              </w:rPr>
              <w:t>全</w:t>
            </w:r>
          </w:p>
          <w:p w14:paraId="00F4B402">
            <w:pPr>
              <w:jc w:val="center"/>
              <w:rPr>
                <w:rStyle w:val="95"/>
                <w:rFonts w:hint="eastAsia" w:eastAsia="宋体"/>
                <w:szCs w:val="21"/>
                <w:lang w:eastAsia="zh-CN"/>
              </w:rPr>
            </w:pPr>
            <w:r>
              <w:rPr>
                <w:rStyle w:val="95"/>
                <w:rFonts w:hint="eastAsia"/>
                <w:szCs w:val="21"/>
                <w:lang w:eastAsia="zh-CN"/>
              </w:rPr>
              <w:t>员</w:t>
            </w:r>
          </w:p>
        </w:tc>
        <w:tc>
          <w:tcPr>
            <w:tcW w:w="570" w:type="dxa"/>
            <w:vAlign w:val="center"/>
          </w:tcPr>
          <w:p w14:paraId="408935DF">
            <w:pPr>
              <w:jc w:val="center"/>
              <w:rPr>
                <w:rStyle w:val="95"/>
                <w:rFonts w:hint="eastAsia"/>
                <w:szCs w:val="21"/>
                <w:lang w:eastAsia="zh-CN"/>
              </w:rPr>
            </w:pPr>
            <w:r>
              <w:rPr>
                <w:rStyle w:val="95"/>
                <w:rFonts w:hint="eastAsia"/>
                <w:szCs w:val="21"/>
                <w:lang w:eastAsia="zh-CN"/>
              </w:rPr>
              <w:t>标</w:t>
            </w:r>
          </w:p>
          <w:p w14:paraId="36566CCC">
            <w:pPr>
              <w:jc w:val="center"/>
              <w:rPr>
                <w:rStyle w:val="95"/>
                <w:rFonts w:hint="eastAsia"/>
                <w:szCs w:val="21"/>
                <w:lang w:eastAsia="zh-CN"/>
              </w:rPr>
            </w:pPr>
            <w:r>
              <w:rPr>
                <w:rStyle w:val="95"/>
                <w:rFonts w:hint="eastAsia"/>
                <w:szCs w:val="21"/>
                <w:lang w:eastAsia="zh-CN"/>
              </w:rPr>
              <w:t>准</w:t>
            </w:r>
          </w:p>
          <w:p w14:paraId="10C599D3">
            <w:pPr>
              <w:jc w:val="center"/>
              <w:rPr>
                <w:rStyle w:val="95"/>
                <w:rFonts w:hint="eastAsia" w:eastAsia="宋体"/>
                <w:szCs w:val="21"/>
                <w:lang w:eastAsia="zh-CN"/>
              </w:rPr>
            </w:pPr>
            <w:r>
              <w:rPr>
                <w:rStyle w:val="95"/>
                <w:rFonts w:hint="eastAsia"/>
                <w:szCs w:val="21"/>
                <w:lang w:eastAsia="zh-CN"/>
              </w:rPr>
              <w:t>员</w:t>
            </w:r>
          </w:p>
        </w:tc>
        <w:tc>
          <w:tcPr>
            <w:tcW w:w="570" w:type="dxa"/>
            <w:gridSpan w:val="2"/>
            <w:vAlign w:val="center"/>
          </w:tcPr>
          <w:p w14:paraId="21382DFC">
            <w:pPr>
              <w:jc w:val="center"/>
              <w:rPr>
                <w:rStyle w:val="95"/>
                <w:rFonts w:hint="eastAsia"/>
                <w:szCs w:val="21"/>
                <w:lang w:eastAsia="zh-CN"/>
              </w:rPr>
            </w:pPr>
            <w:r>
              <w:rPr>
                <w:rStyle w:val="95"/>
                <w:rFonts w:hint="eastAsia"/>
                <w:szCs w:val="21"/>
                <w:lang w:eastAsia="zh-CN"/>
              </w:rPr>
              <w:t>材</w:t>
            </w:r>
          </w:p>
          <w:p w14:paraId="7442AC3A">
            <w:pPr>
              <w:jc w:val="center"/>
              <w:rPr>
                <w:rStyle w:val="95"/>
                <w:rFonts w:hint="eastAsia"/>
                <w:szCs w:val="21"/>
                <w:lang w:eastAsia="zh-CN"/>
              </w:rPr>
            </w:pPr>
            <w:r>
              <w:rPr>
                <w:rStyle w:val="95"/>
                <w:rFonts w:hint="eastAsia"/>
                <w:szCs w:val="21"/>
                <w:lang w:eastAsia="zh-CN"/>
              </w:rPr>
              <w:t>料</w:t>
            </w:r>
          </w:p>
          <w:p w14:paraId="4EAD50ED">
            <w:pPr>
              <w:jc w:val="center"/>
              <w:rPr>
                <w:rStyle w:val="95"/>
                <w:rFonts w:hint="eastAsia" w:eastAsia="宋体"/>
                <w:szCs w:val="21"/>
                <w:lang w:eastAsia="zh-CN"/>
              </w:rPr>
            </w:pPr>
            <w:r>
              <w:rPr>
                <w:rStyle w:val="95"/>
                <w:rFonts w:hint="eastAsia"/>
                <w:szCs w:val="21"/>
                <w:lang w:eastAsia="zh-CN"/>
              </w:rPr>
              <w:t>员</w:t>
            </w:r>
          </w:p>
        </w:tc>
        <w:tc>
          <w:tcPr>
            <w:tcW w:w="705" w:type="dxa"/>
            <w:vAlign w:val="center"/>
          </w:tcPr>
          <w:p w14:paraId="683E5617">
            <w:pPr>
              <w:jc w:val="center"/>
              <w:rPr>
                <w:rStyle w:val="95"/>
                <w:rFonts w:hint="eastAsia"/>
                <w:szCs w:val="21"/>
                <w:lang w:eastAsia="zh-CN"/>
              </w:rPr>
            </w:pPr>
            <w:r>
              <w:rPr>
                <w:rStyle w:val="95"/>
                <w:rFonts w:hint="eastAsia"/>
                <w:szCs w:val="21"/>
                <w:lang w:eastAsia="zh-CN"/>
              </w:rPr>
              <w:t>机</w:t>
            </w:r>
          </w:p>
          <w:p w14:paraId="442FBB3B">
            <w:pPr>
              <w:jc w:val="center"/>
              <w:rPr>
                <w:rStyle w:val="95"/>
                <w:rFonts w:hint="eastAsia"/>
                <w:szCs w:val="21"/>
                <w:lang w:eastAsia="zh-CN"/>
              </w:rPr>
            </w:pPr>
            <w:r>
              <w:rPr>
                <w:rStyle w:val="95"/>
                <w:rFonts w:hint="eastAsia"/>
                <w:szCs w:val="21"/>
                <w:lang w:eastAsia="zh-CN"/>
              </w:rPr>
              <w:t>械</w:t>
            </w:r>
          </w:p>
          <w:p w14:paraId="04D65FF8">
            <w:pPr>
              <w:jc w:val="center"/>
              <w:rPr>
                <w:rStyle w:val="95"/>
                <w:rFonts w:hint="eastAsia" w:eastAsia="宋体"/>
                <w:szCs w:val="21"/>
                <w:lang w:eastAsia="zh-CN"/>
              </w:rPr>
            </w:pPr>
            <w:r>
              <w:rPr>
                <w:rStyle w:val="95"/>
                <w:rFonts w:hint="eastAsia"/>
                <w:szCs w:val="21"/>
                <w:lang w:eastAsia="zh-CN"/>
              </w:rPr>
              <w:t>员</w:t>
            </w:r>
          </w:p>
        </w:tc>
        <w:tc>
          <w:tcPr>
            <w:tcW w:w="585" w:type="dxa"/>
            <w:vAlign w:val="center"/>
          </w:tcPr>
          <w:p w14:paraId="3AD18ED4">
            <w:pPr>
              <w:jc w:val="center"/>
              <w:rPr>
                <w:rStyle w:val="95"/>
                <w:rFonts w:hint="eastAsia"/>
                <w:szCs w:val="21"/>
                <w:lang w:eastAsia="zh-CN"/>
              </w:rPr>
            </w:pPr>
            <w:r>
              <w:rPr>
                <w:rStyle w:val="95"/>
                <w:rFonts w:hint="eastAsia"/>
                <w:szCs w:val="21"/>
                <w:lang w:eastAsia="zh-CN"/>
              </w:rPr>
              <w:t>劳</w:t>
            </w:r>
          </w:p>
          <w:p w14:paraId="4F489EC1">
            <w:pPr>
              <w:jc w:val="center"/>
              <w:rPr>
                <w:rStyle w:val="95"/>
                <w:rFonts w:hint="eastAsia"/>
                <w:szCs w:val="21"/>
                <w:lang w:eastAsia="zh-CN"/>
              </w:rPr>
            </w:pPr>
            <w:r>
              <w:rPr>
                <w:rStyle w:val="95"/>
                <w:rFonts w:hint="eastAsia"/>
                <w:szCs w:val="21"/>
                <w:lang w:eastAsia="zh-CN"/>
              </w:rPr>
              <w:t>务</w:t>
            </w:r>
          </w:p>
          <w:p w14:paraId="50DA628B">
            <w:pPr>
              <w:jc w:val="center"/>
              <w:rPr>
                <w:rStyle w:val="95"/>
                <w:rFonts w:hint="eastAsia" w:eastAsia="宋体"/>
                <w:szCs w:val="21"/>
                <w:lang w:eastAsia="zh-CN"/>
              </w:rPr>
            </w:pPr>
            <w:r>
              <w:rPr>
                <w:rStyle w:val="95"/>
                <w:rFonts w:hint="eastAsia"/>
                <w:szCs w:val="21"/>
                <w:lang w:eastAsia="zh-CN"/>
              </w:rPr>
              <w:t>员</w:t>
            </w:r>
          </w:p>
        </w:tc>
        <w:tc>
          <w:tcPr>
            <w:tcW w:w="533" w:type="dxa"/>
            <w:vAlign w:val="center"/>
          </w:tcPr>
          <w:p w14:paraId="58D9D2FC">
            <w:pPr>
              <w:jc w:val="center"/>
              <w:rPr>
                <w:rStyle w:val="95"/>
                <w:rFonts w:hint="eastAsia"/>
                <w:szCs w:val="21"/>
                <w:lang w:eastAsia="zh-CN"/>
              </w:rPr>
            </w:pPr>
            <w:r>
              <w:rPr>
                <w:rStyle w:val="95"/>
                <w:rFonts w:hint="eastAsia"/>
                <w:szCs w:val="21"/>
                <w:lang w:eastAsia="zh-CN"/>
              </w:rPr>
              <w:t>资</w:t>
            </w:r>
          </w:p>
          <w:p w14:paraId="4569BD44">
            <w:pPr>
              <w:jc w:val="center"/>
              <w:rPr>
                <w:rStyle w:val="95"/>
                <w:rFonts w:hint="eastAsia"/>
                <w:szCs w:val="21"/>
                <w:lang w:eastAsia="zh-CN"/>
              </w:rPr>
            </w:pPr>
            <w:r>
              <w:rPr>
                <w:rStyle w:val="95"/>
                <w:rFonts w:hint="eastAsia"/>
                <w:szCs w:val="21"/>
                <w:lang w:eastAsia="zh-CN"/>
              </w:rPr>
              <w:t>料</w:t>
            </w:r>
          </w:p>
          <w:p w14:paraId="46F66297">
            <w:pPr>
              <w:jc w:val="center"/>
              <w:rPr>
                <w:rFonts w:hint="eastAsia" w:ascii="Times New Roman" w:hAnsi="Times New Roman" w:eastAsia="宋体" w:cs="Times New Roman"/>
                <w:kern w:val="2"/>
                <w:sz w:val="21"/>
                <w:szCs w:val="21"/>
                <w:lang w:val="en-US" w:eastAsia="zh-CN" w:bidi="ar-SA"/>
              </w:rPr>
            </w:pPr>
            <w:r>
              <w:rPr>
                <w:rStyle w:val="95"/>
                <w:rFonts w:hint="eastAsia"/>
                <w:szCs w:val="21"/>
                <w:lang w:eastAsia="zh-CN"/>
              </w:rPr>
              <w:t>员</w:t>
            </w:r>
          </w:p>
        </w:tc>
        <w:tc>
          <w:tcPr>
            <w:tcW w:w="978" w:type="dxa"/>
            <w:vAlign w:val="center"/>
          </w:tcPr>
          <w:p w14:paraId="79023DFA">
            <w:pPr>
              <w:jc w:val="center"/>
              <w:rPr>
                <w:rStyle w:val="95"/>
                <w:rFonts w:hint="eastAsia"/>
                <w:szCs w:val="21"/>
                <w:lang w:eastAsia="zh-CN"/>
              </w:rPr>
            </w:pPr>
            <w:r>
              <w:rPr>
                <w:rStyle w:val="95"/>
                <w:rFonts w:hint="eastAsia"/>
                <w:szCs w:val="21"/>
                <w:lang w:eastAsia="zh-CN"/>
              </w:rPr>
              <w:t>总</w:t>
            </w:r>
          </w:p>
          <w:p w14:paraId="6EEC8D65">
            <w:pPr>
              <w:jc w:val="center"/>
              <w:rPr>
                <w:rStyle w:val="95"/>
                <w:rFonts w:hint="eastAsia"/>
                <w:szCs w:val="21"/>
                <w:lang w:eastAsia="zh-CN"/>
              </w:rPr>
            </w:pPr>
            <w:r>
              <w:rPr>
                <w:rStyle w:val="95"/>
                <w:rFonts w:hint="eastAsia"/>
                <w:szCs w:val="21"/>
                <w:lang w:eastAsia="zh-CN"/>
              </w:rPr>
              <w:t>人</w:t>
            </w:r>
          </w:p>
          <w:p w14:paraId="7D807FBB">
            <w:pPr>
              <w:jc w:val="center"/>
              <w:rPr>
                <w:rStyle w:val="95"/>
                <w:rFonts w:hint="eastAsia" w:eastAsia="宋体"/>
                <w:szCs w:val="21"/>
                <w:lang w:eastAsia="zh-CN"/>
              </w:rPr>
            </w:pPr>
            <w:r>
              <w:rPr>
                <w:rStyle w:val="95"/>
                <w:rFonts w:hint="eastAsia"/>
                <w:szCs w:val="21"/>
                <w:lang w:eastAsia="zh-CN"/>
              </w:rPr>
              <w:t>数</w:t>
            </w:r>
          </w:p>
        </w:tc>
      </w:tr>
      <w:tr w14:paraId="2C25D5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4" w:hRule="atLeast"/>
          <w:jc w:val="center"/>
        </w:trPr>
        <w:tc>
          <w:tcPr>
            <w:tcW w:w="1788" w:type="dxa"/>
            <w:gridSpan w:val="2"/>
            <w:vAlign w:val="center"/>
          </w:tcPr>
          <w:p w14:paraId="73D8FEE8">
            <w:pPr>
              <w:jc w:val="center"/>
              <w:rPr>
                <w:rStyle w:val="95"/>
              </w:rPr>
            </w:pPr>
            <w:r>
              <w:rPr>
                <w:rStyle w:val="95"/>
                <w:rFonts w:hint="eastAsia"/>
              </w:rPr>
              <w:t>姓名</w:t>
            </w:r>
          </w:p>
        </w:tc>
        <w:tc>
          <w:tcPr>
            <w:tcW w:w="582" w:type="dxa"/>
            <w:tcBorders>
              <w:right w:val="single" w:color="auto" w:sz="4" w:space="0"/>
            </w:tcBorders>
            <w:vAlign w:val="center"/>
          </w:tcPr>
          <w:p w14:paraId="12BDC0FA">
            <w:pPr>
              <w:jc w:val="center"/>
              <w:rPr>
                <w:rStyle w:val="95"/>
              </w:rPr>
            </w:pPr>
          </w:p>
        </w:tc>
        <w:tc>
          <w:tcPr>
            <w:tcW w:w="567" w:type="dxa"/>
            <w:tcBorders>
              <w:left w:val="single" w:color="auto" w:sz="4" w:space="0"/>
            </w:tcBorders>
            <w:vAlign w:val="center"/>
          </w:tcPr>
          <w:p w14:paraId="4280FDE0">
            <w:pPr>
              <w:jc w:val="center"/>
              <w:rPr>
                <w:rStyle w:val="95"/>
              </w:rPr>
            </w:pPr>
          </w:p>
        </w:tc>
        <w:tc>
          <w:tcPr>
            <w:tcW w:w="567" w:type="dxa"/>
            <w:vAlign w:val="center"/>
          </w:tcPr>
          <w:p w14:paraId="0D2C737B">
            <w:pPr>
              <w:jc w:val="center"/>
              <w:rPr>
                <w:rStyle w:val="95"/>
              </w:rPr>
            </w:pPr>
          </w:p>
        </w:tc>
        <w:tc>
          <w:tcPr>
            <w:tcW w:w="567" w:type="dxa"/>
            <w:vAlign w:val="center"/>
          </w:tcPr>
          <w:p w14:paraId="6627431F">
            <w:pPr>
              <w:jc w:val="center"/>
              <w:rPr>
                <w:rStyle w:val="95"/>
              </w:rPr>
            </w:pPr>
          </w:p>
        </w:tc>
        <w:tc>
          <w:tcPr>
            <w:tcW w:w="567" w:type="dxa"/>
            <w:vAlign w:val="center"/>
          </w:tcPr>
          <w:p w14:paraId="33DE1837">
            <w:pPr>
              <w:jc w:val="center"/>
              <w:rPr>
                <w:rStyle w:val="95"/>
              </w:rPr>
            </w:pPr>
          </w:p>
        </w:tc>
        <w:tc>
          <w:tcPr>
            <w:tcW w:w="645" w:type="dxa"/>
            <w:vAlign w:val="center"/>
          </w:tcPr>
          <w:p w14:paraId="623C2036">
            <w:pPr>
              <w:jc w:val="center"/>
              <w:rPr>
                <w:rStyle w:val="95"/>
              </w:rPr>
            </w:pPr>
          </w:p>
        </w:tc>
        <w:tc>
          <w:tcPr>
            <w:tcW w:w="600" w:type="dxa"/>
            <w:vAlign w:val="center"/>
          </w:tcPr>
          <w:p w14:paraId="140669CE">
            <w:pPr>
              <w:jc w:val="center"/>
              <w:rPr>
                <w:rStyle w:val="95"/>
              </w:rPr>
            </w:pPr>
          </w:p>
        </w:tc>
        <w:tc>
          <w:tcPr>
            <w:tcW w:w="525" w:type="dxa"/>
            <w:vAlign w:val="center"/>
          </w:tcPr>
          <w:p w14:paraId="782FE4A9">
            <w:pPr>
              <w:jc w:val="center"/>
              <w:rPr>
                <w:rStyle w:val="95"/>
              </w:rPr>
            </w:pPr>
          </w:p>
        </w:tc>
        <w:tc>
          <w:tcPr>
            <w:tcW w:w="570" w:type="dxa"/>
            <w:vAlign w:val="center"/>
          </w:tcPr>
          <w:p w14:paraId="5788E768">
            <w:pPr>
              <w:jc w:val="center"/>
              <w:rPr>
                <w:rStyle w:val="95"/>
              </w:rPr>
            </w:pPr>
          </w:p>
        </w:tc>
        <w:tc>
          <w:tcPr>
            <w:tcW w:w="570" w:type="dxa"/>
            <w:gridSpan w:val="2"/>
            <w:vAlign w:val="center"/>
          </w:tcPr>
          <w:p w14:paraId="2EEC7398">
            <w:pPr>
              <w:jc w:val="center"/>
              <w:rPr>
                <w:rStyle w:val="95"/>
              </w:rPr>
            </w:pPr>
          </w:p>
        </w:tc>
        <w:tc>
          <w:tcPr>
            <w:tcW w:w="705" w:type="dxa"/>
            <w:vAlign w:val="center"/>
          </w:tcPr>
          <w:p w14:paraId="5157BE4D">
            <w:pPr>
              <w:jc w:val="center"/>
              <w:rPr>
                <w:rStyle w:val="95"/>
              </w:rPr>
            </w:pPr>
          </w:p>
        </w:tc>
        <w:tc>
          <w:tcPr>
            <w:tcW w:w="585" w:type="dxa"/>
            <w:vAlign w:val="center"/>
          </w:tcPr>
          <w:p w14:paraId="481C3E0D">
            <w:pPr>
              <w:jc w:val="center"/>
              <w:rPr>
                <w:rStyle w:val="95"/>
              </w:rPr>
            </w:pPr>
          </w:p>
        </w:tc>
        <w:tc>
          <w:tcPr>
            <w:tcW w:w="533" w:type="dxa"/>
            <w:vAlign w:val="center"/>
          </w:tcPr>
          <w:p w14:paraId="7D815F2E">
            <w:pPr>
              <w:jc w:val="center"/>
              <w:rPr>
                <w:rStyle w:val="95"/>
              </w:rPr>
            </w:pPr>
          </w:p>
        </w:tc>
        <w:tc>
          <w:tcPr>
            <w:tcW w:w="978" w:type="dxa"/>
            <w:vAlign w:val="center"/>
          </w:tcPr>
          <w:p w14:paraId="38C803E5">
            <w:pPr>
              <w:jc w:val="center"/>
              <w:rPr>
                <w:rStyle w:val="95"/>
              </w:rPr>
            </w:pPr>
          </w:p>
        </w:tc>
      </w:tr>
      <w:tr w14:paraId="06FBCD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4" w:hRule="atLeast"/>
          <w:jc w:val="center"/>
        </w:trPr>
        <w:tc>
          <w:tcPr>
            <w:tcW w:w="1788" w:type="dxa"/>
            <w:gridSpan w:val="2"/>
            <w:vAlign w:val="center"/>
          </w:tcPr>
          <w:p w14:paraId="5E4E1B17">
            <w:pPr>
              <w:jc w:val="center"/>
              <w:rPr>
                <w:rStyle w:val="95"/>
              </w:rPr>
            </w:pPr>
            <w:r>
              <w:rPr>
                <w:rStyle w:val="95"/>
                <w:rFonts w:hint="eastAsia"/>
              </w:rPr>
              <w:t>技术职称</w:t>
            </w:r>
          </w:p>
        </w:tc>
        <w:tc>
          <w:tcPr>
            <w:tcW w:w="582" w:type="dxa"/>
            <w:tcBorders>
              <w:right w:val="single" w:color="auto" w:sz="4" w:space="0"/>
            </w:tcBorders>
            <w:vAlign w:val="center"/>
          </w:tcPr>
          <w:p w14:paraId="5FF2EC23">
            <w:pPr>
              <w:jc w:val="center"/>
              <w:rPr>
                <w:rStyle w:val="95"/>
              </w:rPr>
            </w:pPr>
          </w:p>
        </w:tc>
        <w:tc>
          <w:tcPr>
            <w:tcW w:w="567" w:type="dxa"/>
            <w:tcBorders>
              <w:left w:val="single" w:color="auto" w:sz="4" w:space="0"/>
            </w:tcBorders>
            <w:vAlign w:val="center"/>
          </w:tcPr>
          <w:p w14:paraId="53AE0A9B">
            <w:pPr>
              <w:jc w:val="center"/>
              <w:rPr>
                <w:rStyle w:val="95"/>
              </w:rPr>
            </w:pPr>
          </w:p>
        </w:tc>
        <w:tc>
          <w:tcPr>
            <w:tcW w:w="567" w:type="dxa"/>
            <w:vAlign w:val="center"/>
          </w:tcPr>
          <w:p w14:paraId="02ABB6EE">
            <w:pPr>
              <w:jc w:val="center"/>
              <w:rPr>
                <w:rStyle w:val="95"/>
              </w:rPr>
            </w:pPr>
          </w:p>
        </w:tc>
        <w:tc>
          <w:tcPr>
            <w:tcW w:w="567" w:type="dxa"/>
            <w:vAlign w:val="center"/>
          </w:tcPr>
          <w:p w14:paraId="03FA8509">
            <w:pPr>
              <w:jc w:val="center"/>
              <w:rPr>
                <w:rStyle w:val="95"/>
              </w:rPr>
            </w:pPr>
          </w:p>
        </w:tc>
        <w:tc>
          <w:tcPr>
            <w:tcW w:w="567" w:type="dxa"/>
            <w:vAlign w:val="center"/>
          </w:tcPr>
          <w:p w14:paraId="4CED20E7">
            <w:pPr>
              <w:jc w:val="center"/>
              <w:rPr>
                <w:rStyle w:val="95"/>
              </w:rPr>
            </w:pPr>
          </w:p>
        </w:tc>
        <w:tc>
          <w:tcPr>
            <w:tcW w:w="645" w:type="dxa"/>
            <w:vAlign w:val="center"/>
          </w:tcPr>
          <w:p w14:paraId="76F31F8D">
            <w:pPr>
              <w:jc w:val="center"/>
              <w:rPr>
                <w:rStyle w:val="95"/>
              </w:rPr>
            </w:pPr>
          </w:p>
        </w:tc>
        <w:tc>
          <w:tcPr>
            <w:tcW w:w="600" w:type="dxa"/>
            <w:vAlign w:val="center"/>
          </w:tcPr>
          <w:p w14:paraId="6E506CB6">
            <w:pPr>
              <w:jc w:val="center"/>
              <w:rPr>
                <w:rStyle w:val="95"/>
              </w:rPr>
            </w:pPr>
          </w:p>
        </w:tc>
        <w:tc>
          <w:tcPr>
            <w:tcW w:w="525" w:type="dxa"/>
            <w:vAlign w:val="center"/>
          </w:tcPr>
          <w:p w14:paraId="424539A5">
            <w:pPr>
              <w:jc w:val="center"/>
              <w:rPr>
                <w:rStyle w:val="95"/>
              </w:rPr>
            </w:pPr>
          </w:p>
        </w:tc>
        <w:tc>
          <w:tcPr>
            <w:tcW w:w="570" w:type="dxa"/>
            <w:vAlign w:val="center"/>
          </w:tcPr>
          <w:p w14:paraId="4CCEB5FE">
            <w:pPr>
              <w:jc w:val="center"/>
              <w:rPr>
                <w:rStyle w:val="95"/>
              </w:rPr>
            </w:pPr>
          </w:p>
        </w:tc>
        <w:tc>
          <w:tcPr>
            <w:tcW w:w="570" w:type="dxa"/>
            <w:gridSpan w:val="2"/>
            <w:vAlign w:val="center"/>
          </w:tcPr>
          <w:p w14:paraId="359D10C9">
            <w:pPr>
              <w:jc w:val="center"/>
              <w:rPr>
                <w:rStyle w:val="95"/>
              </w:rPr>
            </w:pPr>
          </w:p>
        </w:tc>
        <w:tc>
          <w:tcPr>
            <w:tcW w:w="705" w:type="dxa"/>
            <w:vAlign w:val="center"/>
          </w:tcPr>
          <w:p w14:paraId="5035599E">
            <w:pPr>
              <w:jc w:val="center"/>
              <w:rPr>
                <w:rStyle w:val="95"/>
              </w:rPr>
            </w:pPr>
          </w:p>
        </w:tc>
        <w:tc>
          <w:tcPr>
            <w:tcW w:w="585" w:type="dxa"/>
            <w:vAlign w:val="center"/>
          </w:tcPr>
          <w:p w14:paraId="5510D0D5">
            <w:pPr>
              <w:jc w:val="center"/>
              <w:rPr>
                <w:rStyle w:val="95"/>
              </w:rPr>
            </w:pPr>
          </w:p>
        </w:tc>
        <w:tc>
          <w:tcPr>
            <w:tcW w:w="533" w:type="dxa"/>
            <w:vAlign w:val="center"/>
          </w:tcPr>
          <w:p w14:paraId="1E95BC7F">
            <w:pPr>
              <w:jc w:val="center"/>
              <w:rPr>
                <w:rStyle w:val="95"/>
              </w:rPr>
            </w:pPr>
          </w:p>
        </w:tc>
        <w:tc>
          <w:tcPr>
            <w:tcW w:w="978" w:type="dxa"/>
            <w:vAlign w:val="center"/>
          </w:tcPr>
          <w:p w14:paraId="5DE1591E">
            <w:pPr>
              <w:jc w:val="center"/>
              <w:rPr>
                <w:rStyle w:val="95"/>
              </w:rPr>
            </w:pPr>
          </w:p>
        </w:tc>
      </w:tr>
      <w:tr w14:paraId="560214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5" w:hRule="atLeast"/>
          <w:jc w:val="center"/>
        </w:trPr>
        <w:tc>
          <w:tcPr>
            <w:tcW w:w="693" w:type="dxa"/>
            <w:vAlign w:val="center"/>
          </w:tcPr>
          <w:p w14:paraId="4FEDD441">
            <w:pPr>
              <w:jc w:val="center"/>
              <w:rPr>
                <w:rStyle w:val="95"/>
                <w:rFonts w:hint="eastAsia"/>
                <w:lang w:eastAsia="zh-CN"/>
              </w:rPr>
            </w:pPr>
            <w:r>
              <w:rPr>
                <w:rStyle w:val="95"/>
                <w:rFonts w:hint="eastAsia"/>
                <w:lang w:eastAsia="zh-CN"/>
              </w:rPr>
              <w:t>大型</w:t>
            </w:r>
          </w:p>
          <w:p w14:paraId="4A33BD36">
            <w:pPr>
              <w:jc w:val="center"/>
              <w:rPr>
                <w:rStyle w:val="95"/>
                <w:rFonts w:hint="eastAsia" w:eastAsia="宋体"/>
                <w:lang w:eastAsia="zh-CN"/>
              </w:rPr>
            </w:pPr>
            <w:r>
              <w:rPr>
                <w:rStyle w:val="95"/>
                <w:rFonts w:hint="eastAsia"/>
                <w:lang w:eastAsia="zh-CN"/>
              </w:rPr>
              <w:t>工程</w:t>
            </w:r>
          </w:p>
        </w:tc>
        <w:tc>
          <w:tcPr>
            <w:tcW w:w="1095" w:type="dxa"/>
            <w:vAlign w:val="center"/>
          </w:tcPr>
          <w:p w14:paraId="7E8A5B49">
            <w:pPr>
              <w:jc w:val="center"/>
              <w:rPr>
                <w:rStyle w:val="95"/>
                <w:rFonts w:hint="eastAsia" w:eastAsia="宋体"/>
                <w:lang w:eastAsia="zh-CN"/>
              </w:rPr>
            </w:pPr>
            <w:r>
              <w:rPr>
                <w:rStyle w:val="95"/>
                <w:rFonts w:hint="eastAsia"/>
              </w:rPr>
              <w:t>一级资质</w:t>
            </w:r>
            <w:r>
              <w:rPr>
                <w:rStyle w:val="95"/>
                <w:rFonts w:hint="eastAsia"/>
                <w:lang w:eastAsia="zh-CN"/>
              </w:rPr>
              <w:t>以上</w:t>
            </w:r>
          </w:p>
        </w:tc>
        <w:tc>
          <w:tcPr>
            <w:tcW w:w="582" w:type="dxa"/>
            <w:tcBorders>
              <w:right w:val="single" w:color="auto" w:sz="4" w:space="0"/>
            </w:tcBorders>
            <w:vAlign w:val="center"/>
          </w:tcPr>
          <w:p w14:paraId="3E4B6DF8">
            <w:pPr>
              <w:jc w:val="center"/>
              <w:rPr>
                <w:rStyle w:val="95"/>
              </w:rPr>
            </w:pPr>
            <w:r>
              <w:rPr>
                <w:rStyle w:val="95"/>
              </w:rPr>
              <w:t>1</w:t>
            </w:r>
          </w:p>
        </w:tc>
        <w:tc>
          <w:tcPr>
            <w:tcW w:w="567" w:type="dxa"/>
            <w:tcBorders>
              <w:left w:val="single" w:color="auto" w:sz="4" w:space="0"/>
            </w:tcBorders>
            <w:vAlign w:val="center"/>
          </w:tcPr>
          <w:p w14:paraId="608885E3">
            <w:pPr>
              <w:jc w:val="center"/>
              <w:rPr>
                <w:rStyle w:val="95"/>
              </w:rPr>
            </w:pPr>
            <w:r>
              <w:rPr>
                <w:rStyle w:val="95"/>
                <w:rFonts w:hint="eastAsia"/>
              </w:rPr>
              <w:t>1</w:t>
            </w:r>
          </w:p>
        </w:tc>
        <w:tc>
          <w:tcPr>
            <w:tcW w:w="567" w:type="dxa"/>
            <w:vAlign w:val="center"/>
          </w:tcPr>
          <w:p w14:paraId="07AF3E01">
            <w:pPr>
              <w:jc w:val="center"/>
              <w:rPr>
                <w:rStyle w:val="95"/>
              </w:rPr>
            </w:pPr>
            <w:r>
              <w:rPr>
                <w:rStyle w:val="95"/>
              </w:rPr>
              <w:t>1</w:t>
            </w:r>
          </w:p>
        </w:tc>
        <w:tc>
          <w:tcPr>
            <w:tcW w:w="1134" w:type="dxa"/>
            <w:gridSpan w:val="2"/>
            <w:vAlign w:val="center"/>
          </w:tcPr>
          <w:p w14:paraId="425855FD">
            <w:pPr>
              <w:jc w:val="center"/>
              <w:rPr>
                <w:rStyle w:val="95"/>
                <w:rFonts w:hint="eastAsia" w:eastAsia="宋体"/>
                <w:lang w:val="en-US" w:eastAsia="zh-CN"/>
              </w:rPr>
            </w:pPr>
            <w:r>
              <w:rPr>
                <w:rStyle w:val="95"/>
                <w:rFonts w:hint="eastAsia"/>
                <w:lang w:val="en-US" w:eastAsia="zh-CN"/>
              </w:rPr>
              <w:t>2</w:t>
            </w:r>
          </w:p>
        </w:tc>
        <w:tc>
          <w:tcPr>
            <w:tcW w:w="645" w:type="dxa"/>
            <w:vAlign w:val="center"/>
          </w:tcPr>
          <w:p w14:paraId="76E29CB5">
            <w:pPr>
              <w:jc w:val="center"/>
              <w:rPr>
                <w:rStyle w:val="95"/>
                <w:rFonts w:hint="eastAsia" w:eastAsia="宋体"/>
                <w:lang w:val="en-US" w:eastAsia="zh-CN"/>
              </w:rPr>
            </w:pPr>
            <w:r>
              <w:rPr>
                <w:rStyle w:val="95"/>
                <w:rFonts w:hint="eastAsia"/>
                <w:lang w:val="en-US" w:eastAsia="zh-CN"/>
              </w:rPr>
              <w:t>1</w:t>
            </w:r>
          </w:p>
        </w:tc>
        <w:tc>
          <w:tcPr>
            <w:tcW w:w="1125" w:type="dxa"/>
            <w:gridSpan w:val="2"/>
            <w:vAlign w:val="center"/>
          </w:tcPr>
          <w:p w14:paraId="6D6D63F7">
            <w:pPr>
              <w:jc w:val="center"/>
              <w:rPr>
                <w:rStyle w:val="95"/>
              </w:rPr>
            </w:pPr>
            <w:r>
              <w:rPr>
                <w:rStyle w:val="95"/>
              </w:rPr>
              <w:t>2</w:t>
            </w:r>
          </w:p>
        </w:tc>
        <w:tc>
          <w:tcPr>
            <w:tcW w:w="570" w:type="dxa"/>
            <w:vAlign w:val="center"/>
          </w:tcPr>
          <w:p w14:paraId="1870DBBC">
            <w:pPr>
              <w:jc w:val="center"/>
              <w:rPr>
                <w:rStyle w:val="95"/>
              </w:rPr>
            </w:pPr>
            <w:r>
              <w:rPr>
                <w:rStyle w:val="95"/>
                <w:rFonts w:hint="eastAsia"/>
              </w:rPr>
              <w:t>兼</w:t>
            </w:r>
          </w:p>
        </w:tc>
        <w:tc>
          <w:tcPr>
            <w:tcW w:w="570" w:type="dxa"/>
            <w:gridSpan w:val="2"/>
            <w:vAlign w:val="center"/>
          </w:tcPr>
          <w:p w14:paraId="19B8E799">
            <w:pPr>
              <w:jc w:val="center"/>
              <w:rPr>
                <w:rStyle w:val="95"/>
              </w:rPr>
            </w:pPr>
            <w:r>
              <w:rPr>
                <w:rStyle w:val="95"/>
              </w:rPr>
              <w:t>1</w:t>
            </w:r>
          </w:p>
        </w:tc>
        <w:tc>
          <w:tcPr>
            <w:tcW w:w="705" w:type="dxa"/>
            <w:vAlign w:val="center"/>
          </w:tcPr>
          <w:p w14:paraId="1F31246C">
            <w:pPr>
              <w:jc w:val="center"/>
              <w:rPr>
                <w:rStyle w:val="95"/>
                <w:rFonts w:hint="eastAsia" w:eastAsia="宋体"/>
                <w:lang w:eastAsia="zh-CN"/>
              </w:rPr>
            </w:pPr>
            <w:r>
              <w:rPr>
                <w:rStyle w:val="95"/>
                <w:rFonts w:hint="eastAsia"/>
                <w:lang w:val="en-US" w:eastAsia="zh-CN"/>
              </w:rPr>
              <w:t>1</w:t>
            </w:r>
          </w:p>
        </w:tc>
        <w:tc>
          <w:tcPr>
            <w:tcW w:w="585" w:type="dxa"/>
            <w:vAlign w:val="center"/>
          </w:tcPr>
          <w:p w14:paraId="16B447D3">
            <w:pPr>
              <w:jc w:val="center"/>
              <w:rPr>
                <w:rFonts w:ascii="Times New Roman" w:hAnsi="Times New Roman" w:eastAsia="宋体" w:cs="Times New Roman"/>
                <w:b/>
                <w:bCs/>
                <w:kern w:val="2"/>
                <w:sz w:val="21"/>
                <w:szCs w:val="24"/>
                <w:lang w:val="en-US" w:eastAsia="zh-CN" w:bidi="ar-SA"/>
              </w:rPr>
            </w:pPr>
            <w:r>
              <w:rPr>
                <w:rStyle w:val="95"/>
                <w:rFonts w:hint="eastAsia"/>
                <w:b/>
                <w:bCs/>
              </w:rPr>
              <w:t>兼</w:t>
            </w:r>
          </w:p>
        </w:tc>
        <w:tc>
          <w:tcPr>
            <w:tcW w:w="533" w:type="dxa"/>
            <w:vAlign w:val="center"/>
          </w:tcPr>
          <w:p w14:paraId="3C050D58">
            <w:pPr>
              <w:jc w:val="center"/>
              <w:rPr>
                <w:rFonts w:ascii="Times New Roman" w:hAnsi="Times New Roman" w:eastAsia="宋体" w:cs="Times New Roman"/>
                <w:b/>
                <w:bCs/>
                <w:kern w:val="2"/>
                <w:sz w:val="21"/>
                <w:szCs w:val="24"/>
                <w:lang w:val="en-US" w:eastAsia="zh-CN" w:bidi="ar-SA"/>
              </w:rPr>
            </w:pPr>
            <w:r>
              <w:rPr>
                <w:rStyle w:val="95"/>
                <w:rFonts w:hint="eastAsia"/>
                <w:b/>
                <w:bCs/>
              </w:rPr>
              <w:t>兼</w:t>
            </w:r>
          </w:p>
        </w:tc>
        <w:tc>
          <w:tcPr>
            <w:tcW w:w="978" w:type="dxa"/>
            <w:vAlign w:val="center"/>
          </w:tcPr>
          <w:p w14:paraId="142D7CCB">
            <w:pPr>
              <w:jc w:val="center"/>
              <w:rPr>
                <w:rStyle w:val="95"/>
                <w:rFonts w:hint="default" w:eastAsia="宋体"/>
                <w:lang w:val="en-US" w:eastAsia="zh-CN"/>
              </w:rPr>
            </w:pPr>
            <w:r>
              <w:rPr>
                <w:rStyle w:val="95"/>
                <w:rFonts w:hint="eastAsia"/>
                <w:lang w:val="en-US" w:eastAsia="zh-CN"/>
              </w:rPr>
              <w:t>10+（）</w:t>
            </w:r>
          </w:p>
        </w:tc>
      </w:tr>
      <w:tr w14:paraId="1B48E0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5" w:hRule="atLeast"/>
          <w:jc w:val="center"/>
        </w:trPr>
        <w:tc>
          <w:tcPr>
            <w:tcW w:w="693" w:type="dxa"/>
            <w:vAlign w:val="center"/>
          </w:tcPr>
          <w:p w14:paraId="6D4774EE">
            <w:pPr>
              <w:jc w:val="center"/>
              <w:rPr>
                <w:rStyle w:val="95"/>
                <w:rFonts w:hint="eastAsia"/>
                <w:lang w:eastAsia="zh-CN"/>
              </w:rPr>
            </w:pPr>
            <w:r>
              <w:rPr>
                <w:rStyle w:val="95"/>
                <w:rFonts w:hint="eastAsia"/>
                <w:lang w:eastAsia="zh-CN"/>
              </w:rPr>
              <w:t>中型</w:t>
            </w:r>
          </w:p>
          <w:p w14:paraId="5422FEE7">
            <w:pPr>
              <w:jc w:val="center"/>
              <w:rPr>
                <w:rStyle w:val="95"/>
                <w:rFonts w:hint="eastAsia" w:eastAsia="宋体"/>
                <w:lang w:eastAsia="zh-CN"/>
              </w:rPr>
            </w:pPr>
            <w:r>
              <w:rPr>
                <w:rStyle w:val="95"/>
                <w:rFonts w:hint="eastAsia"/>
                <w:lang w:eastAsia="zh-CN"/>
              </w:rPr>
              <w:t>工程</w:t>
            </w:r>
          </w:p>
        </w:tc>
        <w:tc>
          <w:tcPr>
            <w:tcW w:w="1095" w:type="dxa"/>
            <w:vAlign w:val="center"/>
          </w:tcPr>
          <w:p w14:paraId="79ABF93C">
            <w:pPr>
              <w:jc w:val="center"/>
              <w:rPr>
                <w:rStyle w:val="95"/>
              </w:rPr>
            </w:pPr>
            <w:r>
              <w:rPr>
                <w:rStyle w:val="95"/>
                <w:rFonts w:hint="eastAsia"/>
              </w:rPr>
              <w:t>二级</w:t>
            </w:r>
            <w:r>
              <w:rPr>
                <w:rStyle w:val="95"/>
                <w:rFonts w:hint="eastAsia"/>
                <w:lang w:eastAsia="zh-CN"/>
              </w:rPr>
              <w:t>资质</w:t>
            </w:r>
            <w:r>
              <w:rPr>
                <w:rStyle w:val="95"/>
                <w:rFonts w:hint="eastAsia"/>
              </w:rPr>
              <w:t>以上</w:t>
            </w:r>
          </w:p>
        </w:tc>
        <w:tc>
          <w:tcPr>
            <w:tcW w:w="582" w:type="dxa"/>
            <w:tcBorders>
              <w:right w:val="single" w:color="auto" w:sz="4" w:space="0"/>
            </w:tcBorders>
            <w:vAlign w:val="center"/>
          </w:tcPr>
          <w:p w14:paraId="33A0167E">
            <w:pPr>
              <w:jc w:val="center"/>
              <w:rPr>
                <w:rStyle w:val="95"/>
              </w:rPr>
            </w:pPr>
            <w:r>
              <w:rPr>
                <w:rStyle w:val="95"/>
              </w:rPr>
              <w:t>1</w:t>
            </w:r>
          </w:p>
        </w:tc>
        <w:tc>
          <w:tcPr>
            <w:tcW w:w="567" w:type="dxa"/>
            <w:tcBorders>
              <w:left w:val="single" w:color="auto" w:sz="4" w:space="0"/>
            </w:tcBorders>
            <w:vAlign w:val="center"/>
          </w:tcPr>
          <w:p w14:paraId="4E47DA1A">
            <w:pPr>
              <w:jc w:val="center"/>
              <w:rPr>
                <w:rStyle w:val="95"/>
              </w:rPr>
            </w:pPr>
            <w:r>
              <w:rPr>
                <w:rStyle w:val="95"/>
              </w:rPr>
              <w:t>1</w:t>
            </w:r>
          </w:p>
        </w:tc>
        <w:tc>
          <w:tcPr>
            <w:tcW w:w="567" w:type="dxa"/>
            <w:vAlign w:val="center"/>
          </w:tcPr>
          <w:p w14:paraId="66F30082">
            <w:pPr>
              <w:jc w:val="center"/>
              <w:rPr>
                <w:rStyle w:val="95"/>
              </w:rPr>
            </w:pPr>
            <w:r>
              <w:rPr>
                <w:rStyle w:val="95"/>
              </w:rPr>
              <w:t>1</w:t>
            </w:r>
          </w:p>
        </w:tc>
        <w:tc>
          <w:tcPr>
            <w:tcW w:w="1134" w:type="dxa"/>
            <w:gridSpan w:val="2"/>
            <w:vAlign w:val="center"/>
          </w:tcPr>
          <w:p w14:paraId="6C39B602">
            <w:pPr>
              <w:jc w:val="center"/>
              <w:rPr>
                <w:rStyle w:val="95"/>
              </w:rPr>
            </w:pPr>
            <w:r>
              <w:rPr>
                <w:rStyle w:val="95"/>
              </w:rPr>
              <w:t>2</w:t>
            </w:r>
          </w:p>
        </w:tc>
        <w:tc>
          <w:tcPr>
            <w:tcW w:w="645" w:type="dxa"/>
            <w:vAlign w:val="center"/>
          </w:tcPr>
          <w:p w14:paraId="28C54002">
            <w:pPr>
              <w:jc w:val="center"/>
              <w:rPr>
                <w:rStyle w:val="95"/>
                <w:rFonts w:hint="eastAsia" w:eastAsia="宋体"/>
                <w:lang w:val="en-US" w:eastAsia="zh-CN"/>
              </w:rPr>
            </w:pPr>
            <w:r>
              <w:rPr>
                <w:rStyle w:val="95"/>
                <w:rFonts w:hint="eastAsia"/>
                <w:lang w:val="en-US" w:eastAsia="zh-CN"/>
              </w:rPr>
              <w:t>1</w:t>
            </w:r>
          </w:p>
        </w:tc>
        <w:tc>
          <w:tcPr>
            <w:tcW w:w="1125" w:type="dxa"/>
            <w:gridSpan w:val="2"/>
            <w:vAlign w:val="center"/>
          </w:tcPr>
          <w:p w14:paraId="283B5812">
            <w:pPr>
              <w:jc w:val="center"/>
              <w:rPr>
                <w:rStyle w:val="95"/>
              </w:rPr>
            </w:pPr>
            <w:r>
              <w:rPr>
                <w:rStyle w:val="95"/>
              </w:rPr>
              <w:t>1</w:t>
            </w:r>
          </w:p>
        </w:tc>
        <w:tc>
          <w:tcPr>
            <w:tcW w:w="570" w:type="dxa"/>
            <w:vAlign w:val="center"/>
          </w:tcPr>
          <w:p w14:paraId="3E052127">
            <w:pPr>
              <w:jc w:val="center"/>
              <w:rPr>
                <w:rStyle w:val="95"/>
              </w:rPr>
            </w:pPr>
            <w:r>
              <w:rPr>
                <w:rStyle w:val="95"/>
                <w:rFonts w:hint="eastAsia"/>
              </w:rPr>
              <w:t>兼</w:t>
            </w:r>
          </w:p>
        </w:tc>
        <w:tc>
          <w:tcPr>
            <w:tcW w:w="570" w:type="dxa"/>
            <w:gridSpan w:val="2"/>
            <w:vAlign w:val="center"/>
          </w:tcPr>
          <w:p w14:paraId="58516146">
            <w:pPr>
              <w:jc w:val="center"/>
              <w:rPr>
                <w:rStyle w:val="95"/>
              </w:rPr>
            </w:pPr>
            <w:r>
              <w:rPr>
                <w:rStyle w:val="95"/>
              </w:rPr>
              <w:t>1</w:t>
            </w:r>
          </w:p>
        </w:tc>
        <w:tc>
          <w:tcPr>
            <w:tcW w:w="705" w:type="dxa"/>
            <w:vAlign w:val="center"/>
          </w:tcPr>
          <w:p w14:paraId="4EEE8EB8">
            <w:pPr>
              <w:jc w:val="center"/>
              <w:rPr>
                <w:rStyle w:val="95"/>
              </w:rPr>
            </w:pPr>
            <w:r>
              <w:rPr>
                <w:rStyle w:val="95"/>
                <w:rFonts w:hint="eastAsia"/>
              </w:rPr>
              <w:t>兼</w:t>
            </w:r>
          </w:p>
        </w:tc>
        <w:tc>
          <w:tcPr>
            <w:tcW w:w="585" w:type="dxa"/>
            <w:vAlign w:val="center"/>
          </w:tcPr>
          <w:p w14:paraId="23CB93A3">
            <w:pPr>
              <w:jc w:val="center"/>
              <w:rPr>
                <w:rFonts w:ascii="Times New Roman" w:hAnsi="Times New Roman" w:eastAsia="宋体" w:cs="Times New Roman"/>
                <w:b/>
                <w:bCs/>
                <w:kern w:val="2"/>
                <w:sz w:val="21"/>
                <w:szCs w:val="24"/>
                <w:lang w:val="en-US" w:eastAsia="zh-CN" w:bidi="ar-SA"/>
              </w:rPr>
            </w:pPr>
            <w:r>
              <w:rPr>
                <w:rStyle w:val="95"/>
                <w:rFonts w:hint="eastAsia"/>
                <w:b/>
                <w:bCs/>
              </w:rPr>
              <w:t>兼</w:t>
            </w:r>
          </w:p>
        </w:tc>
        <w:tc>
          <w:tcPr>
            <w:tcW w:w="533" w:type="dxa"/>
            <w:vAlign w:val="center"/>
          </w:tcPr>
          <w:p w14:paraId="11F28D1D">
            <w:pPr>
              <w:jc w:val="center"/>
              <w:rPr>
                <w:rFonts w:ascii="Times New Roman" w:hAnsi="Times New Roman" w:eastAsia="宋体" w:cs="Times New Roman"/>
                <w:b/>
                <w:bCs/>
                <w:kern w:val="2"/>
                <w:sz w:val="21"/>
                <w:szCs w:val="24"/>
                <w:lang w:val="en-US" w:eastAsia="zh-CN" w:bidi="ar-SA"/>
              </w:rPr>
            </w:pPr>
            <w:r>
              <w:rPr>
                <w:rStyle w:val="95"/>
                <w:rFonts w:hint="eastAsia"/>
                <w:b/>
                <w:bCs/>
              </w:rPr>
              <w:t>兼</w:t>
            </w:r>
          </w:p>
        </w:tc>
        <w:tc>
          <w:tcPr>
            <w:tcW w:w="978" w:type="dxa"/>
            <w:vAlign w:val="center"/>
          </w:tcPr>
          <w:p w14:paraId="16B6F0E8">
            <w:pPr>
              <w:jc w:val="center"/>
              <w:rPr>
                <w:rStyle w:val="95"/>
              </w:rPr>
            </w:pPr>
            <w:r>
              <w:rPr>
                <w:rStyle w:val="95"/>
                <w:rFonts w:hint="eastAsia"/>
                <w:lang w:val="en-US" w:eastAsia="zh-CN"/>
              </w:rPr>
              <w:t>8+（）</w:t>
            </w:r>
          </w:p>
        </w:tc>
      </w:tr>
      <w:tr w14:paraId="1F989A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5" w:hRule="atLeast"/>
          <w:jc w:val="center"/>
        </w:trPr>
        <w:tc>
          <w:tcPr>
            <w:tcW w:w="693" w:type="dxa"/>
            <w:vAlign w:val="center"/>
          </w:tcPr>
          <w:p w14:paraId="26716EC3">
            <w:pPr>
              <w:jc w:val="center"/>
              <w:rPr>
                <w:rStyle w:val="95"/>
                <w:rFonts w:hint="eastAsia"/>
                <w:lang w:eastAsia="zh-CN"/>
              </w:rPr>
            </w:pPr>
            <w:r>
              <w:rPr>
                <w:rStyle w:val="95"/>
                <w:rFonts w:hint="eastAsia"/>
                <w:lang w:eastAsia="zh-CN"/>
              </w:rPr>
              <w:t>小型</w:t>
            </w:r>
          </w:p>
          <w:p w14:paraId="351B3837">
            <w:pPr>
              <w:jc w:val="center"/>
              <w:rPr>
                <w:rStyle w:val="95"/>
                <w:rFonts w:hint="eastAsia" w:eastAsia="宋体"/>
                <w:lang w:eastAsia="zh-CN"/>
              </w:rPr>
            </w:pPr>
            <w:r>
              <w:rPr>
                <w:rStyle w:val="95"/>
                <w:rFonts w:hint="eastAsia"/>
                <w:lang w:eastAsia="zh-CN"/>
              </w:rPr>
              <w:t>工程</w:t>
            </w:r>
          </w:p>
        </w:tc>
        <w:tc>
          <w:tcPr>
            <w:tcW w:w="1095" w:type="dxa"/>
            <w:vAlign w:val="center"/>
          </w:tcPr>
          <w:p w14:paraId="4913F503">
            <w:pPr>
              <w:jc w:val="center"/>
              <w:rPr>
                <w:rStyle w:val="95"/>
              </w:rPr>
            </w:pPr>
            <w:r>
              <w:rPr>
                <w:rStyle w:val="95"/>
                <w:rFonts w:hint="eastAsia"/>
              </w:rPr>
              <w:t>三级</w:t>
            </w:r>
            <w:r>
              <w:rPr>
                <w:rStyle w:val="95"/>
                <w:rFonts w:hint="eastAsia"/>
                <w:lang w:eastAsia="zh-CN"/>
              </w:rPr>
              <w:t>资质</w:t>
            </w:r>
            <w:r>
              <w:rPr>
                <w:rStyle w:val="95"/>
                <w:rFonts w:hint="eastAsia"/>
              </w:rPr>
              <w:t>以上</w:t>
            </w:r>
          </w:p>
        </w:tc>
        <w:tc>
          <w:tcPr>
            <w:tcW w:w="582" w:type="dxa"/>
            <w:tcBorders>
              <w:right w:val="single" w:color="auto" w:sz="4" w:space="0"/>
            </w:tcBorders>
            <w:vAlign w:val="center"/>
          </w:tcPr>
          <w:p w14:paraId="7DBCA672">
            <w:pPr>
              <w:jc w:val="center"/>
              <w:rPr>
                <w:rStyle w:val="95"/>
              </w:rPr>
            </w:pPr>
            <w:r>
              <w:rPr>
                <w:rStyle w:val="95"/>
              </w:rPr>
              <w:t>1</w:t>
            </w:r>
          </w:p>
        </w:tc>
        <w:tc>
          <w:tcPr>
            <w:tcW w:w="567" w:type="dxa"/>
            <w:tcBorders>
              <w:left w:val="single" w:color="auto" w:sz="4" w:space="0"/>
            </w:tcBorders>
            <w:vAlign w:val="center"/>
          </w:tcPr>
          <w:p w14:paraId="1F12F25F">
            <w:pPr>
              <w:jc w:val="center"/>
              <w:rPr>
                <w:rStyle w:val="95"/>
              </w:rPr>
            </w:pPr>
            <w:r>
              <w:rPr>
                <w:rStyle w:val="95"/>
                <w:rFonts w:hint="eastAsia"/>
              </w:rPr>
              <w:t>1</w:t>
            </w:r>
          </w:p>
        </w:tc>
        <w:tc>
          <w:tcPr>
            <w:tcW w:w="567" w:type="dxa"/>
            <w:vAlign w:val="center"/>
          </w:tcPr>
          <w:p w14:paraId="71FE3B70">
            <w:pPr>
              <w:jc w:val="center"/>
              <w:rPr>
                <w:rStyle w:val="95"/>
                <w:rFonts w:hint="eastAsia" w:eastAsia="宋体"/>
                <w:lang w:eastAsia="zh-CN"/>
              </w:rPr>
            </w:pPr>
            <w:r>
              <w:rPr>
                <w:rStyle w:val="95"/>
                <w:rFonts w:hint="eastAsia"/>
                <w:lang w:val="en-US" w:eastAsia="zh-CN"/>
              </w:rPr>
              <w:t>1</w:t>
            </w:r>
          </w:p>
        </w:tc>
        <w:tc>
          <w:tcPr>
            <w:tcW w:w="1134" w:type="dxa"/>
            <w:gridSpan w:val="2"/>
            <w:vAlign w:val="center"/>
          </w:tcPr>
          <w:p w14:paraId="3DBDBA3C">
            <w:pPr>
              <w:jc w:val="center"/>
              <w:rPr>
                <w:rStyle w:val="95"/>
              </w:rPr>
            </w:pPr>
            <w:r>
              <w:rPr>
                <w:rStyle w:val="95"/>
              </w:rPr>
              <w:t>1</w:t>
            </w:r>
          </w:p>
        </w:tc>
        <w:tc>
          <w:tcPr>
            <w:tcW w:w="645" w:type="dxa"/>
            <w:vAlign w:val="center"/>
          </w:tcPr>
          <w:p w14:paraId="346A2063">
            <w:pPr>
              <w:jc w:val="center"/>
              <w:rPr>
                <w:rStyle w:val="95"/>
                <w:rFonts w:hint="eastAsia" w:eastAsia="宋体"/>
                <w:lang w:val="en-US" w:eastAsia="zh-CN"/>
              </w:rPr>
            </w:pPr>
            <w:r>
              <w:rPr>
                <w:rStyle w:val="95"/>
                <w:rFonts w:hint="eastAsia"/>
                <w:lang w:val="en-US" w:eastAsia="zh-CN"/>
              </w:rPr>
              <w:t>1</w:t>
            </w:r>
          </w:p>
        </w:tc>
        <w:tc>
          <w:tcPr>
            <w:tcW w:w="1125" w:type="dxa"/>
            <w:gridSpan w:val="2"/>
            <w:vAlign w:val="center"/>
          </w:tcPr>
          <w:p w14:paraId="7FAEBD9F">
            <w:pPr>
              <w:jc w:val="center"/>
              <w:rPr>
                <w:rStyle w:val="95"/>
              </w:rPr>
            </w:pPr>
            <w:r>
              <w:rPr>
                <w:rStyle w:val="95"/>
              </w:rPr>
              <w:t>1</w:t>
            </w:r>
          </w:p>
        </w:tc>
        <w:tc>
          <w:tcPr>
            <w:tcW w:w="570" w:type="dxa"/>
            <w:vAlign w:val="center"/>
          </w:tcPr>
          <w:p w14:paraId="45EA9F80">
            <w:pPr>
              <w:jc w:val="center"/>
              <w:rPr>
                <w:rStyle w:val="95"/>
              </w:rPr>
            </w:pPr>
            <w:r>
              <w:rPr>
                <w:rStyle w:val="95"/>
                <w:rFonts w:hint="eastAsia"/>
              </w:rPr>
              <w:t>兼</w:t>
            </w:r>
          </w:p>
        </w:tc>
        <w:tc>
          <w:tcPr>
            <w:tcW w:w="570" w:type="dxa"/>
            <w:gridSpan w:val="2"/>
            <w:vAlign w:val="center"/>
          </w:tcPr>
          <w:p w14:paraId="4F9E3E08">
            <w:pPr>
              <w:jc w:val="center"/>
              <w:rPr>
                <w:rStyle w:val="95"/>
              </w:rPr>
            </w:pPr>
            <w:r>
              <w:rPr>
                <w:rStyle w:val="95"/>
                <w:rFonts w:hint="eastAsia"/>
              </w:rPr>
              <w:t>兼</w:t>
            </w:r>
          </w:p>
        </w:tc>
        <w:tc>
          <w:tcPr>
            <w:tcW w:w="705" w:type="dxa"/>
            <w:vAlign w:val="center"/>
          </w:tcPr>
          <w:p w14:paraId="6D7E700E">
            <w:pPr>
              <w:jc w:val="center"/>
              <w:rPr>
                <w:rStyle w:val="95"/>
              </w:rPr>
            </w:pPr>
            <w:r>
              <w:rPr>
                <w:rStyle w:val="95"/>
                <w:rFonts w:hint="eastAsia"/>
              </w:rPr>
              <w:t>兼</w:t>
            </w:r>
          </w:p>
        </w:tc>
        <w:tc>
          <w:tcPr>
            <w:tcW w:w="585" w:type="dxa"/>
            <w:vAlign w:val="center"/>
          </w:tcPr>
          <w:p w14:paraId="12BA8862">
            <w:pPr>
              <w:jc w:val="center"/>
              <w:rPr>
                <w:rFonts w:ascii="Times New Roman" w:hAnsi="Times New Roman" w:eastAsia="宋体" w:cs="Times New Roman"/>
                <w:b/>
                <w:bCs/>
                <w:kern w:val="2"/>
                <w:sz w:val="21"/>
                <w:szCs w:val="24"/>
                <w:lang w:val="en-US" w:eastAsia="zh-CN" w:bidi="ar-SA"/>
              </w:rPr>
            </w:pPr>
            <w:r>
              <w:rPr>
                <w:rStyle w:val="95"/>
                <w:rFonts w:hint="eastAsia"/>
                <w:b/>
                <w:bCs/>
              </w:rPr>
              <w:t>兼</w:t>
            </w:r>
          </w:p>
        </w:tc>
        <w:tc>
          <w:tcPr>
            <w:tcW w:w="533" w:type="dxa"/>
            <w:vAlign w:val="center"/>
          </w:tcPr>
          <w:p w14:paraId="1EC63F90">
            <w:pPr>
              <w:jc w:val="center"/>
              <w:rPr>
                <w:rFonts w:ascii="Times New Roman" w:hAnsi="Times New Roman" w:eastAsia="宋体" w:cs="Times New Roman"/>
                <w:b/>
                <w:bCs/>
                <w:kern w:val="2"/>
                <w:sz w:val="21"/>
                <w:szCs w:val="24"/>
                <w:lang w:val="en-US" w:eastAsia="zh-CN" w:bidi="ar-SA"/>
              </w:rPr>
            </w:pPr>
            <w:r>
              <w:rPr>
                <w:rStyle w:val="95"/>
                <w:rFonts w:hint="eastAsia"/>
                <w:b/>
                <w:bCs/>
              </w:rPr>
              <w:t>兼</w:t>
            </w:r>
          </w:p>
        </w:tc>
        <w:tc>
          <w:tcPr>
            <w:tcW w:w="978" w:type="dxa"/>
            <w:vAlign w:val="center"/>
          </w:tcPr>
          <w:p w14:paraId="7E771DBD">
            <w:pPr>
              <w:jc w:val="center"/>
              <w:rPr>
                <w:rStyle w:val="95"/>
              </w:rPr>
            </w:pPr>
            <w:r>
              <w:rPr>
                <w:rStyle w:val="95"/>
                <w:rFonts w:hint="eastAsia"/>
                <w:lang w:val="en-US" w:eastAsia="zh-CN"/>
              </w:rPr>
              <w:t>6+（）</w:t>
            </w:r>
          </w:p>
        </w:tc>
      </w:tr>
      <w:tr w14:paraId="6B5C57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3" w:hRule="atLeast"/>
          <w:jc w:val="center"/>
        </w:trPr>
        <w:tc>
          <w:tcPr>
            <w:tcW w:w="1788" w:type="dxa"/>
            <w:gridSpan w:val="2"/>
            <w:vAlign w:val="center"/>
          </w:tcPr>
          <w:p w14:paraId="70EBEEB1">
            <w:pPr>
              <w:jc w:val="center"/>
              <w:rPr>
                <w:rStyle w:val="95"/>
              </w:rPr>
            </w:pPr>
            <w:r>
              <w:rPr>
                <w:rStyle w:val="95"/>
                <w:rFonts w:hint="eastAsia"/>
              </w:rPr>
              <w:t>备注</w:t>
            </w:r>
          </w:p>
        </w:tc>
        <w:tc>
          <w:tcPr>
            <w:tcW w:w="8561" w:type="dxa"/>
            <w:gridSpan w:val="15"/>
            <w:vAlign w:val="center"/>
          </w:tcPr>
          <w:p w14:paraId="0BE58CDA">
            <w:pPr>
              <w:jc w:val="center"/>
              <w:rPr>
                <w:rStyle w:val="95"/>
              </w:rPr>
            </w:pPr>
          </w:p>
        </w:tc>
      </w:tr>
    </w:tbl>
    <w:p w14:paraId="0FDE8B00">
      <w:pPr>
        <w:ind w:right="-483" w:rightChars="-230"/>
        <w:jc w:val="center"/>
        <w:rPr>
          <w:rStyle w:val="95"/>
        </w:rPr>
      </w:pPr>
    </w:p>
    <w:p w14:paraId="4A9617A2">
      <w:pPr>
        <w:ind w:right="-483" w:rightChars="-230"/>
        <w:jc w:val="center"/>
        <w:rPr>
          <w:rStyle w:val="95"/>
        </w:rPr>
      </w:pPr>
    </w:p>
    <w:p w14:paraId="2BEC67A1">
      <w:pPr>
        <w:snapToGrid w:val="0"/>
        <w:spacing w:line="600" w:lineRule="exact"/>
        <w:jc w:val="center"/>
        <w:rPr>
          <w:sz w:val="36"/>
          <w:szCs w:val="36"/>
        </w:rPr>
      </w:pPr>
      <w:r>
        <w:rPr>
          <w:rStyle w:val="95"/>
          <w:rFonts w:hint="eastAsia"/>
          <w:b/>
          <w:kern w:val="0"/>
          <w:sz w:val="28"/>
          <w:szCs w:val="28"/>
          <w:lang w:eastAsia="zh-CN"/>
        </w:rPr>
        <w:t>九</w:t>
      </w:r>
      <w:r>
        <w:rPr>
          <w:rStyle w:val="95"/>
          <w:rFonts w:hint="eastAsia"/>
          <w:b/>
          <w:kern w:val="0"/>
          <w:sz w:val="28"/>
          <w:szCs w:val="28"/>
        </w:rPr>
        <w:t>、拟投入本项目的主要施工设备表</w:t>
      </w:r>
    </w:p>
    <w:tbl>
      <w:tblPr>
        <w:tblStyle w:val="45"/>
        <w:tblW w:w="8789"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28" w:type="dxa"/>
          <w:bottom w:w="0" w:type="dxa"/>
          <w:right w:w="28" w:type="dxa"/>
        </w:tblCellMar>
      </w:tblPr>
      <w:tblGrid>
        <w:gridCol w:w="665"/>
        <w:gridCol w:w="1100"/>
        <w:gridCol w:w="694"/>
        <w:gridCol w:w="1056"/>
        <w:gridCol w:w="733"/>
        <w:gridCol w:w="733"/>
        <w:gridCol w:w="1215"/>
        <w:gridCol w:w="901"/>
        <w:gridCol w:w="901"/>
        <w:gridCol w:w="791"/>
      </w:tblGrid>
      <w:tr w14:paraId="58EE9B3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931" w:hRule="atLeast"/>
          <w:jc w:val="center"/>
        </w:trPr>
        <w:tc>
          <w:tcPr>
            <w:tcW w:w="665" w:type="dxa"/>
            <w:tcBorders>
              <w:top w:val="single" w:color="auto" w:sz="8" w:space="0"/>
            </w:tcBorders>
            <w:vAlign w:val="center"/>
          </w:tcPr>
          <w:p w14:paraId="596E7EDA">
            <w:pPr>
              <w:widowControl w:val="0"/>
              <w:jc w:val="center"/>
              <w:textAlignment w:val="auto"/>
              <w:rPr>
                <w:sz w:val="24"/>
              </w:rPr>
            </w:pPr>
            <w:r>
              <w:rPr>
                <w:rFonts w:hint="eastAsia"/>
                <w:sz w:val="24"/>
              </w:rPr>
              <w:t>序号</w:t>
            </w:r>
          </w:p>
        </w:tc>
        <w:tc>
          <w:tcPr>
            <w:tcW w:w="1100" w:type="dxa"/>
            <w:tcBorders>
              <w:top w:val="single" w:color="auto" w:sz="8" w:space="0"/>
            </w:tcBorders>
            <w:vAlign w:val="center"/>
          </w:tcPr>
          <w:p w14:paraId="457F02B6">
            <w:pPr>
              <w:widowControl w:val="0"/>
              <w:jc w:val="center"/>
              <w:textAlignment w:val="auto"/>
              <w:rPr>
                <w:sz w:val="24"/>
              </w:rPr>
            </w:pPr>
            <w:r>
              <w:rPr>
                <w:rFonts w:hint="eastAsia"/>
                <w:sz w:val="24"/>
              </w:rPr>
              <w:t>设备名称</w:t>
            </w:r>
          </w:p>
        </w:tc>
        <w:tc>
          <w:tcPr>
            <w:tcW w:w="694" w:type="dxa"/>
            <w:tcBorders>
              <w:top w:val="single" w:color="auto" w:sz="8" w:space="0"/>
            </w:tcBorders>
            <w:vAlign w:val="center"/>
          </w:tcPr>
          <w:p w14:paraId="7858AB28">
            <w:pPr>
              <w:widowControl w:val="0"/>
              <w:jc w:val="center"/>
              <w:textAlignment w:val="auto"/>
              <w:rPr>
                <w:sz w:val="24"/>
              </w:rPr>
            </w:pPr>
            <w:r>
              <w:rPr>
                <w:rFonts w:hint="eastAsia"/>
                <w:sz w:val="24"/>
              </w:rPr>
              <w:t>型号</w:t>
            </w:r>
          </w:p>
          <w:p w14:paraId="77A903A1">
            <w:pPr>
              <w:widowControl w:val="0"/>
              <w:jc w:val="center"/>
              <w:textAlignment w:val="auto"/>
              <w:rPr>
                <w:sz w:val="24"/>
              </w:rPr>
            </w:pPr>
            <w:r>
              <w:rPr>
                <w:rFonts w:hint="eastAsia"/>
                <w:sz w:val="24"/>
              </w:rPr>
              <w:t>规格</w:t>
            </w:r>
          </w:p>
        </w:tc>
        <w:tc>
          <w:tcPr>
            <w:tcW w:w="1056" w:type="dxa"/>
            <w:tcBorders>
              <w:top w:val="single" w:color="auto" w:sz="8" w:space="0"/>
            </w:tcBorders>
            <w:vAlign w:val="center"/>
          </w:tcPr>
          <w:p w14:paraId="13C6034B">
            <w:pPr>
              <w:widowControl w:val="0"/>
              <w:jc w:val="center"/>
              <w:textAlignment w:val="auto"/>
              <w:rPr>
                <w:sz w:val="24"/>
              </w:rPr>
            </w:pPr>
            <w:r>
              <w:rPr>
                <w:rFonts w:hint="eastAsia"/>
                <w:sz w:val="24"/>
              </w:rPr>
              <w:t>数量</w:t>
            </w:r>
          </w:p>
        </w:tc>
        <w:tc>
          <w:tcPr>
            <w:tcW w:w="733" w:type="dxa"/>
            <w:tcBorders>
              <w:top w:val="single" w:color="auto" w:sz="8" w:space="0"/>
            </w:tcBorders>
            <w:vAlign w:val="center"/>
          </w:tcPr>
          <w:p w14:paraId="02EE968B">
            <w:pPr>
              <w:widowControl w:val="0"/>
              <w:jc w:val="center"/>
              <w:textAlignment w:val="auto"/>
              <w:rPr>
                <w:sz w:val="24"/>
              </w:rPr>
            </w:pPr>
            <w:r>
              <w:rPr>
                <w:rFonts w:hint="eastAsia"/>
                <w:sz w:val="24"/>
              </w:rPr>
              <w:t>国别</w:t>
            </w:r>
          </w:p>
          <w:p w14:paraId="5C28382E">
            <w:pPr>
              <w:widowControl w:val="0"/>
              <w:jc w:val="center"/>
              <w:textAlignment w:val="auto"/>
              <w:rPr>
                <w:sz w:val="24"/>
              </w:rPr>
            </w:pPr>
            <w:r>
              <w:rPr>
                <w:rFonts w:hint="eastAsia"/>
                <w:sz w:val="24"/>
              </w:rPr>
              <w:t>产地</w:t>
            </w:r>
          </w:p>
        </w:tc>
        <w:tc>
          <w:tcPr>
            <w:tcW w:w="733" w:type="dxa"/>
            <w:tcBorders>
              <w:top w:val="single" w:color="auto" w:sz="8" w:space="0"/>
            </w:tcBorders>
            <w:vAlign w:val="center"/>
          </w:tcPr>
          <w:p w14:paraId="2720A820">
            <w:pPr>
              <w:widowControl w:val="0"/>
              <w:jc w:val="center"/>
              <w:textAlignment w:val="auto"/>
              <w:rPr>
                <w:sz w:val="24"/>
              </w:rPr>
            </w:pPr>
            <w:r>
              <w:rPr>
                <w:rFonts w:hint="eastAsia"/>
                <w:sz w:val="24"/>
              </w:rPr>
              <w:t>制造</w:t>
            </w:r>
          </w:p>
          <w:p w14:paraId="42D34760">
            <w:pPr>
              <w:widowControl w:val="0"/>
              <w:jc w:val="center"/>
              <w:textAlignment w:val="auto"/>
              <w:rPr>
                <w:sz w:val="24"/>
              </w:rPr>
            </w:pPr>
            <w:r>
              <w:rPr>
                <w:rFonts w:hint="eastAsia"/>
                <w:sz w:val="24"/>
              </w:rPr>
              <w:t>年份</w:t>
            </w:r>
          </w:p>
        </w:tc>
        <w:tc>
          <w:tcPr>
            <w:tcW w:w="1215" w:type="dxa"/>
            <w:tcBorders>
              <w:top w:val="single" w:color="auto" w:sz="8" w:space="0"/>
            </w:tcBorders>
            <w:vAlign w:val="center"/>
          </w:tcPr>
          <w:p w14:paraId="226C826E">
            <w:pPr>
              <w:widowControl w:val="0"/>
              <w:jc w:val="center"/>
              <w:textAlignment w:val="auto"/>
              <w:rPr>
                <w:sz w:val="24"/>
              </w:rPr>
            </w:pPr>
            <w:r>
              <w:rPr>
                <w:rFonts w:hint="eastAsia"/>
                <w:sz w:val="24"/>
              </w:rPr>
              <w:t>额定功率</w:t>
            </w:r>
          </w:p>
          <w:p w14:paraId="7174B132">
            <w:pPr>
              <w:widowControl w:val="0"/>
              <w:jc w:val="center"/>
              <w:textAlignment w:val="auto"/>
              <w:rPr>
                <w:sz w:val="24"/>
              </w:rPr>
            </w:pPr>
            <w:r>
              <w:rPr>
                <w:rFonts w:hint="eastAsia"/>
                <w:sz w:val="24"/>
              </w:rPr>
              <w:t>（</w:t>
            </w:r>
            <w:r>
              <w:rPr>
                <w:sz w:val="24"/>
              </w:rPr>
              <w:t>KW</w:t>
            </w:r>
            <w:r>
              <w:rPr>
                <w:rFonts w:hint="eastAsia"/>
                <w:sz w:val="24"/>
              </w:rPr>
              <w:t>）</w:t>
            </w:r>
          </w:p>
        </w:tc>
        <w:tc>
          <w:tcPr>
            <w:tcW w:w="901" w:type="dxa"/>
            <w:tcBorders>
              <w:top w:val="single" w:color="auto" w:sz="8" w:space="0"/>
            </w:tcBorders>
            <w:vAlign w:val="center"/>
          </w:tcPr>
          <w:p w14:paraId="31D6581E">
            <w:pPr>
              <w:widowControl w:val="0"/>
              <w:jc w:val="center"/>
              <w:textAlignment w:val="auto"/>
              <w:rPr>
                <w:sz w:val="24"/>
              </w:rPr>
            </w:pPr>
            <w:r>
              <w:rPr>
                <w:rFonts w:hint="eastAsia"/>
                <w:sz w:val="24"/>
              </w:rPr>
              <w:t>生产</w:t>
            </w:r>
          </w:p>
          <w:p w14:paraId="2A34B001">
            <w:pPr>
              <w:widowControl w:val="0"/>
              <w:jc w:val="center"/>
              <w:textAlignment w:val="auto"/>
              <w:rPr>
                <w:sz w:val="24"/>
              </w:rPr>
            </w:pPr>
            <w:r>
              <w:rPr>
                <w:rFonts w:hint="eastAsia"/>
                <w:sz w:val="24"/>
              </w:rPr>
              <w:t>能力</w:t>
            </w:r>
          </w:p>
        </w:tc>
        <w:tc>
          <w:tcPr>
            <w:tcW w:w="901" w:type="dxa"/>
            <w:tcBorders>
              <w:top w:val="single" w:color="auto" w:sz="8" w:space="0"/>
            </w:tcBorders>
            <w:vAlign w:val="center"/>
          </w:tcPr>
          <w:p w14:paraId="10BAAE74">
            <w:pPr>
              <w:widowControl w:val="0"/>
              <w:jc w:val="center"/>
              <w:textAlignment w:val="auto"/>
              <w:rPr>
                <w:sz w:val="24"/>
              </w:rPr>
            </w:pPr>
            <w:r>
              <w:rPr>
                <w:rFonts w:hint="eastAsia"/>
                <w:sz w:val="24"/>
              </w:rPr>
              <w:t>用于施</w:t>
            </w:r>
          </w:p>
          <w:p w14:paraId="6C97427B">
            <w:pPr>
              <w:widowControl w:val="0"/>
              <w:jc w:val="center"/>
              <w:textAlignment w:val="auto"/>
              <w:rPr>
                <w:sz w:val="24"/>
              </w:rPr>
            </w:pPr>
            <w:r>
              <w:rPr>
                <w:rFonts w:hint="eastAsia"/>
                <w:sz w:val="24"/>
              </w:rPr>
              <w:t>工部位</w:t>
            </w:r>
          </w:p>
        </w:tc>
        <w:tc>
          <w:tcPr>
            <w:tcW w:w="791" w:type="dxa"/>
            <w:tcBorders>
              <w:top w:val="single" w:color="auto" w:sz="8" w:space="0"/>
            </w:tcBorders>
            <w:vAlign w:val="center"/>
          </w:tcPr>
          <w:p w14:paraId="1A165456">
            <w:pPr>
              <w:widowControl w:val="0"/>
              <w:jc w:val="center"/>
              <w:textAlignment w:val="auto"/>
              <w:rPr>
                <w:sz w:val="24"/>
              </w:rPr>
            </w:pPr>
            <w:r>
              <w:rPr>
                <w:rFonts w:hint="eastAsia"/>
                <w:sz w:val="24"/>
              </w:rPr>
              <w:t>备注</w:t>
            </w:r>
          </w:p>
        </w:tc>
      </w:tr>
      <w:tr w14:paraId="45239EC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31" w:hRule="atLeast"/>
          <w:jc w:val="center"/>
        </w:trPr>
        <w:tc>
          <w:tcPr>
            <w:tcW w:w="665" w:type="dxa"/>
            <w:vAlign w:val="center"/>
          </w:tcPr>
          <w:p w14:paraId="2FE253A1">
            <w:pPr>
              <w:widowControl w:val="0"/>
              <w:jc w:val="center"/>
              <w:textAlignment w:val="auto"/>
              <w:rPr>
                <w:szCs w:val="21"/>
              </w:rPr>
            </w:pPr>
          </w:p>
        </w:tc>
        <w:tc>
          <w:tcPr>
            <w:tcW w:w="1100" w:type="dxa"/>
            <w:vAlign w:val="center"/>
          </w:tcPr>
          <w:p w14:paraId="5DC193BC">
            <w:pPr>
              <w:widowControl w:val="0"/>
              <w:jc w:val="center"/>
              <w:textAlignment w:val="auto"/>
              <w:rPr>
                <w:szCs w:val="21"/>
              </w:rPr>
            </w:pPr>
          </w:p>
        </w:tc>
        <w:tc>
          <w:tcPr>
            <w:tcW w:w="694" w:type="dxa"/>
            <w:vAlign w:val="center"/>
          </w:tcPr>
          <w:p w14:paraId="62D67A62">
            <w:pPr>
              <w:widowControl w:val="0"/>
              <w:jc w:val="center"/>
              <w:textAlignment w:val="auto"/>
              <w:rPr>
                <w:szCs w:val="21"/>
              </w:rPr>
            </w:pPr>
          </w:p>
        </w:tc>
        <w:tc>
          <w:tcPr>
            <w:tcW w:w="1056" w:type="dxa"/>
            <w:vAlign w:val="center"/>
          </w:tcPr>
          <w:p w14:paraId="2C4CB9F5">
            <w:pPr>
              <w:widowControl w:val="0"/>
              <w:jc w:val="center"/>
              <w:textAlignment w:val="auto"/>
              <w:rPr>
                <w:szCs w:val="21"/>
              </w:rPr>
            </w:pPr>
          </w:p>
        </w:tc>
        <w:tc>
          <w:tcPr>
            <w:tcW w:w="733" w:type="dxa"/>
            <w:vAlign w:val="center"/>
          </w:tcPr>
          <w:p w14:paraId="0726AB32">
            <w:pPr>
              <w:widowControl w:val="0"/>
              <w:jc w:val="center"/>
              <w:textAlignment w:val="auto"/>
              <w:rPr>
                <w:szCs w:val="21"/>
              </w:rPr>
            </w:pPr>
          </w:p>
        </w:tc>
        <w:tc>
          <w:tcPr>
            <w:tcW w:w="733" w:type="dxa"/>
            <w:vAlign w:val="center"/>
          </w:tcPr>
          <w:p w14:paraId="049D574E">
            <w:pPr>
              <w:widowControl w:val="0"/>
              <w:jc w:val="center"/>
              <w:textAlignment w:val="auto"/>
              <w:rPr>
                <w:szCs w:val="21"/>
              </w:rPr>
            </w:pPr>
          </w:p>
        </w:tc>
        <w:tc>
          <w:tcPr>
            <w:tcW w:w="1215" w:type="dxa"/>
            <w:vAlign w:val="center"/>
          </w:tcPr>
          <w:p w14:paraId="0AD0A921">
            <w:pPr>
              <w:widowControl w:val="0"/>
              <w:jc w:val="center"/>
              <w:textAlignment w:val="auto"/>
              <w:rPr>
                <w:szCs w:val="21"/>
              </w:rPr>
            </w:pPr>
          </w:p>
        </w:tc>
        <w:tc>
          <w:tcPr>
            <w:tcW w:w="901" w:type="dxa"/>
            <w:vAlign w:val="center"/>
          </w:tcPr>
          <w:p w14:paraId="024420EF">
            <w:pPr>
              <w:widowControl w:val="0"/>
              <w:jc w:val="center"/>
              <w:textAlignment w:val="auto"/>
              <w:rPr>
                <w:szCs w:val="21"/>
              </w:rPr>
            </w:pPr>
          </w:p>
        </w:tc>
        <w:tc>
          <w:tcPr>
            <w:tcW w:w="901" w:type="dxa"/>
            <w:vAlign w:val="center"/>
          </w:tcPr>
          <w:p w14:paraId="65837823">
            <w:pPr>
              <w:widowControl w:val="0"/>
              <w:jc w:val="center"/>
              <w:textAlignment w:val="auto"/>
              <w:rPr>
                <w:szCs w:val="21"/>
              </w:rPr>
            </w:pPr>
          </w:p>
        </w:tc>
        <w:tc>
          <w:tcPr>
            <w:tcW w:w="791" w:type="dxa"/>
            <w:vAlign w:val="center"/>
          </w:tcPr>
          <w:p w14:paraId="73E6FA58">
            <w:pPr>
              <w:widowControl w:val="0"/>
              <w:jc w:val="center"/>
              <w:textAlignment w:val="auto"/>
              <w:rPr>
                <w:szCs w:val="21"/>
              </w:rPr>
            </w:pPr>
          </w:p>
        </w:tc>
      </w:tr>
      <w:tr w14:paraId="4D07F28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31" w:hRule="atLeast"/>
          <w:jc w:val="center"/>
        </w:trPr>
        <w:tc>
          <w:tcPr>
            <w:tcW w:w="665" w:type="dxa"/>
            <w:vAlign w:val="center"/>
          </w:tcPr>
          <w:p w14:paraId="4255B7A4">
            <w:pPr>
              <w:widowControl w:val="0"/>
              <w:jc w:val="center"/>
              <w:textAlignment w:val="auto"/>
              <w:rPr>
                <w:szCs w:val="21"/>
              </w:rPr>
            </w:pPr>
          </w:p>
        </w:tc>
        <w:tc>
          <w:tcPr>
            <w:tcW w:w="1100" w:type="dxa"/>
            <w:vAlign w:val="center"/>
          </w:tcPr>
          <w:p w14:paraId="0D05BDEA">
            <w:pPr>
              <w:widowControl w:val="0"/>
              <w:jc w:val="center"/>
              <w:textAlignment w:val="auto"/>
              <w:rPr>
                <w:szCs w:val="21"/>
              </w:rPr>
            </w:pPr>
          </w:p>
        </w:tc>
        <w:tc>
          <w:tcPr>
            <w:tcW w:w="694" w:type="dxa"/>
            <w:vAlign w:val="center"/>
          </w:tcPr>
          <w:p w14:paraId="1C78C8CE">
            <w:pPr>
              <w:widowControl w:val="0"/>
              <w:jc w:val="center"/>
              <w:textAlignment w:val="auto"/>
              <w:rPr>
                <w:szCs w:val="21"/>
              </w:rPr>
            </w:pPr>
          </w:p>
        </w:tc>
        <w:tc>
          <w:tcPr>
            <w:tcW w:w="1056" w:type="dxa"/>
            <w:vAlign w:val="center"/>
          </w:tcPr>
          <w:p w14:paraId="4A2BD969">
            <w:pPr>
              <w:widowControl w:val="0"/>
              <w:jc w:val="center"/>
              <w:textAlignment w:val="auto"/>
              <w:rPr>
                <w:szCs w:val="21"/>
              </w:rPr>
            </w:pPr>
          </w:p>
        </w:tc>
        <w:tc>
          <w:tcPr>
            <w:tcW w:w="733" w:type="dxa"/>
            <w:vAlign w:val="center"/>
          </w:tcPr>
          <w:p w14:paraId="36F953A4">
            <w:pPr>
              <w:widowControl w:val="0"/>
              <w:jc w:val="center"/>
              <w:textAlignment w:val="auto"/>
              <w:rPr>
                <w:szCs w:val="21"/>
              </w:rPr>
            </w:pPr>
          </w:p>
        </w:tc>
        <w:tc>
          <w:tcPr>
            <w:tcW w:w="733" w:type="dxa"/>
            <w:vAlign w:val="center"/>
          </w:tcPr>
          <w:p w14:paraId="7FE00B2F">
            <w:pPr>
              <w:widowControl w:val="0"/>
              <w:jc w:val="center"/>
              <w:textAlignment w:val="auto"/>
              <w:rPr>
                <w:szCs w:val="21"/>
              </w:rPr>
            </w:pPr>
          </w:p>
        </w:tc>
        <w:tc>
          <w:tcPr>
            <w:tcW w:w="1215" w:type="dxa"/>
            <w:vAlign w:val="center"/>
          </w:tcPr>
          <w:p w14:paraId="409F1D0D">
            <w:pPr>
              <w:widowControl w:val="0"/>
              <w:jc w:val="center"/>
              <w:textAlignment w:val="auto"/>
              <w:rPr>
                <w:szCs w:val="21"/>
              </w:rPr>
            </w:pPr>
          </w:p>
        </w:tc>
        <w:tc>
          <w:tcPr>
            <w:tcW w:w="901" w:type="dxa"/>
            <w:vAlign w:val="center"/>
          </w:tcPr>
          <w:p w14:paraId="28A793A6">
            <w:pPr>
              <w:widowControl w:val="0"/>
              <w:jc w:val="center"/>
              <w:textAlignment w:val="auto"/>
              <w:rPr>
                <w:szCs w:val="21"/>
              </w:rPr>
            </w:pPr>
          </w:p>
        </w:tc>
        <w:tc>
          <w:tcPr>
            <w:tcW w:w="901" w:type="dxa"/>
            <w:vAlign w:val="center"/>
          </w:tcPr>
          <w:p w14:paraId="03C81EC4">
            <w:pPr>
              <w:widowControl w:val="0"/>
              <w:jc w:val="center"/>
              <w:textAlignment w:val="auto"/>
              <w:rPr>
                <w:szCs w:val="21"/>
              </w:rPr>
            </w:pPr>
          </w:p>
        </w:tc>
        <w:tc>
          <w:tcPr>
            <w:tcW w:w="791" w:type="dxa"/>
            <w:vAlign w:val="center"/>
          </w:tcPr>
          <w:p w14:paraId="6D6FC40C">
            <w:pPr>
              <w:widowControl w:val="0"/>
              <w:jc w:val="center"/>
              <w:textAlignment w:val="auto"/>
              <w:rPr>
                <w:szCs w:val="21"/>
              </w:rPr>
            </w:pPr>
          </w:p>
        </w:tc>
      </w:tr>
      <w:tr w14:paraId="0AF37FA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31" w:hRule="atLeast"/>
          <w:jc w:val="center"/>
        </w:trPr>
        <w:tc>
          <w:tcPr>
            <w:tcW w:w="665" w:type="dxa"/>
            <w:vAlign w:val="center"/>
          </w:tcPr>
          <w:p w14:paraId="6229342E">
            <w:pPr>
              <w:widowControl w:val="0"/>
              <w:jc w:val="center"/>
              <w:textAlignment w:val="auto"/>
              <w:rPr>
                <w:szCs w:val="21"/>
              </w:rPr>
            </w:pPr>
          </w:p>
        </w:tc>
        <w:tc>
          <w:tcPr>
            <w:tcW w:w="1100" w:type="dxa"/>
            <w:vAlign w:val="center"/>
          </w:tcPr>
          <w:p w14:paraId="4F20C836">
            <w:pPr>
              <w:widowControl w:val="0"/>
              <w:jc w:val="center"/>
              <w:textAlignment w:val="auto"/>
              <w:rPr>
                <w:szCs w:val="21"/>
              </w:rPr>
            </w:pPr>
          </w:p>
        </w:tc>
        <w:tc>
          <w:tcPr>
            <w:tcW w:w="694" w:type="dxa"/>
            <w:vAlign w:val="center"/>
          </w:tcPr>
          <w:p w14:paraId="58123E63">
            <w:pPr>
              <w:widowControl w:val="0"/>
              <w:jc w:val="center"/>
              <w:textAlignment w:val="auto"/>
              <w:rPr>
                <w:szCs w:val="21"/>
              </w:rPr>
            </w:pPr>
          </w:p>
        </w:tc>
        <w:tc>
          <w:tcPr>
            <w:tcW w:w="1056" w:type="dxa"/>
            <w:vAlign w:val="center"/>
          </w:tcPr>
          <w:p w14:paraId="5BF554ED">
            <w:pPr>
              <w:widowControl w:val="0"/>
              <w:jc w:val="center"/>
              <w:textAlignment w:val="auto"/>
              <w:rPr>
                <w:szCs w:val="21"/>
              </w:rPr>
            </w:pPr>
          </w:p>
        </w:tc>
        <w:tc>
          <w:tcPr>
            <w:tcW w:w="733" w:type="dxa"/>
            <w:vAlign w:val="center"/>
          </w:tcPr>
          <w:p w14:paraId="3F77D449">
            <w:pPr>
              <w:widowControl w:val="0"/>
              <w:jc w:val="center"/>
              <w:textAlignment w:val="auto"/>
              <w:rPr>
                <w:szCs w:val="21"/>
              </w:rPr>
            </w:pPr>
          </w:p>
        </w:tc>
        <w:tc>
          <w:tcPr>
            <w:tcW w:w="733" w:type="dxa"/>
            <w:vAlign w:val="center"/>
          </w:tcPr>
          <w:p w14:paraId="17A5B807">
            <w:pPr>
              <w:widowControl w:val="0"/>
              <w:jc w:val="center"/>
              <w:textAlignment w:val="auto"/>
              <w:rPr>
                <w:szCs w:val="21"/>
              </w:rPr>
            </w:pPr>
          </w:p>
        </w:tc>
        <w:tc>
          <w:tcPr>
            <w:tcW w:w="1215" w:type="dxa"/>
            <w:vAlign w:val="center"/>
          </w:tcPr>
          <w:p w14:paraId="365A5CCB">
            <w:pPr>
              <w:widowControl w:val="0"/>
              <w:jc w:val="center"/>
              <w:textAlignment w:val="auto"/>
              <w:rPr>
                <w:szCs w:val="21"/>
              </w:rPr>
            </w:pPr>
          </w:p>
        </w:tc>
        <w:tc>
          <w:tcPr>
            <w:tcW w:w="901" w:type="dxa"/>
            <w:vAlign w:val="center"/>
          </w:tcPr>
          <w:p w14:paraId="6FD8D295">
            <w:pPr>
              <w:widowControl w:val="0"/>
              <w:jc w:val="center"/>
              <w:textAlignment w:val="auto"/>
              <w:rPr>
                <w:szCs w:val="21"/>
              </w:rPr>
            </w:pPr>
          </w:p>
        </w:tc>
        <w:tc>
          <w:tcPr>
            <w:tcW w:w="901" w:type="dxa"/>
            <w:vAlign w:val="center"/>
          </w:tcPr>
          <w:p w14:paraId="202B17CA">
            <w:pPr>
              <w:widowControl w:val="0"/>
              <w:jc w:val="center"/>
              <w:textAlignment w:val="auto"/>
              <w:rPr>
                <w:szCs w:val="21"/>
              </w:rPr>
            </w:pPr>
          </w:p>
        </w:tc>
        <w:tc>
          <w:tcPr>
            <w:tcW w:w="791" w:type="dxa"/>
            <w:vAlign w:val="center"/>
          </w:tcPr>
          <w:p w14:paraId="0DD33D62">
            <w:pPr>
              <w:widowControl w:val="0"/>
              <w:jc w:val="center"/>
              <w:textAlignment w:val="auto"/>
              <w:rPr>
                <w:szCs w:val="21"/>
              </w:rPr>
            </w:pPr>
          </w:p>
        </w:tc>
      </w:tr>
      <w:tr w14:paraId="7A80EE7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31" w:hRule="atLeast"/>
          <w:jc w:val="center"/>
        </w:trPr>
        <w:tc>
          <w:tcPr>
            <w:tcW w:w="665" w:type="dxa"/>
            <w:vAlign w:val="center"/>
          </w:tcPr>
          <w:p w14:paraId="1656AA02">
            <w:pPr>
              <w:widowControl w:val="0"/>
              <w:jc w:val="center"/>
              <w:textAlignment w:val="auto"/>
              <w:rPr>
                <w:szCs w:val="21"/>
              </w:rPr>
            </w:pPr>
          </w:p>
        </w:tc>
        <w:tc>
          <w:tcPr>
            <w:tcW w:w="1100" w:type="dxa"/>
            <w:vAlign w:val="center"/>
          </w:tcPr>
          <w:p w14:paraId="6687C4CB">
            <w:pPr>
              <w:widowControl w:val="0"/>
              <w:jc w:val="center"/>
              <w:textAlignment w:val="auto"/>
              <w:rPr>
                <w:szCs w:val="21"/>
              </w:rPr>
            </w:pPr>
          </w:p>
        </w:tc>
        <w:tc>
          <w:tcPr>
            <w:tcW w:w="694" w:type="dxa"/>
            <w:vAlign w:val="center"/>
          </w:tcPr>
          <w:p w14:paraId="546BA222">
            <w:pPr>
              <w:widowControl w:val="0"/>
              <w:jc w:val="center"/>
              <w:textAlignment w:val="auto"/>
              <w:rPr>
                <w:szCs w:val="21"/>
              </w:rPr>
            </w:pPr>
          </w:p>
        </w:tc>
        <w:tc>
          <w:tcPr>
            <w:tcW w:w="1056" w:type="dxa"/>
            <w:vAlign w:val="center"/>
          </w:tcPr>
          <w:p w14:paraId="49731B96">
            <w:pPr>
              <w:widowControl w:val="0"/>
              <w:jc w:val="center"/>
              <w:textAlignment w:val="auto"/>
              <w:rPr>
                <w:szCs w:val="21"/>
              </w:rPr>
            </w:pPr>
          </w:p>
        </w:tc>
        <w:tc>
          <w:tcPr>
            <w:tcW w:w="733" w:type="dxa"/>
            <w:vAlign w:val="center"/>
          </w:tcPr>
          <w:p w14:paraId="72A5FBA6">
            <w:pPr>
              <w:widowControl w:val="0"/>
              <w:jc w:val="center"/>
              <w:textAlignment w:val="auto"/>
              <w:rPr>
                <w:szCs w:val="21"/>
              </w:rPr>
            </w:pPr>
          </w:p>
        </w:tc>
        <w:tc>
          <w:tcPr>
            <w:tcW w:w="733" w:type="dxa"/>
            <w:vAlign w:val="center"/>
          </w:tcPr>
          <w:p w14:paraId="1F0EAEA1">
            <w:pPr>
              <w:widowControl w:val="0"/>
              <w:jc w:val="center"/>
              <w:textAlignment w:val="auto"/>
              <w:rPr>
                <w:szCs w:val="21"/>
              </w:rPr>
            </w:pPr>
          </w:p>
        </w:tc>
        <w:tc>
          <w:tcPr>
            <w:tcW w:w="1215" w:type="dxa"/>
            <w:vAlign w:val="center"/>
          </w:tcPr>
          <w:p w14:paraId="27B9BA41">
            <w:pPr>
              <w:widowControl w:val="0"/>
              <w:jc w:val="center"/>
              <w:textAlignment w:val="auto"/>
              <w:rPr>
                <w:szCs w:val="21"/>
              </w:rPr>
            </w:pPr>
          </w:p>
        </w:tc>
        <w:tc>
          <w:tcPr>
            <w:tcW w:w="901" w:type="dxa"/>
            <w:vAlign w:val="center"/>
          </w:tcPr>
          <w:p w14:paraId="1509A2DB">
            <w:pPr>
              <w:widowControl w:val="0"/>
              <w:jc w:val="center"/>
              <w:textAlignment w:val="auto"/>
              <w:rPr>
                <w:szCs w:val="21"/>
              </w:rPr>
            </w:pPr>
          </w:p>
        </w:tc>
        <w:tc>
          <w:tcPr>
            <w:tcW w:w="901" w:type="dxa"/>
            <w:vAlign w:val="center"/>
          </w:tcPr>
          <w:p w14:paraId="3D7857C2">
            <w:pPr>
              <w:widowControl w:val="0"/>
              <w:jc w:val="center"/>
              <w:textAlignment w:val="auto"/>
              <w:rPr>
                <w:szCs w:val="21"/>
              </w:rPr>
            </w:pPr>
          </w:p>
        </w:tc>
        <w:tc>
          <w:tcPr>
            <w:tcW w:w="791" w:type="dxa"/>
            <w:vAlign w:val="center"/>
          </w:tcPr>
          <w:p w14:paraId="78759D9E">
            <w:pPr>
              <w:widowControl w:val="0"/>
              <w:jc w:val="center"/>
              <w:textAlignment w:val="auto"/>
              <w:rPr>
                <w:szCs w:val="21"/>
              </w:rPr>
            </w:pPr>
          </w:p>
        </w:tc>
      </w:tr>
      <w:tr w14:paraId="71138D7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31" w:hRule="atLeast"/>
          <w:jc w:val="center"/>
        </w:trPr>
        <w:tc>
          <w:tcPr>
            <w:tcW w:w="665" w:type="dxa"/>
            <w:vAlign w:val="center"/>
          </w:tcPr>
          <w:p w14:paraId="42E90F76">
            <w:pPr>
              <w:widowControl w:val="0"/>
              <w:jc w:val="center"/>
              <w:textAlignment w:val="auto"/>
              <w:rPr>
                <w:szCs w:val="21"/>
              </w:rPr>
            </w:pPr>
          </w:p>
        </w:tc>
        <w:tc>
          <w:tcPr>
            <w:tcW w:w="1100" w:type="dxa"/>
            <w:vAlign w:val="center"/>
          </w:tcPr>
          <w:p w14:paraId="0DC10D90">
            <w:pPr>
              <w:widowControl w:val="0"/>
              <w:jc w:val="center"/>
              <w:textAlignment w:val="auto"/>
              <w:rPr>
                <w:szCs w:val="21"/>
              </w:rPr>
            </w:pPr>
          </w:p>
        </w:tc>
        <w:tc>
          <w:tcPr>
            <w:tcW w:w="694" w:type="dxa"/>
            <w:vAlign w:val="center"/>
          </w:tcPr>
          <w:p w14:paraId="1AA52C65">
            <w:pPr>
              <w:widowControl w:val="0"/>
              <w:jc w:val="center"/>
              <w:textAlignment w:val="auto"/>
              <w:rPr>
                <w:szCs w:val="21"/>
              </w:rPr>
            </w:pPr>
          </w:p>
        </w:tc>
        <w:tc>
          <w:tcPr>
            <w:tcW w:w="1056" w:type="dxa"/>
            <w:vAlign w:val="center"/>
          </w:tcPr>
          <w:p w14:paraId="6CBB017A">
            <w:pPr>
              <w:widowControl w:val="0"/>
              <w:jc w:val="center"/>
              <w:textAlignment w:val="auto"/>
              <w:rPr>
                <w:szCs w:val="21"/>
              </w:rPr>
            </w:pPr>
          </w:p>
        </w:tc>
        <w:tc>
          <w:tcPr>
            <w:tcW w:w="733" w:type="dxa"/>
            <w:vAlign w:val="center"/>
          </w:tcPr>
          <w:p w14:paraId="280D7C14">
            <w:pPr>
              <w:widowControl w:val="0"/>
              <w:jc w:val="center"/>
              <w:textAlignment w:val="auto"/>
              <w:rPr>
                <w:szCs w:val="21"/>
              </w:rPr>
            </w:pPr>
          </w:p>
        </w:tc>
        <w:tc>
          <w:tcPr>
            <w:tcW w:w="733" w:type="dxa"/>
            <w:vAlign w:val="center"/>
          </w:tcPr>
          <w:p w14:paraId="2FF7DBC2">
            <w:pPr>
              <w:widowControl w:val="0"/>
              <w:jc w:val="center"/>
              <w:textAlignment w:val="auto"/>
              <w:rPr>
                <w:szCs w:val="21"/>
              </w:rPr>
            </w:pPr>
          </w:p>
        </w:tc>
        <w:tc>
          <w:tcPr>
            <w:tcW w:w="1215" w:type="dxa"/>
            <w:vAlign w:val="center"/>
          </w:tcPr>
          <w:p w14:paraId="55B5BF56">
            <w:pPr>
              <w:widowControl w:val="0"/>
              <w:jc w:val="center"/>
              <w:textAlignment w:val="auto"/>
              <w:rPr>
                <w:szCs w:val="21"/>
              </w:rPr>
            </w:pPr>
          </w:p>
        </w:tc>
        <w:tc>
          <w:tcPr>
            <w:tcW w:w="901" w:type="dxa"/>
            <w:vAlign w:val="center"/>
          </w:tcPr>
          <w:p w14:paraId="10661735">
            <w:pPr>
              <w:widowControl w:val="0"/>
              <w:jc w:val="center"/>
              <w:textAlignment w:val="auto"/>
              <w:rPr>
                <w:szCs w:val="21"/>
              </w:rPr>
            </w:pPr>
          </w:p>
        </w:tc>
        <w:tc>
          <w:tcPr>
            <w:tcW w:w="901" w:type="dxa"/>
            <w:vAlign w:val="center"/>
          </w:tcPr>
          <w:p w14:paraId="47FBB5D5">
            <w:pPr>
              <w:widowControl w:val="0"/>
              <w:jc w:val="center"/>
              <w:textAlignment w:val="auto"/>
              <w:rPr>
                <w:szCs w:val="21"/>
              </w:rPr>
            </w:pPr>
          </w:p>
        </w:tc>
        <w:tc>
          <w:tcPr>
            <w:tcW w:w="791" w:type="dxa"/>
            <w:vAlign w:val="center"/>
          </w:tcPr>
          <w:p w14:paraId="50BBD714">
            <w:pPr>
              <w:widowControl w:val="0"/>
              <w:jc w:val="center"/>
              <w:textAlignment w:val="auto"/>
              <w:rPr>
                <w:szCs w:val="21"/>
              </w:rPr>
            </w:pPr>
          </w:p>
        </w:tc>
      </w:tr>
      <w:tr w14:paraId="7BF7F66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31" w:hRule="atLeast"/>
          <w:jc w:val="center"/>
        </w:trPr>
        <w:tc>
          <w:tcPr>
            <w:tcW w:w="665" w:type="dxa"/>
            <w:vAlign w:val="center"/>
          </w:tcPr>
          <w:p w14:paraId="644C7C19">
            <w:pPr>
              <w:widowControl w:val="0"/>
              <w:jc w:val="center"/>
              <w:textAlignment w:val="auto"/>
              <w:rPr>
                <w:szCs w:val="21"/>
              </w:rPr>
            </w:pPr>
          </w:p>
        </w:tc>
        <w:tc>
          <w:tcPr>
            <w:tcW w:w="1100" w:type="dxa"/>
            <w:vAlign w:val="center"/>
          </w:tcPr>
          <w:p w14:paraId="317A3C3C">
            <w:pPr>
              <w:widowControl w:val="0"/>
              <w:jc w:val="center"/>
              <w:textAlignment w:val="auto"/>
              <w:rPr>
                <w:szCs w:val="21"/>
              </w:rPr>
            </w:pPr>
          </w:p>
        </w:tc>
        <w:tc>
          <w:tcPr>
            <w:tcW w:w="694" w:type="dxa"/>
            <w:vAlign w:val="center"/>
          </w:tcPr>
          <w:p w14:paraId="46070372">
            <w:pPr>
              <w:widowControl w:val="0"/>
              <w:jc w:val="center"/>
              <w:textAlignment w:val="auto"/>
              <w:rPr>
                <w:szCs w:val="21"/>
              </w:rPr>
            </w:pPr>
          </w:p>
        </w:tc>
        <w:tc>
          <w:tcPr>
            <w:tcW w:w="1056" w:type="dxa"/>
            <w:vAlign w:val="center"/>
          </w:tcPr>
          <w:p w14:paraId="1C07886A">
            <w:pPr>
              <w:widowControl w:val="0"/>
              <w:jc w:val="center"/>
              <w:textAlignment w:val="auto"/>
              <w:rPr>
                <w:szCs w:val="21"/>
              </w:rPr>
            </w:pPr>
          </w:p>
        </w:tc>
        <w:tc>
          <w:tcPr>
            <w:tcW w:w="733" w:type="dxa"/>
            <w:vAlign w:val="center"/>
          </w:tcPr>
          <w:p w14:paraId="4A6E160D">
            <w:pPr>
              <w:widowControl w:val="0"/>
              <w:jc w:val="center"/>
              <w:textAlignment w:val="auto"/>
              <w:rPr>
                <w:szCs w:val="21"/>
              </w:rPr>
            </w:pPr>
          </w:p>
        </w:tc>
        <w:tc>
          <w:tcPr>
            <w:tcW w:w="733" w:type="dxa"/>
            <w:vAlign w:val="center"/>
          </w:tcPr>
          <w:p w14:paraId="01A78F26">
            <w:pPr>
              <w:widowControl w:val="0"/>
              <w:jc w:val="center"/>
              <w:textAlignment w:val="auto"/>
              <w:rPr>
                <w:szCs w:val="21"/>
              </w:rPr>
            </w:pPr>
          </w:p>
        </w:tc>
        <w:tc>
          <w:tcPr>
            <w:tcW w:w="1215" w:type="dxa"/>
            <w:vAlign w:val="center"/>
          </w:tcPr>
          <w:p w14:paraId="5BA5EF33">
            <w:pPr>
              <w:widowControl w:val="0"/>
              <w:jc w:val="center"/>
              <w:textAlignment w:val="auto"/>
              <w:rPr>
                <w:szCs w:val="21"/>
              </w:rPr>
            </w:pPr>
          </w:p>
        </w:tc>
        <w:tc>
          <w:tcPr>
            <w:tcW w:w="901" w:type="dxa"/>
            <w:vAlign w:val="center"/>
          </w:tcPr>
          <w:p w14:paraId="258240FD">
            <w:pPr>
              <w:widowControl w:val="0"/>
              <w:jc w:val="center"/>
              <w:textAlignment w:val="auto"/>
              <w:rPr>
                <w:szCs w:val="21"/>
              </w:rPr>
            </w:pPr>
          </w:p>
        </w:tc>
        <w:tc>
          <w:tcPr>
            <w:tcW w:w="901" w:type="dxa"/>
            <w:vAlign w:val="center"/>
          </w:tcPr>
          <w:p w14:paraId="39014FC6">
            <w:pPr>
              <w:widowControl w:val="0"/>
              <w:jc w:val="center"/>
              <w:textAlignment w:val="auto"/>
              <w:rPr>
                <w:szCs w:val="21"/>
              </w:rPr>
            </w:pPr>
          </w:p>
        </w:tc>
        <w:tc>
          <w:tcPr>
            <w:tcW w:w="791" w:type="dxa"/>
            <w:vAlign w:val="center"/>
          </w:tcPr>
          <w:p w14:paraId="3562AE29">
            <w:pPr>
              <w:widowControl w:val="0"/>
              <w:jc w:val="center"/>
              <w:textAlignment w:val="auto"/>
              <w:rPr>
                <w:szCs w:val="21"/>
              </w:rPr>
            </w:pPr>
          </w:p>
        </w:tc>
      </w:tr>
      <w:tr w14:paraId="7AA1732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31" w:hRule="atLeast"/>
          <w:jc w:val="center"/>
        </w:trPr>
        <w:tc>
          <w:tcPr>
            <w:tcW w:w="665" w:type="dxa"/>
            <w:vAlign w:val="center"/>
          </w:tcPr>
          <w:p w14:paraId="2AFEB46D">
            <w:pPr>
              <w:widowControl w:val="0"/>
              <w:jc w:val="center"/>
              <w:textAlignment w:val="auto"/>
              <w:rPr>
                <w:szCs w:val="21"/>
              </w:rPr>
            </w:pPr>
          </w:p>
        </w:tc>
        <w:tc>
          <w:tcPr>
            <w:tcW w:w="1100" w:type="dxa"/>
            <w:vAlign w:val="center"/>
          </w:tcPr>
          <w:p w14:paraId="18F3F2C0">
            <w:pPr>
              <w:widowControl w:val="0"/>
              <w:jc w:val="center"/>
              <w:textAlignment w:val="auto"/>
              <w:rPr>
                <w:szCs w:val="21"/>
              </w:rPr>
            </w:pPr>
          </w:p>
        </w:tc>
        <w:tc>
          <w:tcPr>
            <w:tcW w:w="694" w:type="dxa"/>
            <w:vAlign w:val="center"/>
          </w:tcPr>
          <w:p w14:paraId="2B58AABB">
            <w:pPr>
              <w:widowControl w:val="0"/>
              <w:jc w:val="center"/>
              <w:textAlignment w:val="auto"/>
              <w:rPr>
                <w:szCs w:val="21"/>
              </w:rPr>
            </w:pPr>
          </w:p>
        </w:tc>
        <w:tc>
          <w:tcPr>
            <w:tcW w:w="1056" w:type="dxa"/>
            <w:vAlign w:val="center"/>
          </w:tcPr>
          <w:p w14:paraId="26A875F0">
            <w:pPr>
              <w:widowControl w:val="0"/>
              <w:jc w:val="center"/>
              <w:textAlignment w:val="auto"/>
              <w:rPr>
                <w:szCs w:val="21"/>
              </w:rPr>
            </w:pPr>
          </w:p>
        </w:tc>
        <w:tc>
          <w:tcPr>
            <w:tcW w:w="733" w:type="dxa"/>
            <w:vAlign w:val="center"/>
          </w:tcPr>
          <w:p w14:paraId="10FD2CFE">
            <w:pPr>
              <w:widowControl w:val="0"/>
              <w:jc w:val="center"/>
              <w:textAlignment w:val="auto"/>
              <w:rPr>
                <w:szCs w:val="21"/>
              </w:rPr>
            </w:pPr>
          </w:p>
        </w:tc>
        <w:tc>
          <w:tcPr>
            <w:tcW w:w="733" w:type="dxa"/>
            <w:vAlign w:val="center"/>
          </w:tcPr>
          <w:p w14:paraId="5FAF4165">
            <w:pPr>
              <w:widowControl w:val="0"/>
              <w:jc w:val="center"/>
              <w:textAlignment w:val="auto"/>
              <w:rPr>
                <w:szCs w:val="21"/>
              </w:rPr>
            </w:pPr>
          </w:p>
        </w:tc>
        <w:tc>
          <w:tcPr>
            <w:tcW w:w="1215" w:type="dxa"/>
            <w:vAlign w:val="center"/>
          </w:tcPr>
          <w:p w14:paraId="1648B518">
            <w:pPr>
              <w:widowControl w:val="0"/>
              <w:jc w:val="center"/>
              <w:textAlignment w:val="auto"/>
              <w:rPr>
                <w:szCs w:val="21"/>
              </w:rPr>
            </w:pPr>
          </w:p>
        </w:tc>
        <w:tc>
          <w:tcPr>
            <w:tcW w:w="901" w:type="dxa"/>
            <w:vAlign w:val="center"/>
          </w:tcPr>
          <w:p w14:paraId="3A1FE993">
            <w:pPr>
              <w:widowControl w:val="0"/>
              <w:jc w:val="center"/>
              <w:textAlignment w:val="auto"/>
              <w:rPr>
                <w:szCs w:val="21"/>
              </w:rPr>
            </w:pPr>
          </w:p>
        </w:tc>
        <w:tc>
          <w:tcPr>
            <w:tcW w:w="901" w:type="dxa"/>
            <w:vAlign w:val="center"/>
          </w:tcPr>
          <w:p w14:paraId="07EF3F83">
            <w:pPr>
              <w:widowControl w:val="0"/>
              <w:jc w:val="center"/>
              <w:textAlignment w:val="auto"/>
              <w:rPr>
                <w:szCs w:val="21"/>
              </w:rPr>
            </w:pPr>
          </w:p>
        </w:tc>
        <w:tc>
          <w:tcPr>
            <w:tcW w:w="791" w:type="dxa"/>
            <w:vAlign w:val="center"/>
          </w:tcPr>
          <w:p w14:paraId="2BAC51A0">
            <w:pPr>
              <w:widowControl w:val="0"/>
              <w:jc w:val="center"/>
              <w:textAlignment w:val="auto"/>
              <w:rPr>
                <w:szCs w:val="21"/>
              </w:rPr>
            </w:pPr>
          </w:p>
        </w:tc>
      </w:tr>
      <w:tr w14:paraId="3DD927F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31" w:hRule="atLeast"/>
          <w:jc w:val="center"/>
        </w:trPr>
        <w:tc>
          <w:tcPr>
            <w:tcW w:w="665" w:type="dxa"/>
            <w:vAlign w:val="center"/>
          </w:tcPr>
          <w:p w14:paraId="669A7FBB">
            <w:pPr>
              <w:widowControl w:val="0"/>
              <w:jc w:val="center"/>
              <w:textAlignment w:val="auto"/>
              <w:rPr>
                <w:szCs w:val="21"/>
              </w:rPr>
            </w:pPr>
          </w:p>
        </w:tc>
        <w:tc>
          <w:tcPr>
            <w:tcW w:w="1100" w:type="dxa"/>
            <w:vAlign w:val="center"/>
          </w:tcPr>
          <w:p w14:paraId="5BA5E246">
            <w:pPr>
              <w:widowControl w:val="0"/>
              <w:jc w:val="center"/>
              <w:textAlignment w:val="auto"/>
              <w:rPr>
                <w:szCs w:val="21"/>
              </w:rPr>
            </w:pPr>
          </w:p>
        </w:tc>
        <w:tc>
          <w:tcPr>
            <w:tcW w:w="694" w:type="dxa"/>
            <w:vAlign w:val="center"/>
          </w:tcPr>
          <w:p w14:paraId="2C31AA3D">
            <w:pPr>
              <w:widowControl w:val="0"/>
              <w:jc w:val="center"/>
              <w:textAlignment w:val="auto"/>
              <w:rPr>
                <w:szCs w:val="21"/>
              </w:rPr>
            </w:pPr>
          </w:p>
        </w:tc>
        <w:tc>
          <w:tcPr>
            <w:tcW w:w="1056" w:type="dxa"/>
            <w:vAlign w:val="center"/>
          </w:tcPr>
          <w:p w14:paraId="0A9B6F40">
            <w:pPr>
              <w:widowControl w:val="0"/>
              <w:jc w:val="center"/>
              <w:textAlignment w:val="auto"/>
              <w:rPr>
                <w:szCs w:val="21"/>
              </w:rPr>
            </w:pPr>
          </w:p>
        </w:tc>
        <w:tc>
          <w:tcPr>
            <w:tcW w:w="733" w:type="dxa"/>
            <w:vAlign w:val="center"/>
          </w:tcPr>
          <w:p w14:paraId="16CFA65D">
            <w:pPr>
              <w:widowControl w:val="0"/>
              <w:jc w:val="center"/>
              <w:textAlignment w:val="auto"/>
              <w:rPr>
                <w:szCs w:val="21"/>
              </w:rPr>
            </w:pPr>
          </w:p>
        </w:tc>
        <w:tc>
          <w:tcPr>
            <w:tcW w:w="733" w:type="dxa"/>
            <w:vAlign w:val="center"/>
          </w:tcPr>
          <w:p w14:paraId="2EDE0986">
            <w:pPr>
              <w:widowControl w:val="0"/>
              <w:jc w:val="center"/>
              <w:textAlignment w:val="auto"/>
              <w:rPr>
                <w:szCs w:val="21"/>
              </w:rPr>
            </w:pPr>
          </w:p>
        </w:tc>
        <w:tc>
          <w:tcPr>
            <w:tcW w:w="1215" w:type="dxa"/>
            <w:vAlign w:val="center"/>
          </w:tcPr>
          <w:p w14:paraId="77E0580D">
            <w:pPr>
              <w:widowControl w:val="0"/>
              <w:jc w:val="center"/>
              <w:textAlignment w:val="auto"/>
              <w:rPr>
                <w:szCs w:val="21"/>
              </w:rPr>
            </w:pPr>
          </w:p>
        </w:tc>
        <w:tc>
          <w:tcPr>
            <w:tcW w:w="901" w:type="dxa"/>
            <w:vAlign w:val="center"/>
          </w:tcPr>
          <w:p w14:paraId="04501B28">
            <w:pPr>
              <w:widowControl w:val="0"/>
              <w:jc w:val="center"/>
              <w:textAlignment w:val="auto"/>
              <w:rPr>
                <w:szCs w:val="21"/>
              </w:rPr>
            </w:pPr>
          </w:p>
        </w:tc>
        <w:tc>
          <w:tcPr>
            <w:tcW w:w="901" w:type="dxa"/>
            <w:vAlign w:val="center"/>
          </w:tcPr>
          <w:p w14:paraId="6C8D597D">
            <w:pPr>
              <w:widowControl w:val="0"/>
              <w:jc w:val="center"/>
              <w:textAlignment w:val="auto"/>
              <w:rPr>
                <w:szCs w:val="21"/>
              </w:rPr>
            </w:pPr>
          </w:p>
        </w:tc>
        <w:tc>
          <w:tcPr>
            <w:tcW w:w="791" w:type="dxa"/>
            <w:vAlign w:val="center"/>
          </w:tcPr>
          <w:p w14:paraId="39E8F380">
            <w:pPr>
              <w:widowControl w:val="0"/>
              <w:jc w:val="center"/>
              <w:textAlignment w:val="auto"/>
              <w:rPr>
                <w:szCs w:val="21"/>
              </w:rPr>
            </w:pPr>
          </w:p>
        </w:tc>
      </w:tr>
      <w:tr w14:paraId="7C4479B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31" w:hRule="atLeast"/>
          <w:jc w:val="center"/>
        </w:trPr>
        <w:tc>
          <w:tcPr>
            <w:tcW w:w="665" w:type="dxa"/>
            <w:vAlign w:val="center"/>
          </w:tcPr>
          <w:p w14:paraId="4BB023EF">
            <w:pPr>
              <w:widowControl w:val="0"/>
              <w:jc w:val="center"/>
              <w:textAlignment w:val="auto"/>
              <w:rPr>
                <w:szCs w:val="21"/>
              </w:rPr>
            </w:pPr>
          </w:p>
        </w:tc>
        <w:tc>
          <w:tcPr>
            <w:tcW w:w="1100" w:type="dxa"/>
            <w:vAlign w:val="center"/>
          </w:tcPr>
          <w:p w14:paraId="6D64EB9E">
            <w:pPr>
              <w:widowControl w:val="0"/>
              <w:jc w:val="center"/>
              <w:textAlignment w:val="auto"/>
              <w:rPr>
                <w:szCs w:val="21"/>
              </w:rPr>
            </w:pPr>
          </w:p>
        </w:tc>
        <w:tc>
          <w:tcPr>
            <w:tcW w:w="694" w:type="dxa"/>
            <w:vAlign w:val="center"/>
          </w:tcPr>
          <w:p w14:paraId="42011CE5">
            <w:pPr>
              <w:widowControl w:val="0"/>
              <w:jc w:val="center"/>
              <w:textAlignment w:val="auto"/>
              <w:rPr>
                <w:szCs w:val="21"/>
              </w:rPr>
            </w:pPr>
          </w:p>
        </w:tc>
        <w:tc>
          <w:tcPr>
            <w:tcW w:w="1056" w:type="dxa"/>
            <w:vAlign w:val="center"/>
          </w:tcPr>
          <w:p w14:paraId="2BDAF4C2">
            <w:pPr>
              <w:widowControl w:val="0"/>
              <w:jc w:val="center"/>
              <w:textAlignment w:val="auto"/>
              <w:rPr>
                <w:szCs w:val="21"/>
              </w:rPr>
            </w:pPr>
          </w:p>
        </w:tc>
        <w:tc>
          <w:tcPr>
            <w:tcW w:w="733" w:type="dxa"/>
            <w:vAlign w:val="center"/>
          </w:tcPr>
          <w:p w14:paraId="58EBE295">
            <w:pPr>
              <w:widowControl w:val="0"/>
              <w:jc w:val="center"/>
              <w:textAlignment w:val="auto"/>
              <w:rPr>
                <w:szCs w:val="21"/>
              </w:rPr>
            </w:pPr>
          </w:p>
        </w:tc>
        <w:tc>
          <w:tcPr>
            <w:tcW w:w="733" w:type="dxa"/>
            <w:vAlign w:val="center"/>
          </w:tcPr>
          <w:p w14:paraId="50B72865">
            <w:pPr>
              <w:widowControl w:val="0"/>
              <w:jc w:val="center"/>
              <w:textAlignment w:val="auto"/>
              <w:rPr>
                <w:szCs w:val="21"/>
              </w:rPr>
            </w:pPr>
          </w:p>
        </w:tc>
        <w:tc>
          <w:tcPr>
            <w:tcW w:w="1215" w:type="dxa"/>
            <w:vAlign w:val="center"/>
          </w:tcPr>
          <w:p w14:paraId="52D00D07">
            <w:pPr>
              <w:widowControl w:val="0"/>
              <w:jc w:val="center"/>
              <w:textAlignment w:val="auto"/>
              <w:rPr>
                <w:szCs w:val="21"/>
              </w:rPr>
            </w:pPr>
          </w:p>
        </w:tc>
        <w:tc>
          <w:tcPr>
            <w:tcW w:w="901" w:type="dxa"/>
            <w:vAlign w:val="center"/>
          </w:tcPr>
          <w:p w14:paraId="0CACFB38">
            <w:pPr>
              <w:widowControl w:val="0"/>
              <w:jc w:val="center"/>
              <w:textAlignment w:val="auto"/>
              <w:rPr>
                <w:szCs w:val="21"/>
              </w:rPr>
            </w:pPr>
          </w:p>
        </w:tc>
        <w:tc>
          <w:tcPr>
            <w:tcW w:w="901" w:type="dxa"/>
            <w:vAlign w:val="center"/>
          </w:tcPr>
          <w:p w14:paraId="50F942F9">
            <w:pPr>
              <w:widowControl w:val="0"/>
              <w:jc w:val="center"/>
              <w:textAlignment w:val="auto"/>
              <w:rPr>
                <w:szCs w:val="21"/>
              </w:rPr>
            </w:pPr>
          </w:p>
        </w:tc>
        <w:tc>
          <w:tcPr>
            <w:tcW w:w="791" w:type="dxa"/>
            <w:vAlign w:val="center"/>
          </w:tcPr>
          <w:p w14:paraId="2BD92179">
            <w:pPr>
              <w:widowControl w:val="0"/>
              <w:jc w:val="center"/>
              <w:textAlignment w:val="auto"/>
              <w:rPr>
                <w:szCs w:val="21"/>
              </w:rPr>
            </w:pPr>
          </w:p>
        </w:tc>
      </w:tr>
      <w:tr w14:paraId="022B994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31" w:hRule="atLeast"/>
          <w:jc w:val="center"/>
        </w:trPr>
        <w:tc>
          <w:tcPr>
            <w:tcW w:w="665" w:type="dxa"/>
            <w:vAlign w:val="center"/>
          </w:tcPr>
          <w:p w14:paraId="2715D5C5">
            <w:pPr>
              <w:widowControl w:val="0"/>
              <w:jc w:val="center"/>
              <w:textAlignment w:val="auto"/>
              <w:rPr>
                <w:szCs w:val="21"/>
              </w:rPr>
            </w:pPr>
          </w:p>
        </w:tc>
        <w:tc>
          <w:tcPr>
            <w:tcW w:w="1100" w:type="dxa"/>
            <w:vAlign w:val="center"/>
          </w:tcPr>
          <w:p w14:paraId="2F53AABE">
            <w:pPr>
              <w:widowControl w:val="0"/>
              <w:jc w:val="center"/>
              <w:textAlignment w:val="auto"/>
              <w:rPr>
                <w:szCs w:val="21"/>
              </w:rPr>
            </w:pPr>
          </w:p>
        </w:tc>
        <w:tc>
          <w:tcPr>
            <w:tcW w:w="694" w:type="dxa"/>
            <w:vAlign w:val="center"/>
          </w:tcPr>
          <w:p w14:paraId="2B9258AB">
            <w:pPr>
              <w:widowControl w:val="0"/>
              <w:jc w:val="center"/>
              <w:textAlignment w:val="auto"/>
              <w:rPr>
                <w:szCs w:val="21"/>
              </w:rPr>
            </w:pPr>
          </w:p>
        </w:tc>
        <w:tc>
          <w:tcPr>
            <w:tcW w:w="1056" w:type="dxa"/>
            <w:vAlign w:val="center"/>
          </w:tcPr>
          <w:p w14:paraId="69F01A09">
            <w:pPr>
              <w:widowControl w:val="0"/>
              <w:jc w:val="center"/>
              <w:textAlignment w:val="auto"/>
              <w:rPr>
                <w:szCs w:val="21"/>
              </w:rPr>
            </w:pPr>
          </w:p>
        </w:tc>
        <w:tc>
          <w:tcPr>
            <w:tcW w:w="733" w:type="dxa"/>
            <w:vAlign w:val="center"/>
          </w:tcPr>
          <w:p w14:paraId="190043E9">
            <w:pPr>
              <w:widowControl w:val="0"/>
              <w:jc w:val="center"/>
              <w:textAlignment w:val="auto"/>
              <w:rPr>
                <w:szCs w:val="21"/>
              </w:rPr>
            </w:pPr>
          </w:p>
        </w:tc>
        <w:tc>
          <w:tcPr>
            <w:tcW w:w="733" w:type="dxa"/>
            <w:vAlign w:val="center"/>
          </w:tcPr>
          <w:p w14:paraId="59C3D9C2">
            <w:pPr>
              <w:widowControl w:val="0"/>
              <w:jc w:val="center"/>
              <w:textAlignment w:val="auto"/>
              <w:rPr>
                <w:szCs w:val="21"/>
              </w:rPr>
            </w:pPr>
          </w:p>
        </w:tc>
        <w:tc>
          <w:tcPr>
            <w:tcW w:w="1215" w:type="dxa"/>
            <w:vAlign w:val="center"/>
          </w:tcPr>
          <w:p w14:paraId="7FC0A509">
            <w:pPr>
              <w:widowControl w:val="0"/>
              <w:jc w:val="center"/>
              <w:textAlignment w:val="auto"/>
              <w:rPr>
                <w:szCs w:val="21"/>
              </w:rPr>
            </w:pPr>
          </w:p>
        </w:tc>
        <w:tc>
          <w:tcPr>
            <w:tcW w:w="901" w:type="dxa"/>
            <w:vAlign w:val="center"/>
          </w:tcPr>
          <w:p w14:paraId="585F724B">
            <w:pPr>
              <w:widowControl w:val="0"/>
              <w:jc w:val="center"/>
              <w:textAlignment w:val="auto"/>
              <w:rPr>
                <w:szCs w:val="21"/>
              </w:rPr>
            </w:pPr>
          </w:p>
        </w:tc>
        <w:tc>
          <w:tcPr>
            <w:tcW w:w="901" w:type="dxa"/>
            <w:vAlign w:val="center"/>
          </w:tcPr>
          <w:p w14:paraId="7CAB81F0">
            <w:pPr>
              <w:widowControl w:val="0"/>
              <w:jc w:val="center"/>
              <w:textAlignment w:val="auto"/>
              <w:rPr>
                <w:szCs w:val="21"/>
              </w:rPr>
            </w:pPr>
          </w:p>
        </w:tc>
        <w:tc>
          <w:tcPr>
            <w:tcW w:w="791" w:type="dxa"/>
            <w:vAlign w:val="center"/>
          </w:tcPr>
          <w:p w14:paraId="03F4324D">
            <w:pPr>
              <w:widowControl w:val="0"/>
              <w:jc w:val="center"/>
              <w:textAlignment w:val="auto"/>
              <w:rPr>
                <w:szCs w:val="21"/>
              </w:rPr>
            </w:pPr>
          </w:p>
        </w:tc>
      </w:tr>
      <w:tr w14:paraId="1E6AD55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31" w:hRule="atLeast"/>
          <w:jc w:val="center"/>
        </w:trPr>
        <w:tc>
          <w:tcPr>
            <w:tcW w:w="665" w:type="dxa"/>
            <w:vAlign w:val="center"/>
          </w:tcPr>
          <w:p w14:paraId="4B58ED76">
            <w:pPr>
              <w:widowControl w:val="0"/>
              <w:jc w:val="center"/>
              <w:textAlignment w:val="auto"/>
              <w:rPr>
                <w:szCs w:val="21"/>
              </w:rPr>
            </w:pPr>
          </w:p>
        </w:tc>
        <w:tc>
          <w:tcPr>
            <w:tcW w:w="1100" w:type="dxa"/>
            <w:vAlign w:val="center"/>
          </w:tcPr>
          <w:p w14:paraId="68B28318">
            <w:pPr>
              <w:widowControl w:val="0"/>
              <w:jc w:val="center"/>
              <w:textAlignment w:val="auto"/>
              <w:rPr>
                <w:szCs w:val="21"/>
              </w:rPr>
            </w:pPr>
          </w:p>
        </w:tc>
        <w:tc>
          <w:tcPr>
            <w:tcW w:w="694" w:type="dxa"/>
            <w:vAlign w:val="center"/>
          </w:tcPr>
          <w:p w14:paraId="2AC0BB14">
            <w:pPr>
              <w:widowControl w:val="0"/>
              <w:jc w:val="center"/>
              <w:textAlignment w:val="auto"/>
              <w:rPr>
                <w:szCs w:val="21"/>
              </w:rPr>
            </w:pPr>
          </w:p>
        </w:tc>
        <w:tc>
          <w:tcPr>
            <w:tcW w:w="1056" w:type="dxa"/>
            <w:vAlign w:val="center"/>
          </w:tcPr>
          <w:p w14:paraId="46E72766">
            <w:pPr>
              <w:widowControl w:val="0"/>
              <w:jc w:val="center"/>
              <w:textAlignment w:val="auto"/>
              <w:rPr>
                <w:szCs w:val="21"/>
              </w:rPr>
            </w:pPr>
          </w:p>
        </w:tc>
        <w:tc>
          <w:tcPr>
            <w:tcW w:w="733" w:type="dxa"/>
            <w:vAlign w:val="center"/>
          </w:tcPr>
          <w:p w14:paraId="1C9FBDD4">
            <w:pPr>
              <w:widowControl w:val="0"/>
              <w:jc w:val="center"/>
              <w:textAlignment w:val="auto"/>
              <w:rPr>
                <w:szCs w:val="21"/>
              </w:rPr>
            </w:pPr>
          </w:p>
        </w:tc>
        <w:tc>
          <w:tcPr>
            <w:tcW w:w="733" w:type="dxa"/>
            <w:vAlign w:val="center"/>
          </w:tcPr>
          <w:p w14:paraId="33403A5C">
            <w:pPr>
              <w:widowControl w:val="0"/>
              <w:jc w:val="center"/>
              <w:textAlignment w:val="auto"/>
              <w:rPr>
                <w:szCs w:val="21"/>
              </w:rPr>
            </w:pPr>
          </w:p>
        </w:tc>
        <w:tc>
          <w:tcPr>
            <w:tcW w:w="1215" w:type="dxa"/>
            <w:vAlign w:val="center"/>
          </w:tcPr>
          <w:p w14:paraId="6EBC5B58">
            <w:pPr>
              <w:widowControl w:val="0"/>
              <w:jc w:val="center"/>
              <w:textAlignment w:val="auto"/>
              <w:rPr>
                <w:szCs w:val="21"/>
              </w:rPr>
            </w:pPr>
          </w:p>
        </w:tc>
        <w:tc>
          <w:tcPr>
            <w:tcW w:w="901" w:type="dxa"/>
            <w:vAlign w:val="center"/>
          </w:tcPr>
          <w:p w14:paraId="2762E34C">
            <w:pPr>
              <w:widowControl w:val="0"/>
              <w:jc w:val="center"/>
              <w:textAlignment w:val="auto"/>
              <w:rPr>
                <w:szCs w:val="21"/>
              </w:rPr>
            </w:pPr>
          </w:p>
        </w:tc>
        <w:tc>
          <w:tcPr>
            <w:tcW w:w="901" w:type="dxa"/>
            <w:vAlign w:val="center"/>
          </w:tcPr>
          <w:p w14:paraId="3144DA44">
            <w:pPr>
              <w:widowControl w:val="0"/>
              <w:jc w:val="center"/>
              <w:textAlignment w:val="auto"/>
              <w:rPr>
                <w:szCs w:val="21"/>
              </w:rPr>
            </w:pPr>
          </w:p>
        </w:tc>
        <w:tc>
          <w:tcPr>
            <w:tcW w:w="791" w:type="dxa"/>
            <w:vAlign w:val="center"/>
          </w:tcPr>
          <w:p w14:paraId="61FB88B0">
            <w:pPr>
              <w:widowControl w:val="0"/>
              <w:jc w:val="center"/>
              <w:textAlignment w:val="auto"/>
              <w:rPr>
                <w:szCs w:val="21"/>
              </w:rPr>
            </w:pPr>
          </w:p>
        </w:tc>
      </w:tr>
      <w:tr w14:paraId="2172567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31" w:hRule="atLeast"/>
          <w:jc w:val="center"/>
        </w:trPr>
        <w:tc>
          <w:tcPr>
            <w:tcW w:w="665" w:type="dxa"/>
            <w:vAlign w:val="center"/>
          </w:tcPr>
          <w:p w14:paraId="2CBEED66">
            <w:pPr>
              <w:widowControl w:val="0"/>
              <w:jc w:val="center"/>
              <w:textAlignment w:val="auto"/>
              <w:rPr>
                <w:szCs w:val="21"/>
              </w:rPr>
            </w:pPr>
          </w:p>
        </w:tc>
        <w:tc>
          <w:tcPr>
            <w:tcW w:w="1100" w:type="dxa"/>
            <w:vAlign w:val="center"/>
          </w:tcPr>
          <w:p w14:paraId="1F4629C1">
            <w:pPr>
              <w:widowControl w:val="0"/>
              <w:jc w:val="center"/>
              <w:textAlignment w:val="auto"/>
              <w:rPr>
                <w:szCs w:val="21"/>
              </w:rPr>
            </w:pPr>
          </w:p>
        </w:tc>
        <w:tc>
          <w:tcPr>
            <w:tcW w:w="694" w:type="dxa"/>
            <w:vAlign w:val="center"/>
          </w:tcPr>
          <w:p w14:paraId="5B0E6B0F">
            <w:pPr>
              <w:widowControl w:val="0"/>
              <w:jc w:val="center"/>
              <w:textAlignment w:val="auto"/>
              <w:rPr>
                <w:szCs w:val="21"/>
              </w:rPr>
            </w:pPr>
          </w:p>
        </w:tc>
        <w:tc>
          <w:tcPr>
            <w:tcW w:w="1056" w:type="dxa"/>
            <w:vAlign w:val="center"/>
          </w:tcPr>
          <w:p w14:paraId="6E450DFC">
            <w:pPr>
              <w:widowControl w:val="0"/>
              <w:jc w:val="center"/>
              <w:textAlignment w:val="auto"/>
              <w:rPr>
                <w:szCs w:val="21"/>
              </w:rPr>
            </w:pPr>
          </w:p>
        </w:tc>
        <w:tc>
          <w:tcPr>
            <w:tcW w:w="733" w:type="dxa"/>
            <w:vAlign w:val="center"/>
          </w:tcPr>
          <w:p w14:paraId="11E5BF39">
            <w:pPr>
              <w:widowControl w:val="0"/>
              <w:jc w:val="center"/>
              <w:textAlignment w:val="auto"/>
              <w:rPr>
                <w:szCs w:val="21"/>
              </w:rPr>
            </w:pPr>
          </w:p>
        </w:tc>
        <w:tc>
          <w:tcPr>
            <w:tcW w:w="733" w:type="dxa"/>
            <w:vAlign w:val="center"/>
          </w:tcPr>
          <w:p w14:paraId="33F6E238">
            <w:pPr>
              <w:widowControl w:val="0"/>
              <w:jc w:val="center"/>
              <w:textAlignment w:val="auto"/>
              <w:rPr>
                <w:szCs w:val="21"/>
              </w:rPr>
            </w:pPr>
          </w:p>
        </w:tc>
        <w:tc>
          <w:tcPr>
            <w:tcW w:w="1215" w:type="dxa"/>
            <w:vAlign w:val="center"/>
          </w:tcPr>
          <w:p w14:paraId="2A68D049">
            <w:pPr>
              <w:widowControl w:val="0"/>
              <w:jc w:val="center"/>
              <w:textAlignment w:val="auto"/>
              <w:rPr>
                <w:szCs w:val="21"/>
              </w:rPr>
            </w:pPr>
          </w:p>
        </w:tc>
        <w:tc>
          <w:tcPr>
            <w:tcW w:w="901" w:type="dxa"/>
            <w:vAlign w:val="center"/>
          </w:tcPr>
          <w:p w14:paraId="43CCB6DF">
            <w:pPr>
              <w:widowControl w:val="0"/>
              <w:jc w:val="center"/>
              <w:textAlignment w:val="auto"/>
              <w:rPr>
                <w:szCs w:val="21"/>
              </w:rPr>
            </w:pPr>
          </w:p>
        </w:tc>
        <w:tc>
          <w:tcPr>
            <w:tcW w:w="901" w:type="dxa"/>
            <w:vAlign w:val="center"/>
          </w:tcPr>
          <w:p w14:paraId="7F431F68">
            <w:pPr>
              <w:widowControl w:val="0"/>
              <w:jc w:val="center"/>
              <w:textAlignment w:val="auto"/>
              <w:rPr>
                <w:szCs w:val="21"/>
              </w:rPr>
            </w:pPr>
          </w:p>
        </w:tc>
        <w:tc>
          <w:tcPr>
            <w:tcW w:w="791" w:type="dxa"/>
            <w:vAlign w:val="center"/>
          </w:tcPr>
          <w:p w14:paraId="7ACEEB16">
            <w:pPr>
              <w:widowControl w:val="0"/>
              <w:jc w:val="center"/>
              <w:textAlignment w:val="auto"/>
              <w:rPr>
                <w:szCs w:val="21"/>
              </w:rPr>
            </w:pPr>
          </w:p>
        </w:tc>
      </w:tr>
      <w:tr w14:paraId="27C1EFC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31" w:hRule="atLeast"/>
          <w:jc w:val="center"/>
        </w:trPr>
        <w:tc>
          <w:tcPr>
            <w:tcW w:w="665" w:type="dxa"/>
            <w:vAlign w:val="center"/>
          </w:tcPr>
          <w:p w14:paraId="0BC46070">
            <w:pPr>
              <w:widowControl w:val="0"/>
              <w:jc w:val="center"/>
              <w:textAlignment w:val="auto"/>
              <w:rPr>
                <w:szCs w:val="21"/>
              </w:rPr>
            </w:pPr>
          </w:p>
        </w:tc>
        <w:tc>
          <w:tcPr>
            <w:tcW w:w="1100" w:type="dxa"/>
            <w:vAlign w:val="center"/>
          </w:tcPr>
          <w:p w14:paraId="6357CF4E">
            <w:pPr>
              <w:widowControl w:val="0"/>
              <w:jc w:val="center"/>
              <w:textAlignment w:val="auto"/>
              <w:rPr>
                <w:szCs w:val="21"/>
              </w:rPr>
            </w:pPr>
          </w:p>
        </w:tc>
        <w:tc>
          <w:tcPr>
            <w:tcW w:w="694" w:type="dxa"/>
            <w:vAlign w:val="center"/>
          </w:tcPr>
          <w:p w14:paraId="4E5F4CCA">
            <w:pPr>
              <w:widowControl w:val="0"/>
              <w:jc w:val="center"/>
              <w:textAlignment w:val="auto"/>
              <w:rPr>
                <w:szCs w:val="21"/>
              </w:rPr>
            </w:pPr>
          </w:p>
        </w:tc>
        <w:tc>
          <w:tcPr>
            <w:tcW w:w="1056" w:type="dxa"/>
            <w:vAlign w:val="center"/>
          </w:tcPr>
          <w:p w14:paraId="0EABB691">
            <w:pPr>
              <w:widowControl w:val="0"/>
              <w:jc w:val="center"/>
              <w:textAlignment w:val="auto"/>
              <w:rPr>
                <w:szCs w:val="21"/>
              </w:rPr>
            </w:pPr>
          </w:p>
        </w:tc>
        <w:tc>
          <w:tcPr>
            <w:tcW w:w="733" w:type="dxa"/>
            <w:vAlign w:val="center"/>
          </w:tcPr>
          <w:p w14:paraId="1AD4F14E">
            <w:pPr>
              <w:widowControl w:val="0"/>
              <w:jc w:val="center"/>
              <w:textAlignment w:val="auto"/>
              <w:rPr>
                <w:szCs w:val="21"/>
              </w:rPr>
            </w:pPr>
          </w:p>
        </w:tc>
        <w:tc>
          <w:tcPr>
            <w:tcW w:w="733" w:type="dxa"/>
            <w:vAlign w:val="center"/>
          </w:tcPr>
          <w:p w14:paraId="346AF958">
            <w:pPr>
              <w:widowControl w:val="0"/>
              <w:jc w:val="center"/>
              <w:textAlignment w:val="auto"/>
              <w:rPr>
                <w:szCs w:val="21"/>
              </w:rPr>
            </w:pPr>
          </w:p>
        </w:tc>
        <w:tc>
          <w:tcPr>
            <w:tcW w:w="1215" w:type="dxa"/>
            <w:vAlign w:val="center"/>
          </w:tcPr>
          <w:p w14:paraId="29AD1F13">
            <w:pPr>
              <w:widowControl w:val="0"/>
              <w:jc w:val="center"/>
              <w:textAlignment w:val="auto"/>
              <w:rPr>
                <w:szCs w:val="21"/>
              </w:rPr>
            </w:pPr>
          </w:p>
        </w:tc>
        <w:tc>
          <w:tcPr>
            <w:tcW w:w="901" w:type="dxa"/>
            <w:vAlign w:val="center"/>
          </w:tcPr>
          <w:p w14:paraId="7FEDE852">
            <w:pPr>
              <w:widowControl w:val="0"/>
              <w:jc w:val="center"/>
              <w:textAlignment w:val="auto"/>
              <w:rPr>
                <w:szCs w:val="21"/>
              </w:rPr>
            </w:pPr>
          </w:p>
        </w:tc>
        <w:tc>
          <w:tcPr>
            <w:tcW w:w="901" w:type="dxa"/>
            <w:vAlign w:val="center"/>
          </w:tcPr>
          <w:p w14:paraId="54BCF926">
            <w:pPr>
              <w:widowControl w:val="0"/>
              <w:jc w:val="center"/>
              <w:textAlignment w:val="auto"/>
              <w:rPr>
                <w:szCs w:val="21"/>
              </w:rPr>
            </w:pPr>
          </w:p>
        </w:tc>
        <w:tc>
          <w:tcPr>
            <w:tcW w:w="791" w:type="dxa"/>
            <w:vAlign w:val="center"/>
          </w:tcPr>
          <w:p w14:paraId="2C8B3501">
            <w:pPr>
              <w:widowControl w:val="0"/>
              <w:jc w:val="center"/>
              <w:textAlignment w:val="auto"/>
              <w:rPr>
                <w:szCs w:val="21"/>
              </w:rPr>
            </w:pPr>
          </w:p>
        </w:tc>
      </w:tr>
      <w:tr w14:paraId="60471F8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31" w:hRule="atLeast"/>
          <w:jc w:val="center"/>
        </w:trPr>
        <w:tc>
          <w:tcPr>
            <w:tcW w:w="665" w:type="dxa"/>
            <w:vAlign w:val="center"/>
          </w:tcPr>
          <w:p w14:paraId="1728950C">
            <w:pPr>
              <w:widowControl w:val="0"/>
              <w:jc w:val="center"/>
              <w:textAlignment w:val="auto"/>
              <w:rPr>
                <w:szCs w:val="21"/>
              </w:rPr>
            </w:pPr>
          </w:p>
        </w:tc>
        <w:tc>
          <w:tcPr>
            <w:tcW w:w="1100" w:type="dxa"/>
            <w:vAlign w:val="center"/>
          </w:tcPr>
          <w:p w14:paraId="1768C0F1">
            <w:pPr>
              <w:widowControl w:val="0"/>
              <w:jc w:val="center"/>
              <w:textAlignment w:val="auto"/>
              <w:rPr>
                <w:szCs w:val="21"/>
              </w:rPr>
            </w:pPr>
          </w:p>
        </w:tc>
        <w:tc>
          <w:tcPr>
            <w:tcW w:w="694" w:type="dxa"/>
            <w:vAlign w:val="center"/>
          </w:tcPr>
          <w:p w14:paraId="01DEDA47">
            <w:pPr>
              <w:widowControl w:val="0"/>
              <w:jc w:val="center"/>
              <w:textAlignment w:val="auto"/>
              <w:rPr>
                <w:szCs w:val="21"/>
              </w:rPr>
            </w:pPr>
          </w:p>
        </w:tc>
        <w:tc>
          <w:tcPr>
            <w:tcW w:w="1056" w:type="dxa"/>
            <w:vAlign w:val="center"/>
          </w:tcPr>
          <w:p w14:paraId="141880C6">
            <w:pPr>
              <w:widowControl w:val="0"/>
              <w:jc w:val="center"/>
              <w:textAlignment w:val="auto"/>
              <w:rPr>
                <w:szCs w:val="21"/>
              </w:rPr>
            </w:pPr>
          </w:p>
        </w:tc>
        <w:tc>
          <w:tcPr>
            <w:tcW w:w="733" w:type="dxa"/>
            <w:vAlign w:val="center"/>
          </w:tcPr>
          <w:p w14:paraId="70B202A8">
            <w:pPr>
              <w:widowControl w:val="0"/>
              <w:jc w:val="center"/>
              <w:textAlignment w:val="auto"/>
              <w:rPr>
                <w:szCs w:val="21"/>
              </w:rPr>
            </w:pPr>
          </w:p>
        </w:tc>
        <w:tc>
          <w:tcPr>
            <w:tcW w:w="733" w:type="dxa"/>
            <w:vAlign w:val="center"/>
          </w:tcPr>
          <w:p w14:paraId="06CEB278">
            <w:pPr>
              <w:widowControl w:val="0"/>
              <w:jc w:val="center"/>
              <w:textAlignment w:val="auto"/>
              <w:rPr>
                <w:szCs w:val="21"/>
              </w:rPr>
            </w:pPr>
          </w:p>
        </w:tc>
        <w:tc>
          <w:tcPr>
            <w:tcW w:w="1215" w:type="dxa"/>
            <w:vAlign w:val="center"/>
          </w:tcPr>
          <w:p w14:paraId="1ADA2764">
            <w:pPr>
              <w:widowControl w:val="0"/>
              <w:jc w:val="center"/>
              <w:textAlignment w:val="auto"/>
              <w:rPr>
                <w:szCs w:val="21"/>
              </w:rPr>
            </w:pPr>
          </w:p>
        </w:tc>
        <w:tc>
          <w:tcPr>
            <w:tcW w:w="901" w:type="dxa"/>
            <w:vAlign w:val="center"/>
          </w:tcPr>
          <w:p w14:paraId="0413DC90">
            <w:pPr>
              <w:widowControl w:val="0"/>
              <w:jc w:val="center"/>
              <w:textAlignment w:val="auto"/>
              <w:rPr>
                <w:szCs w:val="21"/>
              </w:rPr>
            </w:pPr>
          </w:p>
        </w:tc>
        <w:tc>
          <w:tcPr>
            <w:tcW w:w="901" w:type="dxa"/>
            <w:vAlign w:val="center"/>
          </w:tcPr>
          <w:p w14:paraId="7175F1B9">
            <w:pPr>
              <w:widowControl w:val="0"/>
              <w:jc w:val="center"/>
              <w:textAlignment w:val="auto"/>
              <w:rPr>
                <w:szCs w:val="21"/>
              </w:rPr>
            </w:pPr>
          </w:p>
        </w:tc>
        <w:tc>
          <w:tcPr>
            <w:tcW w:w="791" w:type="dxa"/>
            <w:vAlign w:val="center"/>
          </w:tcPr>
          <w:p w14:paraId="1A0D5CAB">
            <w:pPr>
              <w:widowControl w:val="0"/>
              <w:jc w:val="center"/>
              <w:textAlignment w:val="auto"/>
              <w:rPr>
                <w:szCs w:val="21"/>
              </w:rPr>
            </w:pPr>
          </w:p>
        </w:tc>
      </w:tr>
      <w:tr w14:paraId="69DFD8A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31" w:hRule="atLeast"/>
          <w:jc w:val="center"/>
        </w:trPr>
        <w:tc>
          <w:tcPr>
            <w:tcW w:w="665" w:type="dxa"/>
            <w:vAlign w:val="center"/>
          </w:tcPr>
          <w:p w14:paraId="49E8E8A1">
            <w:pPr>
              <w:widowControl w:val="0"/>
              <w:jc w:val="center"/>
              <w:textAlignment w:val="auto"/>
              <w:rPr>
                <w:szCs w:val="21"/>
              </w:rPr>
            </w:pPr>
          </w:p>
        </w:tc>
        <w:tc>
          <w:tcPr>
            <w:tcW w:w="1100" w:type="dxa"/>
            <w:vAlign w:val="center"/>
          </w:tcPr>
          <w:p w14:paraId="23104CF8">
            <w:pPr>
              <w:widowControl w:val="0"/>
              <w:jc w:val="center"/>
              <w:textAlignment w:val="auto"/>
              <w:rPr>
                <w:szCs w:val="21"/>
              </w:rPr>
            </w:pPr>
          </w:p>
        </w:tc>
        <w:tc>
          <w:tcPr>
            <w:tcW w:w="694" w:type="dxa"/>
            <w:vAlign w:val="center"/>
          </w:tcPr>
          <w:p w14:paraId="1C687326">
            <w:pPr>
              <w:widowControl w:val="0"/>
              <w:jc w:val="center"/>
              <w:textAlignment w:val="auto"/>
              <w:rPr>
                <w:szCs w:val="21"/>
              </w:rPr>
            </w:pPr>
          </w:p>
        </w:tc>
        <w:tc>
          <w:tcPr>
            <w:tcW w:w="1056" w:type="dxa"/>
            <w:vAlign w:val="center"/>
          </w:tcPr>
          <w:p w14:paraId="6A582731">
            <w:pPr>
              <w:widowControl w:val="0"/>
              <w:jc w:val="center"/>
              <w:textAlignment w:val="auto"/>
              <w:rPr>
                <w:szCs w:val="21"/>
              </w:rPr>
            </w:pPr>
          </w:p>
        </w:tc>
        <w:tc>
          <w:tcPr>
            <w:tcW w:w="733" w:type="dxa"/>
            <w:vAlign w:val="center"/>
          </w:tcPr>
          <w:p w14:paraId="62C8233D">
            <w:pPr>
              <w:widowControl w:val="0"/>
              <w:jc w:val="center"/>
              <w:textAlignment w:val="auto"/>
              <w:rPr>
                <w:szCs w:val="21"/>
              </w:rPr>
            </w:pPr>
          </w:p>
        </w:tc>
        <w:tc>
          <w:tcPr>
            <w:tcW w:w="733" w:type="dxa"/>
            <w:vAlign w:val="center"/>
          </w:tcPr>
          <w:p w14:paraId="6871D471">
            <w:pPr>
              <w:widowControl w:val="0"/>
              <w:jc w:val="center"/>
              <w:textAlignment w:val="auto"/>
              <w:rPr>
                <w:szCs w:val="21"/>
              </w:rPr>
            </w:pPr>
          </w:p>
        </w:tc>
        <w:tc>
          <w:tcPr>
            <w:tcW w:w="1215" w:type="dxa"/>
            <w:vAlign w:val="center"/>
          </w:tcPr>
          <w:p w14:paraId="71DBF695">
            <w:pPr>
              <w:widowControl w:val="0"/>
              <w:jc w:val="center"/>
              <w:textAlignment w:val="auto"/>
              <w:rPr>
                <w:szCs w:val="21"/>
              </w:rPr>
            </w:pPr>
          </w:p>
        </w:tc>
        <w:tc>
          <w:tcPr>
            <w:tcW w:w="901" w:type="dxa"/>
            <w:vAlign w:val="center"/>
          </w:tcPr>
          <w:p w14:paraId="29CFA38B">
            <w:pPr>
              <w:widowControl w:val="0"/>
              <w:jc w:val="center"/>
              <w:textAlignment w:val="auto"/>
              <w:rPr>
                <w:szCs w:val="21"/>
              </w:rPr>
            </w:pPr>
          </w:p>
        </w:tc>
        <w:tc>
          <w:tcPr>
            <w:tcW w:w="901" w:type="dxa"/>
            <w:vAlign w:val="center"/>
          </w:tcPr>
          <w:p w14:paraId="6D2A85EE">
            <w:pPr>
              <w:widowControl w:val="0"/>
              <w:jc w:val="center"/>
              <w:textAlignment w:val="auto"/>
              <w:rPr>
                <w:szCs w:val="21"/>
              </w:rPr>
            </w:pPr>
          </w:p>
        </w:tc>
        <w:tc>
          <w:tcPr>
            <w:tcW w:w="791" w:type="dxa"/>
            <w:vAlign w:val="center"/>
          </w:tcPr>
          <w:p w14:paraId="2091B7CD">
            <w:pPr>
              <w:widowControl w:val="0"/>
              <w:jc w:val="center"/>
              <w:textAlignment w:val="auto"/>
              <w:rPr>
                <w:szCs w:val="21"/>
              </w:rPr>
            </w:pPr>
          </w:p>
        </w:tc>
      </w:tr>
      <w:tr w14:paraId="00E07F5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31" w:hRule="atLeast"/>
          <w:jc w:val="center"/>
        </w:trPr>
        <w:tc>
          <w:tcPr>
            <w:tcW w:w="665" w:type="dxa"/>
            <w:vAlign w:val="center"/>
          </w:tcPr>
          <w:p w14:paraId="66A649D4">
            <w:pPr>
              <w:widowControl w:val="0"/>
              <w:jc w:val="center"/>
              <w:textAlignment w:val="auto"/>
              <w:rPr>
                <w:szCs w:val="21"/>
              </w:rPr>
            </w:pPr>
          </w:p>
        </w:tc>
        <w:tc>
          <w:tcPr>
            <w:tcW w:w="1100" w:type="dxa"/>
            <w:vAlign w:val="center"/>
          </w:tcPr>
          <w:p w14:paraId="4A382340">
            <w:pPr>
              <w:widowControl w:val="0"/>
              <w:jc w:val="center"/>
              <w:textAlignment w:val="auto"/>
              <w:rPr>
                <w:szCs w:val="21"/>
              </w:rPr>
            </w:pPr>
          </w:p>
        </w:tc>
        <w:tc>
          <w:tcPr>
            <w:tcW w:w="694" w:type="dxa"/>
            <w:vAlign w:val="center"/>
          </w:tcPr>
          <w:p w14:paraId="2EEF8F8E">
            <w:pPr>
              <w:widowControl w:val="0"/>
              <w:jc w:val="center"/>
              <w:textAlignment w:val="auto"/>
              <w:rPr>
                <w:szCs w:val="21"/>
              </w:rPr>
            </w:pPr>
          </w:p>
        </w:tc>
        <w:tc>
          <w:tcPr>
            <w:tcW w:w="1056" w:type="dxa"/>
            <w:vAlign w:val="center"/>
          </w:tcPr>
          <w:p w14:paraId="0EFE3BF6">
            <w:pPr>
              <w:widowControl w:val="0"/>
              <w:jc w:val="center"/>
              <w:textAlignment w:val="auto"/>
              <w:rPr>
                <w:szCs w:val="21"/>
              </w:rPr>
            </w:pPr>
          </w:p>
        </w:tc>
        <w:tc>
          <w:tcPr>
            <w:tcW w:w="733" w:type="dxa"/>
            <w:vAlign w:val="center"/>
          </w:tcPr>
          <w:p w14:paraId="5C6B616C">
            <w:pPr>
              <w:widowControl w:val="0"/>
              <w:jc w:val="center"/>
              <w:textAlignment w:val="auto"/>
              <w:rPr>
                <w:szCs w:val="21"/>
              </w:rPr>
            </w:pPr>
          </w:p>
        </w:tc>
        <w:tc>
          <w:tcPr>
            <w:tcW w:w="733" w:type="dxa"/>
            <w:vAlign w:val="center"/>
          </w:tcPr>
          <w:p w14:paraId="4178CE7B">
            <w:pPr>
              <w:widowControl w:val="0"/>
              <w:jc w:val="center"/>
              <w:textAlignment w:val="auto"/>
              <w:rPr>
                <w:szCs w:val="21"/>
              </w:rPr>
            </w:pPr>
          </w:p>
        </w:tc>
        <w:tc>
          <w:tcPr>
            <w:tcW w:w="1215" w:type="dxa"/>
            <w:vAlign w:val="center"/>
          </w:tcPr>
          <w:p w14:paraId="7D4F4C41">
            <w:pPr>
              <w:widowControl w:val="0"/>
              <w:jc w:val="center"/>
              <w:textAlignment w:val="auto"/>
              <w:rPr>
                <w:szCs w:val="21"/>
              </w:rPr>
            </w:pPr>
          </w:p>
        </w:tc>
        <w:tc>
          <w:tcPr>
            <w:tcW w:w="901" w:type="dxa"/>
            <w:vAlign w:val="center"/>
          </w:tcPr>
          <w:p w14:paraId="323A747E">
            <w:pPr>
              <w:widowControl w:val="0"/>
              <w:jc w:val="center"/>
              <w:textAlignment w:val="auto"/>
              <w:rPr>
                <w:szCs w:val="21"/>
              </w:rPr>
            </w:pPr>
          </w:p>
        </w:tc>
        <w:tc>
          <w:tcPr>
            <w:tcW w:w="901" w:type="dxa"/>
            <w:vAlign w:val="center"/>
          </w:tcPr>
          <w:p w14:paraId="0824F842">
            <w:pPr>
              <w:widowControl w:val="0"/>
              <w:jc w:val="center"/>
              <w:textAlignment w:val="auto"/>
              <w:rPr>
                <w:szCs w:val="21"/>
              </w:rPr>
            </w:pPr>
          </w:p>
        </w:tc>
        <w:tc>
          <w:tcPr>
            <w:tcW w:w="791" w:type="dxa"/>
            <w:vAlign w:val="center"/>
          </w:tcPr>
          <w:p w14:paraId="62983664">
            <w:pPr>
              <w:widowControl w:val="0"/>
              <w:jc w:val="center"/>
              <w:textAlignment w:val="auto"/>
              <w:rPr>
                <w:szCs w:val="21"/>
              </w:rPr>
            </w:pPr>
          </w:p>
        </w:tc>
      </w:tr>
      <w:tr w14:paraId="4497217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31" w:hRule="atLeast"/>
          <w:jc w:val="center"/>
        </w:trPr>
        <w:tc>
          <w:tcPr>
            <w:tcW w:w="665" w:type="dxa"/>
            <w:vAlign w:val="center"/>
          </w:tcPr>
          <w:p w14:paraId="0A921005">
            <w:pPr>
              <w:widowControl w:val="0"/>
              <w:jc w:val="center"/>
              <w:textAlignment w:val="auto"/>
              <w:rPr>
                <w:szCs w:val="21"/>
              </w:rPr>
            </w:pPr>
          </w:p>
        </w:tc>
        <w:tc>
          <w:tcPr>
            <w:tcW w:w="1100" w:type="dxa"/>
            <w:vAlign w:val="center"/>
          </w:tcPr>
          <w:p w14:paraId="78BA45FA">
            <w:pPr>
              <w:widowControl w:val="0"/>
              <w:jc w:val="center"/>
              <w:textAlignment w:val="auto"/>
              <w:rPr>
                <w:szCs w:val="21"/>
              </w:rPr>
            </w:pPr>
          </w:p>
        </w:tc>
        <w:tc>
          <w:tcPr>
            <w:tcW w:w="694" w:type="dxa"/>
            <w:vAlign w:val="center"/>
          </w:tcPr>
          <w:p w14:paraId="57624E3D">
            <w:pPr>
              <w:widowControl w:val="0"/>
              <w:jc w:val="center"/>
              <w:textAlignment w:val="auto"/>
              <w:rPr>
                <w:szCs w:val="21"/>
              </w:rPr>
            </w:pPr>
          </w:p>
        </w:tc>
        <w:tc>
          <w:tcPr>
            <w:tcW w:w="1056" w:type="dxa"/>
            <w:vAlign w:val="center"/>
          </w:tcPr>
          <w:p w14:paraId="1DD52678">
            <w:pPr>
              <w:widowControl w:val="0"/>
              <w:jc w:val="center"/>
              <w:textAlignment w:val="auto"/>
              <w:rPr>
                <w:szCs w:val="21"/>
              </w:rPr>
            </w:pPr>
          </w:p>
        </w:tc>
        <w:tc>
          <w:tcPr>
            <w:tcW w:w="733" w:type="dxa"/>
            <w:vAlign w:val="center"/>
          </w:tcPr>
          <w:p w14:paraId="731095BC">
            <w:pPr>
              <w:widowControl w:val="0"/>
              <w:jc w:val="center"/>
              <w:textAlignment w:val="auto"/>
              <w:rPr>
                <w:szCs w:val="21"/>
              </w:rPr>
            </w:pPr>
          </w:p>
        </w:tc>
        <w:tc>
          <w:tcPr>
            <w:tcW w:w="733" w:type="dxa"/>
            <w:vAlign w:val="center"/>
          </w:tcPr>
          <w:p w14:paraId="2CFAF108">
            <w:pPr>
              <w:widowControl w:val="0"/>
              <w:jc w:val="center"/>
              <w:textAlignment w:val="auto"/>
              <w:rPr>
                <w:szCs w:val="21"/>
              </w:rPr>
            </w:pPr>
          </w:p>
        </w:tc>
        <w:tc>
          <w:tcPr>
            <w:tcW w:w="1215" w:type="dxa"/>
            <w:vAlign w:val="center"/>
          </w:tcPr>
          <w:p w14:paraId="7CB26685">
            <w:pPr>
              <w:widowControl w:val="0"/>
              <w:jc w:val="center"/>
              <w:textAlignment w:val="auto"/>
              <w:rPr>
                <w:szCs w:val="21"/>
              </w:rPr>
            </w:pPr>
          </w:p>
        </w:tc>
        <w:tc>
          <w:tcPr>
            <w:tcW w:w="901" w:type="dxa"/>
            <w:vAlign w:val="center"/>
          </w:tcPr>
          <w:p w14:paraId="7B6BEC80">
            <w:pPr>
              <w:widowControl w:val="0"/>
              <w:jc w:val="center"/>
              <w:textAlignment w:val="auto"/>
              <w:rPr>
                <w:szCs w:val="21"/>
              </w:rPr>
            </w:pPr>
          </w:p>
        </w:tc>
        <w:tc>
          <w:tcPr>
            <w:tcW w:w="901" w:type="dxa"/>
            <w:vAlign w:val="center"/>
          </w:tcPr>
          <w:p w14:paraId="102594B9">
            <w:pPr>
              <w:widowControl w:val="0"/>
              <w:jc w:val="center"/>
              <w:textAlignment w:val="auto"/>
              <w:rPr>
                <w:szCs w:val="21"/>
              </w:rPr>
            </w:pPr>
          </w:p>
        </w:tc>
        <w:tc>
          <w:tcPr>
            <w:tcW w:w="791" w:type="dxa"/>
            <w:vAlign w:val="center"/>
          </w:tcPr>
          <w:p w14:paraId="179259B6">
            <w:pPr>
              <w:widowControl w:val="0"/>
              <w:jc w:val="center"/>
              <w:textAlignment w:val="auto"/>
              <w:rPr>
                <w:szCs w:val="21"/>
              </w:rPr>
            </w:pPr>
          </w:p>
        </w:tc>
      </w:tr>
      <w:tr w14:paraId="3978D03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31" w:hRule="atLeast"/>
          <w:jc w:val="center"/>
        </w:trPr>
        <w:tc>
          <w:tcPr>
            <w:tcW w:w="665" w:type="dxa"/>
            <w:vAlign w:val="center"/>
          </w:tcPr>
          <w:p w14:paraId="4A9A4D58">
            <w:pPr>
              <w:widowControl w:val="0"/>
              <w:jc w:val="center"/>
              <w:textAlignment w:val="auto"/>
              <w:rPr>
                <w:szCs w:val="21"/>
              </w:rPr>
            </w:pPr>
          </w:p>
        </w:tc>
        <w:tc>
          <w:tcPr>
            <w:tcW w:w="1100" w:type="dxa"/>
            <w:vAlign w:val="center"/>
          </w:tcPr>
          <w:p w14:paraId="052505EB">
            <w:pPr>
              <w:widowControl w:val="0"/>
              <w:jc w:val="center"/>
              <w:textAlignment w:val="auto"/>
              <w:rPr>
                <w:szCs w:val="21"/>
              </w:rPr>
            </w:pPr>
          </w:p>
        </w:tc>
        <w:tc>
          <w:tcPr>
            <w:tcW w:w="694" w:type="dxa"/>
            <w:vAlign w:val="center"/>
          </w:tcPr>
          <w:p w14:paraId="72650C66">
            <w:pPr>
              <w:widowControl w:val="0"/>
              <w:jc w:val="center"/>
              <w:textAlignment w:val="auto"/>
              <w:rPr>
                <w:szCs w:val="21"/>
              </w:rPr>
            </w:pPr>
          </w:p>
        </w:tc>
        <w:tc>
          <w:tcPr>
            <w:tcW w:w="1056" w:type="dxa"/>
            <w:vAlign w:val="center"/>
          </w:tcPr>
          <w:p w14:paraId="722AC2A8">
            <w:pPr>
              <w:widowControl w:val="0"/>
              <w:jc w:val="center"/>
              <w:textAlignment w:val="auto"/>
              <w:rPr>
                <w:szCs w:val="21"/>
              </w:rPr>
            </w:pPr>
          </w:p>
        </w:tc>
        <w:tc>
          <w:tcPr>
            <w:tcW w:w="733" w:type="dxa"/>
            <w:vAlign w:val="center"/>
          </w:tcPr>
          <w:p w14:paraId="6F823785">
            <w:pPr>
              <w:widowControl w:val="0"/>
              <w:jc w:val="center"/>
              <w:textAlignment w:val="auto"/>
              <w:rPr>
                <w:szCs w:val="21"/>
              </w:rPr>
            </w:pPr>
          </w:p>
        </w:tc>
        <w:tc>
          <w:tcPr>
            <w:tcW w:w="733" w:type="dxa"/>
            <w:vAlign w:val="center"/>
          </w:tcPr>
          <w:p w14:paraId="518EE883">
            <w:pPr>
              <w:widowControl w:val="0"/>
              <w:jc w:val="center"/>
              <w:textAlignment w:val="auto"/>
              <w:rPr>
                <w:szCs w:val="21"/>
              </w:rPr>
            </w:pPr>
          </w:p>
        </w:tc>
        <w:tc>
          <w:tcPr>
            <w:tcW w:w="1215" w:type="dxa"/>
            <w:vAlign w:val="center"/>
          </w:tcPr>
          <w:p w14:paraId="274B1EA0">
            <w:pPr>
              <w:widowControl w:val="0"/>
              <w:jc w:val="center"/>
              <w:textAlignment w:val="auto"/>
              <w:rPr>
                <w:szCs w:val="21"/>
              </w:rPr>
            </w:pPr>
          </w:p>
        </w:tc>
        <w:tc>
          <w:tcPr>
            <w:tcW w:w="901" w:type="dxa"/>
            <w:vAlign w:val="center"/>
          </w:tcPr>
          <w:p w14:paraId="47255276">
            <w:pPr>
              <w:widowControl w:val="0"/>
              <w:jc w:val="center"/>
              <w:textAlignment w:val="auto"/>
              <w:rPr>
                <w:szCs w:val="21"/>
              </w:rPr>
            </w:pPr>
          </w:p>
        </w:tc>
        <w:tc>
          <w:tcPr>
            <w:tcW w:w="901" w:type="dxa"/>
            <w:vAlign w:val="center"/>
          </w:tcPr>
          <w:p w14:paraId="5D480923">
            <w:pPr>
              <w:widowControl w:val="0"/>
              <w:jc w:val="center"/>
              <w:textAlignment w:val="auto"/>
              <w:rPr>
                <w:szCs w:val="21"/>
              </w:rPr>
            </w:pPr>
          </w:p>
        </w:tc>
        <w:tc>
          <w:tcPr>
            <w:tcW w:w="791" w:type="dxa"/>
            <w:vAlign w:val="center"/>
          </w:tcPr>
          <w:p w14:paraId="0D8B6EAF">
            <w:pPr>
              <w:widowControl w:val="0"/>
              <w:jc w:val="center"/>
              <w:textAlignment w:val="auto"/>
              <w:rPr>
                <w:szCs w:val="21"/>
              </w:rPr>
            </w:pPr>
          </w:p>
        </w:tc>
      </w:tr>
      <w:tr w14:paraId="12D684E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31" w:hRule="atLeast"/>
          <w:jc w:val="center"/>
        </w:trPr>
        <w:tc>
          <w:tcPr>
            <w:tcW w:w="665" w:type="dxa"/>
            <w:vAlign w:val="center"/>
          </w:tcPr>
          <w:p w14:paraId="23951431">
            <w:pPr>
              <w:widowControl w:val="0"/>
              <w:jc w:val="center"/>
              <w:textAlignment w:val="auto"/>
              <w:rPr>
                <w:szCs w:val="21"/>
              </w:rPr>
            </w:pPr>
          </w:p>
        </w:tc>
        <w:tc>
          <w:tcPr>
            <w:tcW w:w="1100" w:type="dxa"/>
            <w:vAlign w:val="center"/>
          </w:tcPr>
          <w:p w14:paraId="0554B5D0">
            <w:pPr>
              <w:widowControl w:val="0"/>
              <w:jc w:val="center"/>
              <w:textAlignment w:val="auto"/>
              <w:rPr>
                <w:szCs w:val="21"/>
              </w:rPr>
            </w:pPr>
          </w:p>
        </w:tc>
        <w:tc>
          <w:tcPr>
            <w:tcW w:w="694" w:type="dxa"/>
            <w:vAlign w:val="center"/>
          </w:tcPr>
          <w:p w14:paraId="7133AA80">
            <w:pPr>
              <w:widowControl w:val="0"/>
              <w:jc w:val="center"/>
              <w:textAlignment w:val="auto"/>
              <w:rPr>
                <w:szCs w:val="21"/>
              </w:rPr>
            </w:pPr>
          </w:p>
        </w:tc>
        <w:tc>
          <w:tcPr>
            <w:tcW w:w="1056" w:type="dxa"/>
            <w:vAlign w:val="center"/>
          </w:tcPr>
          <w:p w14:paraId="6CA68FC1">
            <w:pPr>
              <w:widowControl w:val="0"/>
              <w:jc w:val="center"/>
              <w:textAlignment w:val="auto"/>
              <w:rPr>
                <w:szCs w:val="21"/>
              </w:rPr>
            </w:pPr>
          </w:p>
        </w:tc>
        <w:tc>
          <w:tcPr>
            <w:tcW w:w="733" w:type="dxa"/>
            <w:vAlign w:val="center"/>
          </w:tcPr>
          <w:p w14:paraId="2499940B">
            <w:pPr>
              <w:widowControl w:val="0"/>
              <w:jc w:val="center"/>
              <w:textAlignment w:val="auto"/>
              <w:rPr>
                <w:szCs w:val="21"/>
              </w:rPr>
            </w:pPr>
          </w:p>
        </w:tc>
        <w:tc>
          <w:tcPr>
            <w:tcW w:w="733" w:type="dxa"/>
            <w:vAlign w:val="center"/>
          </w:tcPr>
          <w:p w14:paraId="02E70E47">
            <w:pPr>
              <w:widowControl w:val="0"/>
              <w:jc w:val="center"/>
              <w:textAlignment w:val="auto"/>
              <w:rPr>
                <w:szCs w:val="21"/>
              </w:rPr>
            </w:pPr>
          </w:p>
        </w:tc>
        <w:tc>
          <w:tcPr>
            <w:tcW w:w="1215" w:type="dxa"/>
            <w:vAlign w:val="center"/>
          </w:tcPr>
          <w:p w14:paraId="35E178FF">
            <w:pPr>
              <w:widowControl w:val="0"/>
              <w:jc w:val="center"/>
              <w:textAlignment w:val="auto"/>
              <w:rPr>
                <w:szCs w:val="21"/>
              </w:rPr>
            </w:pPr>
          </w:p>
        </w:tc>
        <w:tc>
          <w:tcPr>
            <w:tcW w:w="901" w:type="dxa"/>
            <w:vAlign w:val="center"/>
          </w:tcPr>
          <w:p w14:paraId="5BBC6881">
            <w:pPr>
              <w:widowControl w:val="0"/>
              <w:jc w:val="center"/>
              <w:textAlignment w:val="auto"/>
              <w:rPr>
                <w:szCs w:val="21"/>
              </w:rPr>
            </w:pPr>
          </w:p>
        </w:tc>
        <w:tc>
          <w:tcPr>
            <w:tcW w:w="901" w:type="dxa"/>
            <w:vAlign w:val="center"/>
          </w:tcPr>
          <w:p w14:paraId="5DAC63B9">
            <w:pPr>
              <w:widowControl w:val="0"/>
              <w:jc w:val="center"/>
              <w:textAlignment w:val="auto"/>
              <w:rPr>
                <w:szCs w:val="21"/>
              </w:rPr>
            </w:pPr>
          </w:p>
        </w:tc>
        <w:tc>
          <w:tcPr>
            <w:tcW w:w="791" w:type="dxa"/>
            <w:vAlign w:val="center"/>
          </w:tcPr>
          <w:p w14:paraId="0BB01063">
            <w:pPr>
              <w:widowControl w:val="0"/>
              <w:jc w:val="center"/>
              <w:textAlignment w:val="auto"/>
              <w:rPr>
                <w:szCs w:val="21"/>
              </w:rPr>
            </w:pPr>
          </w:p>
        </w:tc>
      </w:tr>
      <w:tr w14:paraId="47A7F44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31" w:hRule="atLeast"/>
          <w:jc w:val="center"/>
        </w:trPr>
        <w:tc>
          <w:tcPr>
            <w:tcW w:w="665" w:type="dxa"/>
            <w:vAlign w:val="center"/>
          </w:tcPr>
          <w:p w14:paraId="649A98A4">
            <w:pPr>
              <w:widowControl w:val="0"/>
              <w:jc w:val="center"/>
              <w:textAlignment w:val="auto"/>
              <w:rPr>
                <w:szCs w:val="21"/>
              </w:rPr>
            </w:pPr>
          </w:p>
        </w:tc>
        <w:tc>
          <w:tcPr>
            <w:tcW w:w="1100" w:type="dxa"/>
            <w:vAlign w:val="center"/>
          </w:tcPr>
          <w:p w14:paraId="2493154F">
            <w:pPr>
              <w:widowControl w:val="0"/>
              <w:jc w:val="center"/>
              <w:textAlignment w:val="auto"/>
              <w:rPr>
                <w:szCs w:val="21"/>
              </w:rPr>
            </w:pPr>
          </w:p>
        </w:tc>
        <w:tc>
          <w:tcPr>
            <w:tcW w:w="694" w:type="dxa"/>
            <w:vAlign w:val="center"/>
          </w:tcPr>
          <w:p w14:paraId="4F89872A">
            <w:pPr>
              <w:widowControl w:val="0"/>
              <w:jc w:val="center"/>
              <w:textAlignment w:val="auto"/>
              <w:rPr>
                <w:szCs w:val="21"/>
              </w:rPr>
            </w:pPr>
          </w:p>
        </w:tc>
        <w:tc>
          <w:tcPr>
            <w:tcW w:w="1056" w:type="dxa"/>
            <w:vAlign w:val="center"/>
          </w:tcPr>
          <w:p w14:paraId="551C9CF7">
            <w:pPr>
              <w:widowControl w:val="0"/>
              <w:jc w:val="center"/>
              <w:textAlignment w:val="auto"/>
              <w:rPr>
                <w:szCs w:val="21"/>
              </w:rPr>
            </w:pPr>
          </w:p>
        </w:tc>
        <w:tc>
          <w:tcPr>
            <w:tcW w:w="733" w:type="dxa"/>
            <w:vAlign w:val="center"/>
          </w:tcPr>
          <w:p w14:paraId="4216465A">
            <w:pPr>
              <w:widowControl w:val="0"/>
              <w:jc w:val="center"/>
              <w:textAlignment w:val="auto"/>
              <w:rPr>
                <w:szCs w:val="21"/>
              </w:rPr>
            </w:pPr>
          </w:p>
        </w:tc>
        <w:tc>
          <w:tcPr>
            <w:tcW w:w="733" w:type="dxa"/>
            <w:vAlign w:val="center"/>
          </w:tcPr>
          <w:p w14:paraId="0770D100">
            <w:pPr>
              <w:widowControl w:val="0"/>
              <w:jc w:val="center"/>
              <w:textAlignment w:val="auto"/>
              <w:rPr>
                <w:szCs w:val="21"/>
              </w:rPr>
            </w:pPr>
          </w:p>
        </w:tc>
        <w:tc>
          <w:tcPr>
            <w:tcW w:w="1215" w:type="dxa"/>
            <w:vAlign w:val="center"/>
          </w:tcPr>
          <w:p w14:paraId="4809F035">
            <w:pPr>
              <w:widowControl w:val="0"/>
              <w:jc w:val="center"/>
              <w:textAlignment w:val="auto"/>
              <w:rPr>
                <w:szCs w:val="21"/>
              </w:rPr>
            </w:pPr>
          </w:p>
        </w:tc>
        <w:tc>
          <w:tcPr>
            <w:tcW w:w="901" w:type="dxa"/>
            <w:vAlign w:val="center"/>
          </w:tcPr>
          <w:p w14:paraId="6FAD2AED">
            <w:pPr>
              <w:widowControl w:val="0"/>
              <w:jc w:val="center"/>
              <w:textAlignment w:val="auto"/>
              <w:rPr>
                <w:szCs w:val="21"/>
              </w:rPr>
            </w:pPr>
          </w:p>
        </w:tc>
        <w:tc>
          <w:tcPr>
            <w:tcW w:w="901" w:type="dxa"/>
            <w:vAlign w:val="center"/>
          </w:tcPr>
          <w:p w14:paraId="16C210E5">
            <w:pPr>
              <w:widowControl w:val="0"/>
              <w:jc w:val="center"/>
              <w:textAlignment w:val="auto"/>
              <w:rPr>
                <w:szCs w:val="21"/>
              </w:rPr>
            </w:pPr>
          </w:p>
        </w:tc>
        <w:tc>
          <w:tcPr>
            <w:tcW w:w="791" w:type="dxa"/>
            <w:vAlign w:val="center"/>
          </w:tcPr>
          <w:p w14:paraId="66F01F46">
            <w:pPr>
              <w:widowControl w:val="0"/>
              <w:jc w:val="center"/>
              <w:textAlignment w:val="auto"/>
              <w:rPr>
                <w:szCs w:val="21"/>
              </w:rPr>
            </w:pPr>
          </w:p>
        </w:tc>
      </w:tr>
      <w:tr w14:paraId="2FE548B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31" w:hRule="atLeast"/>
          <w:jc w:val="center"/>
        </w:trPr>
        <w:tc>
          <w:tcPr>
            <w:tcW w:w="665" w:type="dxa"/>
            <w:vAlign w:val="center"/>
          </w:tcPr>
          <w:p w14:paraId="15C7EC00">
            <w:pPr>
              <w:widowControl w:val="0"/>
              <w:jc w:val="center"/>
              <w:textAlignment w:val="auto"/>
              <w:rPr>
                <w:szCs w:val="21"/>
              </w:rPr>
            </w:pPr>
          </w:p>
        </w:tc>
        <w:tc>
          <w:tcPr>
            <w:tcW w:w="1100" w:type="dxa"/>
            <w:vAlign w:val="center"/>
          </w:tcPr>
          <w:p w14:paraId="57391BA1">
            <w:pPr>
              <w:widowControl w:val="0"/>
              <w:jc w:val="center"/>
              <w:textAlignment w:val="auto"/>
              <w:rPr>
                <w:szCs w:val="21"/>
              </w:rPr>
            </w:pPr>
          </w:p>
        </w:tc>
        <w:tc>
          <w:tcPr>
            <w:tcW w:w="694" w:type="dxa"/>
            <w:vAlign w:val="center"/>
          </w:tcPr>
          <w:p w14:paraId="41640C4A">
            <w:pPr>
              <w:widowControl w:val="0"/>
              <w:jc w:val="center"/>
              <w:textAlignment w:val="auto"/>
              <w:rPr>
                <w:szCs w:val="21"/>
              </w:rPr>
            </w:pPr>
          </w:p>
        </w:tc>
        <w:tc>
          <w:tcPr>
            <w:tcW w:w="1056" w:type="dxa"/>
            <w:vAlign w:val="center"/>
          </w:tcPr>
          <w:p w14:paraId="652F769A">
            <w:pPr>
              <w:widowControl w:val="0"/>
              <w:jc w:val="center"/>
              <w:textAlignment w:val="auto"/>
              <w:rPr>
                <w:szCs w:val="21"/>
              </w:rPr>
            </w:pPr>
          </w:p>
        </w:tc>
        <w:tc>
          <w:tcPr>
            <w:tcW w:w="733" w:type="dxa"/>
            <w:vAlign w:val="center"/>
          </w:tcPr>
          <w:p w14:paraId="61634E98">
            <w:pPr>
              <w:widowControl w:val="0"/>
              <w:jc w:val="center"/>
              <w:textAlignment w:val="auto"/>
              <w:rPr>
                <w:szCs w:val="21"/>
              </w:rPr>
            </w:pPr>
          </w:p>
        </w:tc>
        <w:tc>
          <w:tcPr>
            <w:tcW w:w="733" w:type="dxa"/>
            <w:vAlign w:val="center"/>
          </w:tcPr>
          <w:p w14:paraId="1D03AE47">
            <w:pPr>
              <w:widowControl w:val="0"/>
              <w:jc w:val="center"/>
              <w:textAlignment w:val="auto"/>
              <w:rPr>
                <w:szCs w:val="21"/>
              </w:rPr>
            </w:pPr>
          </w:p>
        </w:tc>
        <w:tc>
          <w:tcPr>
            <w:tcW w:w="1215" w:type="dxa"/>
            <w:vAlign w:val="center"/>
          </w:tcPr>
          <w:p w14:paraId="3E210687">
            <w:pPr>
              <w:widowControl w:val="0"/>
              <w:jc w:val="center"/>
              <w:textAlignment w:val="auto"/>
              <w:rPr>
                <w:szCs w:val="21"/>
              </w:rPr>
            </w:pPr>
          </w:p>
        </w:tc>
        <w:tc>
          <w:tcPr>
            <w:tcW w:w="901" w:type="dxa"/>
            <w:vAlign w:val="center"/>
          </w:tcPr>
          <w:p w14:paraId="2B6B2A54">
            <w:pPr>
              <w:widowControl w:val="0"/>
              <w:jc w:val="center"/>
              <w:textAlignment w:val="auto"/>
              <w:rPr>
                <w:szCs w:val="21"/>
              </w:rPr>
            </w:pPr>
          </w:p>
        </w:tc>
        <w:tc>
          <w:tcPr>
            <w:tcW w:w="901" w:type="dxa"/>
            <w:vAlign w:val="center"/>
          </w:tcPr>
          <w:p w14:paraId="51222592">
            <w:pPr>
              <w:widowControl w:val="0"/>
              <w:jc w:val="center"/>
              <w:textAlignment w:val="auto"/>
              <w:rPr>
                <w:szCs w:val="21"/>
              </w:rPr>
            </w:pPr>
          </w:p>
        </w:tc>
        <w:tc>
          <w:tcPr>
            <w:tcW w:w="791" w:type="dxa"/>
            <w:vAlign w:val="center"/>
          </w:tcPr>
          <w:p w14:paraId="5C7475AA">
            <w:pPr>
              <w:widowControl w:val="0"/>
              <w:jc w:val="center"/>
              <w:textAlignment w:val="auto"/>
              <w:rPr>
                <w:szCs w:val="21"/>
              </w:rPr>
            </w:pPr>
          </w:p>
        </w:tc>
      </w:tr>
      <w:tr w14:paraId="28658EB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31" w:hRule="atLeast"/>
          <w:jc w:val="center"/>
        </w:trPr>
        <w:tc>
          <w:tcPr>
            <w:tcW w:w="665" w:type="dxa"/>
            <w:vAlign w:val="center"/>
          </w:tcPr>
          <w:p w14:paraId="0932298B">
            <w:pPr>
              <w:widowControl w:val="0"/>
              <w:jc w:val="center"/>
              <w:textAlignment w:val="auto"/>
              <w:rPr>
                <w:szCs w:val="21"/>
              </w:rPr>
            </w:pPr>
          </w:p>
        </w:tc>
        <w:tc>
          <w:tcPr>
            <w:tcW w:w="1100" w:type="dxa"/>
            <w:vAlign w:val="center"/>
          </w:tcPr>
          <w:p w14:paraId="0A31475B">
            <w:pPr>
              <w:widowControl w:val="0"/>
              <w:jc w:val="center"/>
              <w:textAlignment w:val="auto"/>
              <w:rPr>
                <w:szCs w:val="21"/>
              </w:rPr>
            </w:pPr>
          </w:p>
        </w:tc>
        <w:tc>
          <w:tcPr>
            <w:tcW w:w="694" w:type="dxa"/>
            <w:vAlign w:val="center"/>
          </w:tcPr>
          <w:p w14:paraId="7EDB1C23">
            <w:pPr>
              <w:widowControl w:val="0"/>
              <w:jc w:val="center"/>
              <w:textAlignment w:val="auto"/>
              <w:rPr>
                <w:szCs w:val="21"/>
              </w:rPr>
            </w:pPr>
          </w:p>
        </w:tc>
        <w:tc>
          <w:tcPr>
            <w:tcW w:w="1056" w:type="dxa"/>
            <w:vAlign w:val="center"/>
          </w:tcPr>
          <w:p w14:paraId="28ADE03D">
            <w:pPr>
              <w:widowControl w:val="0"/>
              <w:jc w:val="center"/>
              <w:textAlignment w:val="auto"/>
              <w:rPr>
                <w:szCs w:val="21"/>
              </w:rPr>
            </w:pPr>
          </w:p>
        </w:tc>
        <w:tc>
          <w:tcPr>
            <w:tcW w:w="733" w:type="dxa"/>
            <w:vAlign w:val="center"/>
          </w:tcPr>
          <w:p w14:paraId="396DEE73">
            <w:pPr>
              <w:widowControl w:val="0"/>
              <w:jc w:val="center"/>
              <w:textAlignment w:val="auto"/>
              <w:rPr>
                <w:szCs w:val="21"/>
              </w:rPr>
            </w:pPr>
          </w:p>
        </w:tc>
        <w:tc>
          <w:tcPr>
            <w:tcW w:w="733" w:type="dxa"/>
            <w:vAlign w:val="center"/>
          </w:tcPr>
          <w:p w14:paraId="0ECE69B8">
            <w:pPr>
              <w:widowControl w:val="0"/>
              <w:jc w:val="center"/>
              <w:textAlignment w:val="auto"/>
              <w:rPr>
                <w:szCs w:val="21"/>
              </w:rPr>
            </w:pPr>
          </w:p>
        </w:tc>
        <w:tc>
          <w:tcPr>
            <w:tcW w:w="1215" w:type="dxa"/>
            <w:vAlign w:val="center"/>
          </w:tcPr>
          <w:p w14:paraId="38C32CD1">
            <w:pPr>
              <w:widowControl w:val="0"/>
              <w:jc w:val="center"/>
              <w:textAlignment w:val="auto"/>
              <w:rPr>
                <w:szCs w:val="21"/>
              </w:rPr>
            </w:pPr>
          </w:p>
        </w:tc>
        <w:tc>
          <w:tcPr>
            <w:tcW w:w="901" w:type="dxa"/>
            <w:vAlign w:val="center"/>
          </w:tcPr>
          <w:p w14:paraId="27AB8200">
            <w:pPr>
              <w:widowControl w:val="0"/>
              <w:jc w:val="center"/>
              <w:textAlignment w:val="auto"/>
              <w:rPr>
                <w:szCs w:val="21"/>
              </w:rPr>
            </w:pPr>
          </w:p>
        </w:tc>
        <w:tc>
          <w:tcPr>
            <w:tcW w:w="901" w:type="dxa"/>
            <w:vAlign w:val="center"/>
          </w:tcPr>
          <w:p w14:paraId="76B36A3B">
            <w:pPr>
              <w:widowControl w:val="0"/>
              <w:jc w:val="center"/>
              <w:textAlignment w:val="auto"/>
              <w:rPr>
                <w:szCs w:val="21"/>
              </w:rPr>
            </w:pPr>
          </w:p>
        </w:tc>
        <w:tc>
          <w:tcPr>
            <w:tcW w:w="791" w:type="dxa"/>
            <w:vAlign w:val="center"/>
          </w:tcPr>
          <w:p w14:paraId="2CEC0FB7">
            <w:pPr>
              <w:widowControl w:val="0"/>
              <w:jc w:val="center"/>
              <w:textAlignment w:val="auto"/>
              <w:rPr>
                <w:szCs w:val="21"/>
              </w:rPr>
            </w:pPr>
          </w:p>
        </w:tc>
      </w:tr>
      <w:tr w14:paraId="7042174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31" w:hRule="atLeast"/>
          <w:jc w:val="center"/>
        </w:trPr>
        <w:tc>
          <w:tcPr>
            <w:tcW w:w="665" w:type="dxa"/>
            <w:vAlign w:val="center"/>
          </w:tcPr>
          <w:p w14:paraId="70EEE21B">
            <w:pPr>
              <w:widowControl w:val="0"/>
              <w:jc w:val="center"/>
              <w:textAlignment w:val="auto"/>
              <w:rPr>
                <w:szCs w:val="21"/>
              </w:rPr>
            </w:pPr>
          </w:p>
        </w:tc>
        <w:tc>
          <w:tcPr>
            <w:tcW w:w="1100" w:type="dxa"/>
            <w:vAlign w:val="center"/>
          </w:tcPr>
          <w:p w14:paraId="5AB78D5B">
            <w:pPr>
              <w:widowControl w:val="0"/>
              <w:jc w:val="center"/>
              <w:textAlignment w:val="auto"/>
              <w:rPr>
                <w:szCs w:val="21"/>
              </w:rPr>
            </w:pPr>
          </w:p>
        </w:tc>
        <w:tc>
          <w:tcPr>
            <w:tcW w:w="694" w:type="dxa"/>
            <w:vAlign w:val="center"/>
          </w:tcPr>
          <w:p w14:paraId="6FF29BDA">
            <w:pPr>
              <w:widowControl w:val="0"/>
              <w:jc w:val="center"/>
              <w:textAlignment w:val="auto"/>
              <w:rPr>
                <w:szCs w:val="21"/>
              </w:rPr>
            </w:pPr>
          </w:p>
        </w:tc>
        <w:tc>
          <w:tcPr>
            <w:tcW w:w="1056" w:type="dxa"/>
            <w:vAlign w:val="center"/>
          </w:tcPr>
          <w:p w14:paraId="170A1A1E">
            <w:pPr>
              <w:widowControl w:val="0"/>
              <w:jc w:val="center"/>
              <w:textAlignment w:val="auto"/>
              <w:rPr>
                <w:szCs w:val="21"/>
              </w:rPr>
            </w:pPr>
          </w:p>
        </w:tc>
        <w:tc>
          <w:tcPr>
            <w:tcW w:w="733" w:type="dxa"/>
            <w:vAlign w:val="center"/>
          </w:tcPr>
          <w:p w14:paraId="72B35E3C">
            <w:pPr>
              <w:widowControl w:val="0"/>
              <w:jc w:val="center"/>
              <w:textAlignment w:val="auto"/>
              <w:rPr>
                <w:szCs w:val="21"/>
              </w:rPr>
            </w:pPr>
          </w:p>
        </w:tc>
        <w:tc>
          <w:tcPr>
            <w:tcW w:w="733" w:type="dxa"/>
            <w:vAlign w:val="center"/>
          </w:tcPr>
          <w:p w14:paraId="504382D1">
            <w:pPr>
              <w:widowControl w:val="0"/>
              <w:jc w:val="center"/>
              <w:textAlignment w:val="auto"/>
              <w:rPr>
                <w:szCs w:val="21"/>
              </w:rPr>
            </w:pPr>
          </w:p>
        </w:tc>
        <w:tc>
          <w:tcPr>
            <w:tcW w:w="1215" w:type="dxa"/>
            <w:vAlign w:val="center"/>
          </w:tcPr>
          <w:p w14:paraId="1CE79F55">
            <w:pPr>
              <w:widowControl w:val="0"/>
              <w:jc w:val="center"/>
              <w:textAlignment w:val="auto"/>
              <w:rPr>
                <w:szCs w:val="21"/>
              </w:rPr>
            </w:pPr>
          </w:p>
        </w:tc>
        <w:tc>
          <w:tcPr>
            <w:tcW w:w="901" w:type="dxa"/>
            <w:vAlign w:val="center"/>
          </w:tcPr>
          <w:p w14:paraId="526AD8BC">
            <w:pPr>
              <w:widowControl w:val="0"/>
              <w:jc w:val="center"/>
              <w:textAlignment w:val="auto"/>
              <w:rPr>
                <w:szCs w:val="21"/>
              </w:rPr>
            </w:pPr>
          </w:p>
        </w:tc>
        <w:tc>
          <w:tcPr>
            <w:tcW w:w="901" w:type="dxa"/>
            <w:vAlign w:val="center"/>
          </w:tcPr>
          <w:p w14:paraId="795BF843">
            <w:pPr>
              <w:widowControl w:val="0"/>
              <w:jc w:val="center"/>
              <w:textAlignment w:val="auto"/>
              <w:rPr>
                <w:szCs w:val="21"/>
              </w:rPr>
            </w:pPr>
          </w:p>
        </w:tc>
        <w:tc>
          <w:tcPr>
            <w:tcW w:w="791" w:type="dxa"/>
            <w:vAlign w:val="center"/>
          </w:tcPr>
          <w:p w14:paraId="7AD97ED8">
            <w:pPr>
              <w:widowControl w:val="0"/>
              <w:jc w:val="center"/>
              <w:textAlignment w:val="auto"/>
              <w:rPr>
                <w:szCs w:val="21"/>
              </w:rPr>
            </w:pPr>
          </w:p>
        </w:tc>
      </w:tr>
      <w:tr w14:paraId="4B98255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31" w:hRule="atLeast"/>
          <w:jc w:val="center"/>
        </w:trPr>
        <w:tc>
          <w:tcPr>
            <w:tcW w:w="665" w:type="dxa"/>
            <w:vAlign w:val="center"/>
          </w:tcPr>
          <w:p w14:paraId="28E81915">
            <w:pPr>
              <w:widowControl w:val="0"/>
              <w:jc w:val="center"/>
              <w:textAlignment w:val="auto"/>
              <w:rPr>
                <w:szCs w:val="21"/>
              </w:rPr>
            </w:pPr>
          </w:p>
        </w:tc>
        <w:tc>
          <w:tcPr>
            <w:tcW w:w="1100" w:type="dxa"/>
            <w:vAlign w:val="center"/>
          </w:tcPr>
          <w:p w14:paraId="290157E9">
            <w:pPr>
              <w:widowControl w:val="0"/>
              <w:jc w:val="center"/>
              <w:textAlignment w:val="auto"/>
              <w:rPr>
                <w:szCs w:val="21"/>
              </w:rPr>
            </w:pPr>
          </w:p>
        </w:tc>
        <w:tc>
          <w:tcPr>
            <w:tcW w:w="694" w:type="dxa"/>
            <w:vAlign w:val="center"/>
          </w:tcPr>
          <w:p w14:paraId="488EEF74">
            <w:pPr>
              <w:widowControl w:val="0"/>
              <w:jc w:val="center"/>
              <w:textAlignment w:val="auto"/>
              <w:rPr>
                <w:szCs w:val="21"/>
              </w:rPr>
            </w:pPr>
          </w:p>
        </w:tc>
        <w:tc>
          <w:tcPr>
            <w:tcW w:w="1056" w:type="dxa"/>
            <w:vAlign w:val="center"/>
          </w:tcPr>
          <w:p w14:paraId="45B01616">
            <w:pPr>
              <w:widowControl w:val="0"/>
              <w:jc w:val="center"/>
              <w:textAlignment w:val="auto"/>
              <w:rPr>
                <w:szCs w:val="21"/>
              </w:rPr>
            </w:pPr>
          </w:p>
        </w:tc>
        <w:tc>
          <w:tcPr>
            <w:tcW w:w="733" w:type="dxa"/>
            <w:vAlign w:val="center"/>
          </w:tcPr>
          <w:p w14:paraId="05CCD25E">
            <w:pPr>
              <w:widowControl w:val="0"/>
              <w:jc w:val="center"/>
              <w:textAlignment w:val="auto"/>
              <w:rPr>
                <w:szCs w:val="21"/>
              </w:rPr>
            </w:pPr>
          </w:p>
        </w:tc>
        <w:tc>
          <w:tcPr>
            <w:tcW w:w="733" w:type="dxa"/>
            <w:vAlign w:val="center"/>
          </w:tcPr>
          <w:p w14:paraId="0FA4C722">
            <w:pPr>
              <w:widowControl w:val="0"/>
              <w:jc w:val="center"/>
              <w:textAlignment w:val="auto"/>
              <w:rPr>
                <w:szCs w:val="21"/>
              </w:rPr>
            </w:pPr>
          </w:p>
        </w:tc>
        <w:tc>
          <w:tcPr>
            <w:tcW w:w="1215" w:type="dxa"/>
            <w:vAlign w:val="center"/>
          </w:tcPr>
          <w:p w14:paraId="598A7808">
            <w:pPr>
              <w:widowControl w:val="0"/>
              <w:jc w:val="center"/>
              <w:textAlignment w:val="auto"/>
              <w:rPr>
                <w:szCs w:val="21"/>
              </w:rPr>
            </w:pPr>
          </w:p>
        </w:tc>
        <w:tc>
          <w:tcPr>
            <w:tcW w:w="901" w:type="dxa"/>
            <w:vAlign w:val="center"/>
          </w:tcPr>
          <w:p w14:paraId="54B76B61">
            <w:pPr>
              <w:widowControl w:val="0"/>
              <w:jc w:val="center"/>
              <w:textAlignment w:val="auto"/>
              <w:rPr>
                <w:szCs w:val="21"/>
              </w:rPr>
            </w:pPr>
          </w:p>
        </w:tc>
        <w:tc>
          <w:tcPr>
            <w:tcW w:w="901" w:type="dxa"/>
            <w:vAlign w:val="center"/>
          </w:tcPr>
          <w:p w14:paraId="607A76ED">
            <w:pPr>
              <w:widowControl w:val="0"/>
              <w:jc w:val="center"/>
              <w:textAlignment w:val="auto"/>
              <w:rPr>
                <w:szCs w:val="21"/>
              </w:rPr>
            </w:pPr>
          </w:p>
        </w:tc>
        <w:tc>
          <w:tcPr>
            <w:tcW w:w="791" w:type="dxa"/>
            <w:vAlign w:val="center"/>
          </w:tcPr>
          <w:p w14:paraId="16F095A9">
            <w:pPr>
              <w:widowControl w:val="0"/>
              <w:jc w:val="center"/>
              <w:textAlignment w:val="auto"/>
              <w:rPr>
                <w:szCs w:val="21"/>
              </w:rPr>
            </w:pPr>
          </w:p>
        </w:tc>
      </w:tr>
      <w:tr w14:paraId="55ED270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31" w:hRule="atLeast"/>
          <w:jc w:val="center"/>
        </w:trPr>
        <w:tc>
          <w:tcPr>
            <w:tcW w:w="665" w:type="dxa"/>
            <w:vAlign w:val="center"/>
          </w:tcPr>
          <w:p w14:paraId="1DDB93C0">
            <w:pPr>
              <w:widowControl w:val="0"/>
              <w:jc w:val="center"/>
              <w:textAlignment w:val="auto"/>
              <w:rPr>
                <w:szCs w:val="21"/>
              </w:rPr>
            </w:pPr>
          </w:p>
        </w:tc>
        <w:tc>
          <w:tcPr>
            <w:tcW w:w="1100" w:type="dxa"/>
            <w:vAlign w:val="center"/>
          </w:tcPr>
          <w:p w14:paraId="236E028D">
            <w:pPr>
              <w:widowControl w:val="0"/>
              <w:jc w:val="center"/>
              <w:textAlignment w:val="auto"/>
              <w:rPr>
                <w:szCs w:val="21"/>
              </w:rPr>
            </w:pPr>
          </w:p>
        </w:tc>
        <w:tc>
          <w:tcPr>
            <w:tcW w:w="694" w:type="dxa"/>
            <w:vAlign w:val="center"/>
          </w:tcPr>
          <w:p w14:paraId="4CDA4929">
            <w:pPr>
              <w:widowControl w:val="0"/>
              <w:jc w:val="center"/>
              <w:textAlignment w:val="auto"/>
              <w:rPr>
                <w:szCs w:val="21"/>
              </w:rPr>
            </w:pPr>
          </w:p>
        </w:tc>
        <w:tc>
          <w:tcPr>
            <w:tcW w:w="1056" w:type="dxa"/>
            <w:vAlign w:val="center"/>
          </w:tcPr>
          <w:p w14:paraId="37E302CA">
            <w:pPr>
              <w:widowControl w:val="0"/>
              <w:jc w:val="center"/>
              <w:textAlignment w:val="auto"/>
              <w:rPr>
                <w:szCs w:val="21"/>
              </w:rPr>
            </w:pPr>
          </w:p>
        </w:tc>
        <w:tc>
          <w:tcPr>
            <w:tcW w:w="733" w:type="dxa"/>
            <w:vAlign w:val="center"/>
          </w:tcPr>
          <w:p w14:paraId="124669B0">
            <w:pPr>
              <w:widowControl w:val="0"/>
              <w:jc w:val="center"/>
              <w:textAlignment w:val="auto"/>
              <w:rPr>
                <w:szCs w:val="21"/>
              </w:rPr>
            </w:pPr>
          </w:p>
        </w:tc>
        <w:tc>
          <w:tcPr>
            <w:tcW w:w="733" w:type="dxa"/>
            <w:vAlign w:val="center"/>
          </w:tcPr>
          <w:p w14:paraId="1093DA03">
            <w:pPr>
              <w:widowControl w:val="0"/>
              <w:jc w:val="center"/>
              <w:textAlignment w:val="auto"/>
              <w:rPr>
                <w:szCs w:val="21"/>
              </w:rPr>
            </w:pPr>
          </w:p>
        </w:tc>
        <w:tc>
          <w:tcPr>
            <w:tcW w:w="1215" w:type="dxa"/>
            <w:vAlign w:val="center"/>
          </w:tcPr>
          <w:p w14:paraId="3972C0C1">
            <w:pPr>
              <w:widowControl w:val="0"/>
              <w:jc w:val="center"/>
              <w:textAlignment w:val="auto"/>
              <w:rPr>
                <w:szCs w:val="21"/>
              </w:rPr>
            </w:pPr>
          </w:p>
        </w:tc>
        <w:tc>
          <w:tcPr>
            <w:tcW w:w="901" w:type="dxa"/>
            <w:vAlign w:val="center"/>
          </w:tcPr>
          <w:p w14:paraId="6E5839FE">
            <w:pPr>
              <w:widowControl w:val="0"/>
              <w:jc w:val="center"/>
              <w:textAlignment w:val="auto"/>
              <w:rPr>
                <w:szCs w:val="21"/>
              </w:rPr>
            </w:pPr>
          </w:p>
        </w:tc>
        <w:tc>
          <w:tcPr>
            <w:tcW w:w="901" w:type="dxa"/>
            <w:vAlign w:val="center"/>
          </w:tcPr>
          <w:p w14:paraId="704EB3D3">
            <w:pPr>
              <w:widowControl w:val="0"/>
              <w:jc w:val="center"/>
              <w:textAlignment w:val="auto"/>
              <w:rPr>
                <w:szCs w:val="21"/>
              </w:rPr>
            </w:pPr>
          </w:p>
        </w:tc>
        <w:tc>
          <w:tcPr>
            <w:tcW w:w="791" w:type="dxa"/>
            <w:vAlign w:val="center"/>
          </w:tcPr>
          <w:p w14:paraId="08BBBDFA">
            <w:pPr>
              <w:widowControl w:val="0"/>
              <w:jc w:val="center"/>
              <w:textAlignment w:val="auto"/>
              <w:rPr>
                <w:szCs w:val="21"/>
              </w:rPr>
            </w:pPr>
          </w:p>
        </w:tc>
      </w:tr>
      <w:tr w14:paraId="05D01DB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31" w:hRule="atLeast"/>
          <w:jc w:val="center"/>
        </w:trPr>
        <w:tc>
          <w:tcPr>
            <w:tcW w:w="665" w:type="dxa"/>
            <w:tcBorders>
              <w:bottom w:val="single" w:color="auto" w:sz="8" w:space="0"/>
            </w:tcBorders>
            <w:vAlign w:val="center"/>
          </w:tcPr>
          <w:p w14:paraId="1067593F">
            <w:pPr>
              <w:widowControl w:val="0"/>
              <w:jc w:val="center"/>
              <w:textAlignment w:val="auto"/>
              <w:rPr>
                <w:szCs w:val="21"/>
              </w:rPr>
            </w:pPr>
          </w:p>
        </w:tc>
        <w:tc>
          <w:tcPr>
            <w:tcW w:w="1100" w:type="dxa"/>
            <w:tcBorders>
              <w:bottom w:val="single" w:color="auto" w:sz="8" w:space="0"/>
            </w:tcBorders>
            <w:vAlign w:val="center"/>
          </w:tcPr>
          <w:p w14:paraId="69C41BDB">
            <w:pPr>
              <w:widowControl w:val="0"/>
              <w:jc w:val="center"/>
              <w:textAlignment w:val="auto"/>
              <w:rPr>
                <w:szCs w:val="21"/>
              </w:rPr>
            </w:pPr>
          </w:p>
        </w:tc>
        <w:tc>
          <w:tcPr>
            <w:tcW w:w="694" w:type="dxa"/>
            <w:tcBorders>
              <w:bottom w:val="single" w:color="auto" w:sz="8" w:space="0"/>
            </w:tcBorders>
            <w:vAlign w:val="center"/>
          </w:tcPr>
          <w:p w14:paraId="5FA389C1">
            <w:pPr>
              <w:widowControl w:val="0"/>
              <w:jc w:val="center"/>
              <w:textAlignment w:val="auto"/>
              <w:rPr>
                <w:szCs w:val="21"/>
              </w:rPr>
            </w:pPr>
          </w:p>
        </w:tc>
        <w:tc>
          <w:tcPr>
            <w:tcW w:w="1056" w:type="dxa"/>
            <w:tcBorders>
              <w:bottom w:val="single" w:color="auto" w:sz="8" w:space="0"/>
            </w:tcBorders>
            <w:vAlign w:val="center"/>
          </w:tcPr>
          <w:p w14:paraId="4E9F26B9">
            <w:pPr>
              <w:widowControl w:val="0"/>
              <w:jc w:val="center"/>
              <w:textAlignment w:val="auto"/>
              <w:rPr>
                <w:szCs w:val="21"/>
              </w:rPr>
            </w:pPr>
          </w:p>
        </w:tc>
        <w:tc>
          <w:tcPr>
            <w:tcW w:w="733" w:type="dxa"/>
            <w:tcBorders>
              <w:bottom w:val="single" w:color="auto" w:sz="8" w:space="0"/>
            </w:tcBorders>
            <w:vAlign w:val="center"/>
          </w:tcPr>
          <w:p w14:paraId="281F4C6E">
            <w:pPr>
              <w:widowControl w:val="0"/>
              <w:jc w:val="center"/>
              <w:textAlignment w:val="auto"/>
              <w:rPr>
                <w:szCs w:val="21"/>
              </w:rPr>
            </w:pPr>
          </w:p>
        </w:tc>
        <w:tc>
          <w:tcPr>
            <w:tcW w:w="733" w:type="dxa"/>
            <w:tcBorders>
              <w:bottom w:val="single" w:color="auto" w:sz="8" w:space="0"/>
            </w:tcBorders>
            <w:vAlign w:val="center"/>
          </w:tcPr>
          <w:p w14:paraId="237B4D32">
            <w:pPr>
              <w:widowControl w:val="0"/>
              <w:jc w:val="center"/>
              <w:textAlignment w:val="auto"/>
              <w:rPr>
                <w:szCs w:val="21"/>
              </w:rPr>
            </w:pPr>
          </w:p>
        </w:tc>
        <w:tc>
          <w:tcPr>
            <w:tcW w:w="1215" w:type="dxa"/>
            <w:tcBorders>
              <w:bottom w:val="single" w:color="auto" w:sz="8" w:space="0"/>
            </w:tcBorders>
            <w:vAlign w:val="center"/>
          </w:tcPr>
          <w:p w14:paraId="22D6AE63">
            <w:pPr>
              <w:widowControl w:val="0"/>
              <w:jc w:val="center"/>
              <w:textAlignment w:val="auto"/>
              <w:rPr>
                <w:szCs w:val="21"/>
              </w:rPr>
            </w:pPr>
          </w:p>
        </w:tc>
        <w:tc>
          <w:tcPr>
            <w:tcW w:w="901" w:type="dxa"/>
            <w:tcBorders>
              <w:bottom w:val="single" w:color="auto" w:sz="8" w:space="0"/>
            </w:tcBorders>
            <w:vAlign w:val="center"/>
          </w:tcPr>
          <w:p w14:paraId="7C3E35CF">
            <w:pPr>
              <w:widowControl w:val="0"/>
              <w:jc w:val="center"/>
              <w:textAlignment w:val="auto"/>
              <w:rPr>
                <w:szCs w:val="21"/>
              </w:rPr>
            </w:pPr>
          </w:p>
        </w:tc>
        <w:tc>
          <w:tcPr>
            <w:tcW w:w="901" w:type="dxa"/>
            <w:tcBorders>
              <w:bottom w:val="single" w:color="auto" w:sz="8" w:space="0"/>
            </w:tcBorders>
            <w:vAlign w:val="center"/>
          </w:tcPr>
          <w:p w14:paraId="2CB402A6">
            <w:pPr>
              <w:widowControl w:val="0"/>
              <w:jc w:val="center"/>
              <w:textAlignment w:val="auto"/>
              <w:rPr>
                <w:szCs w:val="21"/>
              </w:rPr>
            </w:pPr>
          </w:p>
        </w:tc>
        <w:tc>
          <w:tcPr>
            <w:tcW w:w="791" w:type="dxa"/>
            <w:tcBorders>
              <w:bottom w:val="single" w:color="auto" w:sz="8" w:space="0"/>
            </w:tcBorders>
            <w:vAlign w:val="center"/>
          </w:tcPr>
          <w:p w14:paraId="57A2D605">
            <w:pPr>
              <w:widowControl w:val="0"/>
              <w:jc w:val="center"/>
              <w:textAlignment w:val="auto"/>
              <w:rPr>
                <w:szCs w:val="21"/>
              </w:rPr>
            </w:pPr>
          </w:p>
        </w:tc>
      </w:tr>
    </w:tbl>
    <w:p w14:paraId="35A4D9CC">
      <w:pPr>
        <w:widowControl w:val="0"/>
        <w:spacing w:before="156" w:beforeLines="50" w:line="420" w:lineRule="exact"/>
        <w:textAlignment w:val="auto"/>
        <w:rPr>
          <w:sz w:val="28"/>
          <w:szCs w:val="28"/>
        </w:rPr>
      </w:pPr>
    </w:p>
    <w:p w14:paraId="5BBC41F4">
      <w:pPr>
        <w:widowControl w:val="0"/>
        <w:spacing w:after="156" w:afterLines="50" w:line="800" w:lineRule="exact"/>
        <w:jc w:val="center"/>
        <w:textAlignment w:val="auto"/>
        <w:rPr>
          <w:rStyle w:val="95"/>
          <w:b/>
          <w:kern w:val="0"/>
          <w:sz w:val="28"/>
          <w:szCs w:val="28"/>
        </w:rPr>
      </w:pPr>
      <w:r>
        <w:rPr>
          <w:rStyle w:val="95"/>
          <w:rFonts w:hint="eastAsia"/>
          <w:b/>
          <w:kern w:val="0"/>
          <w:sz w:val="28"/>
          <w:szCs w:val="28"/>
        </w:rPr>
        <w:t>十、拟配备本项目的试验和检测仪器设备表</w:t>
      </w:r>
    </w:p>
    <w:tbl>
      <w:tblPr>
        <w:tblStyle w:val="45"/>
        <w:tblW w:w="8789"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28" w:type="dxa"/>
          <w:bottom w:w="0" w:type="dxa"/>
          <w:right w:w="28" w:type="dxa"/>
        </w:tblCellMar>
      </w:tblPr>
      <w:tblGrid>
        <w:gridCol w:w="666"/>
        <w:gridCol w:w="1100"/>
        <w:gridCol w:w="694"/>
        <w:gridCol w:w="1056"/>
        <w:gridCol w:w="733"/>
        <w:gridCol w:w="733"/>
        <w:gridCol w:w="1215"/>
        <w:gridCol w:w="1714"/>
        <w:gridCol w:w="878"/>
      </w:tblGrid>
      <w:tr w14:paraId="7A026CB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847" w:hRule="atLeast"/>
          <w:jc w:val="center"/>
        </w:trPr>
        <w:tc>
          <w:tcPr>
            <w:tcW w:w="666" w:type="dxa"/>
            <w:tcBorders>
              <w:top w:val="single" w:color="auto" w:sz="8" w:space="0"/>
            </w:tcBorders>
            <w:vAlign w:val="center"/>
          </w:tcPr>
          <w:p w14:paraId="28E4C21C">
            <w:pPr>
              <w:widowControl w:val="0"/>
              <w:jc w:val="center"/>
              <w:textAlignment w:val="auto"/>
              <w:rPr>
                <w:sz w:val="24"/>
              </w:rPr>
            </w:pPr>
            <w:r>
              <w:rPr>
                <w:rFonts w:hint="eastAsia"/>
                <w:sz w:val="24"/>
              </w:rPr>
              <w:t>序号</w:t>
            </w:r>
          </w:p>
        </w:tc>
        <w:tc>
          <w:tcPr>
            <w:tcW w:w="1100" w:type="dxa"/>
            <w:tcBorders>
              <w:top w:val="single" w:color="auto" w:sz="8" w:space="0"/>
            </w:tcBorders>
            <w:vAlign w:val="center"/>
          </w:tcPr>
          <w:p w14:paraId="1EF78AD4">
            <w:pPr>
              <w:widowControl w:val="0"/>
              <w:jc w:val="center"/>
              <w:textAlignment w:val="auto"/>
              <w:rPr>
                <w:sz w:val="24"/>
              </w:rPr>
            </w:pPr>
            <w:r>
              <w:rPr>
                <w:rFonts w:hint="eastAsia"/>
                <w:sz w:val="24"/>
              </w:rPr>
              <w:t>仪器设备</w:t>
            </w:r>
          </w:p>
          <w:p w14:paraId="21C8736E">
            <w:pPr>
              <w:widowControl w:val="0"/>
              <w:jc w:val="center"/>
              <w:textAlignment w:val="auto"/>
              <w:rPr>
                <w:sz w:val="24"/>
              </w:rPr>
            </w:pPr>
            <w:r>
              <w:rPr>
                <w:rFonts w:hint="eastAsia"/>
                <w:sz w:val="24"/>
              </w:rPr>
              <w:t>名称</w:t>
            </w:r>
          </w:p>
        </w:tc>
        <w:tc>
          <w:tcPr>
            <w:tcW w:w="694" w:type="dxa"/>
            <w:tcBorders>
              <w:top w:val="single" w:color="auto" w:sz="8" w:space="0"/>
            </w:tcBorders>
            <w:vAlign w:val="center"/>
          </w:tcPr>
          <w:p w14:paraId="4124E7A6">
            <w:pPr>
              <w:widowControl w:val="0"/>
              <w:jc w:val="center"/>
              <w:textAlignment w:val="auto"/>
              <w:rPr>
                <w:sz w:val="24"/>
              </w:rPr>
            </w:pPr>
            <w:r>
              <w:rPr>
                <w:rFonts w:hint="eastAsia"/>
                <w:sz w:val="24"/>
              </w:rPr>
              <w:t>型号</w:t>
            </w:r>
          </w:p>
          <w:p w14:paraId="71A9A031">
            <w:pPr>
              <w:widowControl w:val="0"/>
              <w:jc w:val="center"/>
              <w:textAlignment w:val="auto"/>
              <w:rPr>
                <w:sz w:val="24"/>
              </w:rPr>
            </w:pPr>
            <w:r>
              <w:rPr>
                <w:rFonts w:hint="eastAsia"/>
                <w:sz w:val="24"/>
              </w:rPr>
              <w:t>规格</w:t>
            </w:r>
          </w:p>
        </w:tc>
        <w:tc>
          <w:tcPr>
            <w:tcW w:w="1056" w:type="dxa"/>
            <w:tcBorders>
              <w:top w:val="single" w:color="auto" w:sz="8" w:space="0"/>
            </w:tcBorders>
            <w:vAlign w:val="center"/>
          </w:tcPr>
          <w:p w14:paraId="0B19D1E4">
            <w:pPr>
              <w:widowControl w:val="0"/>
              <w:jc w:val="center"/>
              <w:textAlignment w:val="auto"/>
              <w:rPr>
                <w:sz w:val="24"/>
              </w:rPr>
            </w:pPr>
            <w:r>
              <w:rPr>
                <w:rFonts w:hint="eastAsia"/>
                <w:sz w:val="24"/>
              </w:rPr>
              <w:t>数量</w:t>
            </w:r>
          </w:p>
        </w:tc>
        <w:tc>
          <w:tcPr>
            <w:tcW w:w="733" w:type="dxa"/>
            <w:tcBorders>
              <w:top w:val="single" w:color="auto" w:sz="8" w:space="0"/>
            </w:tcBorders>
            <w:vAlign w:val="center"/>
          </w:tcPr>
          <w:p w14:paraId="01DCD95D">
            <w:pPr>
              <w:widowControl w:val="0"/>
              <w:jc w:val="center"/>
              <w:textAlignment w:val="auto"/>
              <w:rPr>
                <w:sz w:val="24"/>
              </w:rPr>
            </w:pPr>
            <w:r>
              <w:rPr>
                <w:rFonts w:hint="eastAsia"/>
                <w:sz w:val="24"/>
              </w:rPr>
              <w:t>国别</w:t>
            </w:r>
          </w:p>
          <w:p w14:paraId="57BD287F">
            <w:pPr>
              <w:widowControl w:val="0"/>
              <w:jc w:val="center"/>
              <w:textAlignment w:val="auto"/>
              <w:rPr>
                <w:sz w:val="24"/>
              </w:rPr>
            </w:pPr>
            <w:r>
              <w:rPr>
                <w:rFonts w:hint="eastAsia"/>
                <w:sz w:val="24"/>
              </w:rPr>
              <w:t>产地</w:t>
            </w:r>
          </w:p>
        </w:tc>
        <w:tc>
          <w:tcPr>
            <w:tcW w:w="733" w:type="dxa"/>
            <w:tcBorders>
              <w:top w:val="single" w:color="auto" w:sz="8" w:space="0"/>
            </w:tcBorders>
            <w:vAlign w:val="center"/>
          </w:tcPr>
          <w:p w14:paraId="021E0EB4">
            <w:pPr>
              <w:widowControl w:val="0"/>
              <w:jc w:val="center"/>
              <w:textAlignment w:val="auto"/>
              <w:rPr>
                <w:sz w:val="24"/>
              </w:rPr>
            </w:pPr>
            <w:r>
              <w:rPr>
                <w:rFonts w:hint="eastAsia"/>
                <w:sz w:val="24"/>
              </w:rPr>
              <w:t>制造</w:t>
            </w:r>
          </w:p>
          <w:p w14:paraId="3795AA8B">
            <w:pPr>
              <w:widowControl w:val="0"/>
              <w:jc w:val="center"/>
              <w:textAlignment w:val="auto"/>
              <w:rPr>
                <w:sz w:val="24"/>
              </w:rPr>
            </w:pPr>
            <w:r>
              <w:rPr>
                <w:rFonts w:hint="eastAsia"/>
                <w:sz w:val="24"/>
              </w:rPr>
              <w:t>年份</w:t>
            </w:r>
          </w:p>
        </w:tc>
        <w:tc>
          <w:tcPr>
            <w:tcW w:w="1215" w:type="dxa"/>
            <w:tcBorders>
              <w:top w:val="single" w:color="auto" w:sz="8" w:space="0"/>
            </w:tcBorders>
            <w:vAlign w:val="center"/>
          </w:tcPr>
          <w:p w14:paraId="2C580EFF">
            <w:pPr>
              <w:widowControl w:val="0"/>
              <w:jc w:val="center"/>
              <w:textAlignment w:val="auto"/>
              <w:rPr>
                <w:sz w:val="24"/>
              </w:rPr>
            </w:pPr>
            <w:r>
              <w:rPr>
                <w:rFonts w:hint="eastAsia"/>
                <w:sz w:val="24"/>
              </w:rPr>
              <w:t>已使用台</w:t>
            </w:r>
          </w:p>
          <w:p w14:paraId="1706222F">
            <w:pPr>
              <w:widowControl w:val="0"/>
              <w:jc w:val="center"/>
              <w:textAlignment w:val="auto"/>
              <w:rPr>
                <w:sz w:val="24"/>
              </w:rPr>
            </w:pPr>
            <w:r>
              <w:rPr>
                <w:rFonts w:hint="eastAsia"/>
                <w:sz w:val="24"/>
              </w:rPr>
              <w:t>时数</w:t>
            </w:r>
          </w:p>
        </w:tc>
        <w:tc>
          <w:tcPr>
            <w:tcW w:w="1714" w:type="dxa"/>
            <w:tcBorders>
              <w:top w:val="single" w:color="auto" w:sz="8" w:space="0"/>
            </w:tcBorders>
            <w:vAlign w:val="center"/>
          </w:tcPr>
          <w:p w14:paraId="368753AD">
            <w:pPr>
              <w:widowControl w:val="0"/>
              <w:jc w:val="center"/>
              <w:textAlignment w:val="auto"/>
              <w:rPr>
                <w:sz w:val="24"/>
              </w:rPr>
            </w:pPr>
            <w:r>
              <w:rPr>
                <w:rFonts w:hint="eastAsia"/>
                <w:sz w:val="24"/>
              </w:rPr>
              <w:t>用途</w:t>
            </w:r>
          </w:p>
        </w:tc>
        <w:tc>
          <w:tcPr>
            <w:tcW w:w="878" w:type="dxa"/>
            <w:tcBorders>
              <w:top w:val="single" w:color="auto" w:sz="8" w:space="0"/>
            </w:tcBorders>
            <w:vAlign w:val="center"/>
          </w:tcPr>
          <w:p w14:paraId="68C69A40">
            <w:pPr>
              <w:widowControl w:val="0"/>
              <w:jc w:val="center"/>
              <w:textAlignment w:val="auto"/>
              <w:rPr>
                <w:sz w:val="24"/>
              </w:rPr>
            </w:pPr>
            <w:r>
              <w:rPr>
                <w:rFonts w:hint="eastAsia"/>
                <w:sz w:val="24"/>
              </w:rPr>
              <w:t>备注</w:t>
            </w:r>
          </w:p>
        </w:tc>
      </w:tr>
      <w:tr w14:paraId="219D7EA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666" w:type="dxa"/>
            <w:vAlign w:val="center"/>
          </w:tcPr>
          <w:p w14:paraId="213CCA88">
            <w:pPr>
              <w:widowControl w:val="0"/>
              <w:jc w:val="center"/>
              <w:textAlignment w:val="auto"/>
              <w:rPr>
                <w:szCs w:val="21"/>
              </w:rPr>
            </w:pPr>
          </w:p>
        </w:tc>
        <w:tc>
          <w:tcPr>
            <w:tcW w:w="1100" w:type="dxa"/>
            <w:vAlign w:val="center"/>
          </w:tcPr>
          <w:p w14:paraId="034623A8">
            <w:pPr>
              <w:widowControl w:val="0"/>
              <w:jc w:val="center"/>
              <w:textAlignment w:val="auto"/>
              <w:rPr>
                <w:szCs w:val="21"/>
              </w:rPr>
            </w:pPr>
          </w:p>
        </w:tc>
        <w:tc>
          <w:tcPr>
            <w:tcW w:w="694" w:type="dxa"/>
            <w:vAlign w:val="center"/>
          </w:tcPr>
          <w:p w14:paraId="6C1FA053">
            <w:pPr>
              <w:widowControl w:val="0"/>
              <w:jc w:val="center"/>
              <w:textAlignment w:val="auto"/>
              <w:rPr>
                <w:szCs w:val="21"/>
              </w:rPr>
            </w:pPr>
          </w:p>
        </w:tc>
        <w:tc>
          <w:tcPr>
            <w:tcW w:w="1056" w:type="dxa"/>
            <w:vAlign w:val="center"/>
          </w:tcPr>
          <w:p w14:paraId="67952888">
            <w:pPr>
              <w:widowControl w:val="0"/>
              <w:jc w:val="center"/>
              <w:textAlignment w:val="auto"/>
              <w:rPr>
                <w:szCs w:val="21"/>
              </w:rPr>
            </w:pPr>
          </w:p>
        </w:tc>
        <w:tc>
          <w:tcPr>
            <w:tcW w:w="733" w:type="dxa"/>
            <w:vAlign w:val="center"/>
          </w:tcPr>
          <w:p w14:paraId="2DB1BBEE">
            <w:pPr>
              <w:widowControl w:val="0"/>
              <w:jc w:val="center"/>
              <w:textAlignment w:val="auto"/>
              <w:rPr>
                <w:szCs w:val="21"/>
              </w:rPr>
            </w:pPr>
          </w:p>
        </w:tc>
        <w:tc>
          <w:tcPr>
            <w:tcW w:w="733" w:type="dxa"/>
            <w:vAlign w:val="center"/>
          </w:tcPr>
          <w:p w14:paraId="62F0B4DB">
            <w:pPr>
              <w:widowControl w:val="0"/>
              <w:jc w:val="center"/>
              <w:textAlignment w:val="auto"/>
              <w:rPr>
                <w:szCs w:val="21"/>
              </w:rPr>
            </w:pPr>
          </w:p>
        </w:tc>
        <w:tc>
          <w:tcPr>
            <w:tcW w:w="1215" w:type="dxa"/>
            <w:vAlign w:val="center"/>
          </w:tcPr>
          <w:p w14:paraId="325D5140">
            <w:pPr>
              <w:widowControl w:val="0"/>
              <w:jc w:val="center"/>
              <w:textAlignment w:val="auto"/>
              <w:rPr>
                <w:szCs w:val="21"/>
              </w:rPr>
            </w:pPr>
          </w:p>
        </w:tc>
        <w:tc>
          <w:tcPr>
            <w:tcW w:w="1714" w:type="dxa"/>
            <w:vAlign w:val="center"/>
          </w:tcPr>
          <w:p w14:paraId="59143A19">
            <w:pPr>
              <w:widowControl w:val="0"/>
              <w:jc w:val="center"/>
              <w:textAlignment w:val="auto"/>
              <w:rPr>
                <w:szCs w:val="21"/>
              </w:rPr>
            </w:pPr>
          </w:p>
        </w:tc>
        <w:tc>
          <w:tcPr>
            <w:tcW w:w="878" w:type="dxa"/>
            <w:vAlign w:val="center"/>
          </w:tcPr>
          <w:p w14:paraId="0F3F5AAC">
            <w:pPr>
              <w:widowControl w:val="0"/>
              <w:jc w:val="center"/>
              <w:textAlignment w:val="auto"/>
              <w:rPr>
                <w:szCs w:val="21"/>
              </w:rPr>
            </w:pPr>
          </w:p>
        </w:tc>
      </w:tr>
      <w:tr w14:paraId="4231CE1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666" w:type="dxa"/>
            <w:vAlign w:val="center"/>
          </w:tcPr>
          <w:p w14:paraId="6B000D93">
            <w:pPr>
              <w:widowControl w:val="0"/>
              <w:jc w:val="center"/>
              <w:textAlignment w:val="auto"/>
              <w:rPr>
                <w:szCs w:val="21"/>
              </w:rPr>
            </w:pPr>
          </w:p>
        </w:tc>
        <w:tc>
          <w:tcPr>
            <w:tcW w:w="1100" w:type="dxa"/>
            <w:vAlign w:val="center"/>
          </w:tcPr>
          <w:p w14:paraId="0E3ED440">
            <w:pPr>
              <w:widowControl w:val="0"/>
              <w:jc w:val="center"/>
              <w:textAlignment w:val="auto"/>
              <w:rPr>
                <w:szCs w:val="21"/>
              </w:rPr>
            </w:pPr>
          </w:p>
        </w:tc>
        <w:tc>
          <w:tcPr>
            <w:tcW w:w="694" w:type="dxa"/>
            <w:vAlign w:val="center"/>
          </w:tcPr>
          <w:p w14:paraId="6F7472DC">
            <w:pPr>
              <w:widowControl w:val="0"/>
              <w:jc w:val="center"/>
              <w:textAlignment w:val="auto"/>
              <w:rPr>
                <w:szCs w:val="21"/>
              </w:rPr>
            </w:pPr>
          </w:p>
        </w:tc>
        <w:tc>
          <w:tcPr>
            <w:tcW w:w="1056" w:type="dxa"/>
            <w:vAlign w:val="center"/>
          </w:tcPr>
          <w:p w14:paraId="73403EAC">
            <w:pPr>
              <w:widowControl w:val="0"/>
              <w:jc w:val="center"/>
              <w:textAlignment w:val="auto"/>
              <w:rPr>
                <w:szCs w:val="21"/>
              </w:rPr>
            </w:pPr>
          </w:p>
        </w:tc>
        <w:tc>
          <w:tcPr>
            <w:tcW w:w="733" w:type="dxa"/>
            <w:vAlign w:val="center"/>
          </w:tcPr>
          <w:p w14:paraId="47D16012">
            <w:pPr>
              <w:widowControl w:val="0"/>
              <w:jc w:val="center"/>
              <w:textAlignment w:val="auto"/>
              <w:rPr>
                <w:szCs w:val="21"/>
              </w:rPr>
            </w:pPr>
          </w:p>
        </w:tc>
        <w:tc>
          <w:tcPr>
            <w:tcW w:w="733" w:type="dxa"/>
            <w:vAlign w:val="center"/>
          </w:tcPr>
          <w:p w14:paraId="693F9745">
            <w:pPr>
              <w:widowControl w:val="0"/>
              <w:jc w:val="center"/>
              <w:textAlignment w:val="auto"/>
              <w:rPr>
                <w:szCs w:val="21"/>
              </w:rPr>
            </w:pPr>
          </w:p>
        </w:tc>
        <w:tc>
          <w:tcPr>
            <w:tcW w:w="1215" w:type="dxa"/>
            <w:vAlign w:val="center"/>
          </w:tcPr>
          <w:p w14:paraId="0F0E7750">
            <w:pPr>
              <w:widowControl w:val="0"/>
              <w:jc w:val="center"/>
              <w:textAlignment w:val="auto"/>
              <w:rPr>
                <w:szCs w:val="21"/>
              </w:rPr>
            </w:pPr>
          </w:p>
        </w:tc>
        <w:tc>
          <w:tcPr>
            <w:tcW w:w="1714" w:type="dxa"/>
            <w:vAlign w:val="center"/>
          </w:tcPr>
          <w:p w14:paraId="113EA694">
            <w:pPr>
              <w:widowControl w:val="0"/>
              <w:jc w:val="center"/>
              <w:textAlignment w:val="auto"/>
              <w:rPr>
                <w:szCs w:val="21"/>
              </w:rPr>
            </w:pPr>
          </w:p>
        </w:tc>
        <w:tc>
          <w:tcPr>
            <w:tcW w:w="878" w:type="dxa"/>
            <w:vAlign w:val="center"/>
          </w:tcPr>
          <w:p w14:paraId="6D77C43D">
            <w:pPr>
              <w:widowControl w:val="0"/>
              <w:jc w:val="center"/>
              <w:textAlignment w:val="auto"/>
              <w:rPr>
                <w:szCs w:val="21"/>
              </w:rPr>
            </w:pPr>
          </w:p>
        </w:tc>
      </w:tr>
      <w:tr w14:paraId="52E2AA4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666" w:type="dxa"/>
            <w:vAlign w:val="center"/>
          </w:tcPr>
          <w:p w14:paraId="37BADD60">
            <w:pPr>
              <w:widowControl w:val="0"/>
              <w:jc w:val="center"/>
              <w:textAlignment w:val="auto"/>
              <w:rPr>
                <w:szCs w:val="21"/>
              </w:rPr>
            </w:pPr>
          </w:p>
        </w:tc>
        <w:tc>
          <w:tcPr>
            <w:tcW w:w="1100" w:type="dxa"/>
            <w:vAlign w:val="center"/>
          </w:tcPr>
          <w:p w14:paraId="6535901E">
            <w:pPr>
              <w:widowControl w:val="0"/>
              <w:jc w:val="center"/>
              <w:textAlignment w:val="auto"/>
              <w:rPr>
                <w:szCs w:val="21"/>
              </w:rPr>
            </w:pPr>
          </w:p>
        </w:tc>
        <w:tc>
          <w:tcPr>
            <w:tcW w:w="694" w:type="dxa"/>
            <w:vAlign w:val="center"/>
          </w:tcPr>
          <w:p w14:paraId="7DC87B71">
            <w:pPr>
              <w:widowControl w:val="0"/>
              <w:jc w:val="center"/>
              <w:textAlignment w:val="auto"/>
              <w:rPr>
                <w:szCs w:val="21"/>
              </w:rPr>
            </w:pPr>
          </w:p>
        </w:tc>
        <w:tc>
          <w:tcPr>
            <w:tcW w:w="1056" w:type="dxa"/>
            <w:vAlign w:val="center"/>
          </w:tcPr>
          <w:p w14:paraId="427CC76E">
            <w:pPr>
              <w:widowControl w:val="0"/>
              <w:jc w:val="center"/>
              <w:textAlignment w:val="auto"/>
              <w:rPr>
                <w:szCs w:val="21"/>
              </w:rPr>
            </w:pPr>
          </w:p>
        </w:tc>
        <w:tc>
          <w:tcPr>
            <w:tcW w:w="733" w:type="dxa"/>
            <w:vAlign w:val="center"/>
          </w:tcPr>
          <w:p w14:paraId="6C34F2CF">
            <w:pPr>
              <w:widowControl w:val="0"/>
              <w:jc w:val="center"/>
              <w:textAlignment w:val="auto"/>
              <w:rPr>
                <w:szCs w:val="21"/>
              </w:rPr>
            </w:pPr>
          </w:p>
        </w:tc>
        <w:tc>
          <w:tcPr>
            <w:tcW w:w="733" w:type="dxa"/>
            <w:vAlign w:val="center"/>
          </w:tcPr>
          <w:p w14:paraId="3C066AE6">
            <w:pPr>
              <w:widowControl w:val="0"/>
              <w:jc w:val="center"/>
              <w:textAlignment w:val="auto"/>
              <w:rPr>
                <w:szCs w:val="21"/>
              </w:rPr>
            </w:pPr>
          </w:p>
        </w:tc>
        <w:tc>
          <w:tcPr>
            <w:tcW w:w="1215" w:type="dxa"/>
            <w:vAlign w:val="center"/>
          </w:tcPr>
          <w:p w14:paraId="15717579">
            <w:pPr>
              <w:widowControl w:val="0"/>
              <w:jc w:val="center"/>
              <w:textAlignment w:val="auto"/>
              <w:rPr>
                <w:szCs w:val="21"/>
              </w:rPr>
            </w:pPr>
          </w:p>
        </w:tc>
        <w:tc>
          <w:tcPr>
            <w:tcW w:w="1714" w:type="dxa"/>
            <w:vAlign w:val="center"/>
          </w:tcPr>
          <w:p w14:paraId="48E3D3D3">
            <w:pPr>
              <w:widowControl w:val="0"/>
              <w:jc w:val="center"/>
              <w:textAlignment w:val="auto"/>
              <w:rPr>
                <w:szCs w:val="21"/>
              </w:rPr>
            </w:pPr>
          </w:p>
        </w:tc>
        <w:tc>
          <w:tcPr>
            <w:tcW w:w="878" w:type="dxa"/>
            <w:vAlign w:val="center"/>
          </w:tcPr>
          <w:p w14:paraId="49613F09">
            <w:pPr>
              <w:widowControl w:val="0"/>
              <w:jc w:val="center"/>
              <w:textAlignment w:val="auto"/>
              <w:rPr>
                <w:szCs w:val="21"/>
              </w:rPr>
            </w:pPr>
          </w:p>
        </w:tc>
      </w:tr>
      <w:tr w14:paraId="3D13047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666" w:type="dxa"/>
            <w:vAlign w:val="center"/>
          </w:tcPr>
          <w:p w14:paraId="15798F34">
            <w:pPr>
              <w:widowControl w:val="0"/>
              <w:jc w:val="center"/>
              <w:textAlignment w:val="auto"/>
              <w:rPr>
                <w:szCs w:val="21"/>
              </w:rPr>
            </w:pPr>
          </w:p>
        </w:tc>
        <w:tc>
          <w:tcPr>
            <w:tcW w:w="1100" w:type="dxa"/>
            <w:vAlign w:val="center"/>
          </w:tcPr>
          <w:p w14:paraId="70139CCA">
            <w:pPr>
              <w:widowControl w:val="0"/>
              <w:jc w:val="center"/>
              <w:textAlignment w:val="auto"/>
              <w:rPr>
                <w:szCs w:val="21"/>
              </w:rPr>
            </w:pPr>
          </w:p>
        </w:tc>
        <w:tc>
          <w:tcPr>
            <w:tcW w:w="694" w:type="dxa"/>
            <w:vAlign w:val="center"/>
          </w:tcPr>
          <w:p w14:paraId="7B1B6AAC">
            <w:pPr>
              <w:widowControl w:val="0"/>
              <w:jc w:val="center"/>
              <w:textAlignment w:val="auto"/>
              <w:rPr>
                <w:szCs w:val="21"/>
              </w:rPr>
            </w:pPr>
          </w:p>
        </w:tc>
        <w:tc>
          <w:tcPr>
            <w:tcW w:w="1056" w:type="dxa"/>
            <w:vAlign w:val="center"/>
          </w:tcPr>
          <w:p w14:paraId="179B88E3">
            <w:pPr>
              <w:widowControl w:val="0"/>
              <w:jc w:val="center"/>
              <w:textAlignment w:val="auto"/>
              <w:rPr>
                <w:szCs w:val="21"/>
              </w:rPr>
            </w:pPr>
          </w:p>
        </w:tc>
        <w:tc>
          <w:tcPr>
            <w:tcW w:w="733" w:type="dxa"/>
            <w:vAlign w:val="center"/>
          </w:tcPr>
          <w:p w14:paraId="7A315430">
            <w:pPr>
              <w:widowControl w:val="0"/>
              <w:jc w:val="center"/>
              <w:textAlignment w:val="auto"/>
              <w:rPr>
                <w:szCs w:val="21"/>
              </w:rPr>
            </w:pPr>
          </w:p>
        </w:tc>
        <w:tc>
          <w:tcPr>
            <w:tcW w:w="733" w:type="dxa"/>
            <w:vAlign w:val="center"/>
          </w:tcPr>
          <w:p w14:paraId="7CA4514C">
            <w:pPr>
              <w:widowControl w:val="0"/>
              <w:jc w:val="center"/>
              <w:textAlignment w:val="auto"/>
              <w:rPr>
                <w:szCs w:val="21"/>
              </w:rPr>
            </w:pPr>
          </w:p>
        </w:tc>
        <w:tc>
          <w:tcPr>
            <w:tcW w:w="1215" w:type="dxa"/>
            <w:vAlign w:val="center"/>
          </w:tcPr>
          <w:p w14:paraId="1A06526D">
            <w:pPr>
              <w:widowControl w:val="0"/>
              <w:jc w:val="center"/>
              <w:textAlignment w:val="auto"/>
              <w:rPr>
                <w:szCs w:val="21"/>
              </w:rPr>
            </w:pPr>
          </w:p>
        </w:tc>
        <w:tc>
          <w:tcPr>
            <w:tcW w:w="1714" w:type="dxa"/>
            <w:vAlign w:val="center"/>
          </w:tcPr>
          <w:p w14:paraId="540921CE">
            <w:pPr>
              <w:widowControl w:val="0"/>
              <w:jc w:val="center"/>
              <w:textAlignment w:val="auto"/>
              <w:rPr>
                <w:szCs w:val="21"/>
              </w:rPr>
            </w:pPr>
          </w:p>
        </w:tc>
        <w:tc>
          <w:tcPr>
            <w:tcW w:w="878" w:type="dxa"/>
            <w:vAlign w:val="center"/>
          </w:tcPr>
          <w:p w14:paraId="07DB3986">
            <w:pPr>
              <w:widowControl w:val="0"/>
              <w:jc w:val="center"/>
              <w:textAlignment w:val="auto"/>
              <w:rPr>
                <w:szCs w:val="21"/>
              </w:rPr>
            </w:pPr>
          </w:p>
        </w:tc>
      </w:tr>
      <w:tr w14:paraId="3E7B6E8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666" w:type="dxa"/>
            <w:vAlign w:val="center"/>
          </w:tcPr>
          <w:p w14:paraId="137F97F3">
            <w:pPr>
              <w:widowControl w:val="0"/>
              <w:jc w:val="center"/>
              <w:textAlignment w:val="auto"/>
              <w:rPr>
                <w:szCs w:val="21"/>
              </w:rPr>
            </w:pPr>
          </w:p>
        </w:tc>
        <w:tc>
          <w:tcPr>
            <w:tcW w:w="1100" w:type="dxa"/>
            <w:vAlign w:val="center"/>
          </w:tcPr>
          <w:p w14:paraId="369017F9">
            <w:pPr>
              <w:widowControl w:val="0"/>
              <w:jc w:val="center"/>
              <w:textAlignment w:val="auto"/>
              <w:rPr>
                <w:szCs w:val="21"/>
              </w:rPr>
            </w:pPr>
          </w:p>
        </w:tc>
        <w:tc>
          <w:tcPr>
            <w:tcW w:w="694" w:type="dxa"/>
            <w:vAlign w:val="center"/>
          </w:tcPr>
          <w:p w14:paraId="76A34E2D">
            <w:pPr>
              <w:widowControl w:val="0"/>
              <w:jc w:val="center"/>
              <w:textAlignment w:val="auto"/>
              <w:rPr>
                <w:szCs w:val="21"/>
              </w:rPr>
            </w:pPr>
          </w:p>
        </w:tc>
        <w:tc>
          <w:tcPr>
            <w:tcW w:w="1056" w:type="dxa"/>
            <w:vAlign w:val="center"/>
          </w:tcPr>
          <w:p w14:paraId="502C6E40">
            <w:pPr>
              <w:widowControl w:val="0"/>
              <w:jc w:val="center"/>
              <w:textAlignment w:val="auto"/>
              <w:rPr>
                <w:szCs w:val="21"/>
              </w:rPr>
            </w:pPr>
          </w:p>
        </w:tc>
        <w:tc>
          <w:tcPr>
            <w:tcW w:w="733" w:type="dxa"/>
            <w:vAlign w:val="center"/>
          </w:tcPr>
          <w:p w14:paraId="73898B24">
            <w:pPr>
              <w:widowControl w:val="0"/>
              <w:jc w:val="center"/>
              <w:textAlignment w:val="auto"/>
              <w:rPr>
                <w:szCs w:val="21"/>
              </w:rPr>
            </w:pPr>
          </w:p>
        </w:tc>
        <w:tc>
          <w:tcPr>
            <w:tcW w:w="733" w:type="dxa"/>
            <w:vAlign w:val="center"/>
          </w:tcPr>
          <w:p w14:paraId="711B5DA0">
            <w:pPr>
              <w:widowControl w:val="0"/>
              <w:jc w:val="center"/>
              <w:textAlignment w:val="auto"/>
              <w:rPr>
                <w:szCs w:val="21"/>
              </w:rPr>
            </w:pPr>
          </w:p>
        </w:tc>
        <w:tc>
          <w:tcPr>
            <w:tcW w:w="1215" w:type="dxa"/>
            <w:vAlign w:val="center"/>
          </w:tcPr>
          <w:p w14:paraId="3938D2AE">
            <w:pPr>
              <w:widowControl w:val="0"/>
              <w:jc w:val="center"/>
              <w:textAlignment w:val="auto"/>
              <w:rPr>
                <w:szCs w:val="21"/>
              </w:rPr>
            </w:pPr>
          </w:p>
        </w:tc>
        <w:tc>
          <w:tcPr>
            <w:tcW w:w="1714" w:type="dxa"/>
            <w:vAlign w:val="center"/>
          </w:tcPr>
          <w:p w14:paraId="40A624E5">
            <w:pPr>
              <w:widowControl w:val="0"/>
              <w:jc w:val="center"/>
              <w:textAlignment w:val="auto"/>
              <w:rPr>
                <w:szCs w:val="21"/>
              </w:rPr>
            </w:pPr>
          </w:p>
        </w:tc>
        <w:tc>
          <w:tcPr>
            <w:tcW w:w="878" w:type="dxa"/>
            <w:vAlign w:val="center"/>
          </w:tcPr>
          <w:p w14:paraId="4C2A345D">
            <w:pPr>
              <w:widowControl w:val="0"/>
              <w:jc w:val="center"/>
              <w:textAlignment w:val="auto"/>
              <w:rPr>
                <w:szCs w:val="21"/>
              </w:rPr>
            </w:pPr>
          </w:p>
        </w:tc>
      </w:tr>
      <w:tr w14:paraId="67A257C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666" w:type="dxa"/>
            <w:vAlign w:val="center"/>
          </w:tcPr>
          <w:p w14:paraId="062D95C1">
            <w:pPr>
              <w:widowControl w:val="0"/>
              <w:jc w:val="center"/>
              <w:textAlignment w:val="auto"/>
              <w:rPr>
                <w:szCs w:val="21"/>
              </w:rPr>
            </w:pPr>
          </w:p>
        </w:tc>
        <w:tc>
          <w:tcPr>
            <w:tcW w:w="1100" w:type="dxa"/>
            <w:vAlign w:val="center"/>
          </w:tcPr>
          <w:p w14:paraId="7F8D3BF0">
            <w:pPr>
              <w:widowControl w:val="0"/>
              <w:jc w:val="center"/>
              <w:textAlignment w:val="auto"/>
              <w:rPr>
                <w:szCs w:val="21"/>
              </w:rPr>
            </w:pPr>
          </w:p>
        </w:tc>
        <w:tc>
          <w:tcPr>
            <w:tcW w:w="694" w:type="dxa"/>
            <w:vAlign w:val="center"/>
          </w:tcPr>
          <w:p w14:paraId="6394873C">
            <w:pPr>
              <w:widowControl w:val="0"/>
              <w:jc w:val="center"/>
              <w:textAlignment w:val="auto"/>
              <w:rPr>
                <w:szCs w:val="21"/>
              </w:rPr>
            </w:pPr>
          </w:p>
        </w:tc>
        <w:tc>
          <w:tcPr>
            <w:tcW w:w="1056" w:type="dxa"/>
            <w:vAlign w:val="center"/>
          </w:tcPr>
          <w:p w14:paraId="494D2A22">
            <w:pPr>
              <w:widowControl w:val="0"/>
              <w:jc w:val="center"/>
              <w:textAlignment w:val="auto"/>
              <w:rPr>
                <w:szCs w:val="21"/>
              </w:rPr>
            </w:pPr>
          </w:p>
        </w:tc>
        <w:tc>
          <w:tcPr>
            <w:tcW w:w="733" w:type="dxa"/>
            <w:vAlign w:val="center"/>
          </w:tcPr>
          <w:p w14:paraId="32174EAF">
            <w:pPr>
              <w:widowControl w:val="0"/>
              <w:jc w:val="center"/>
              <w:textAlignment w:val="auto"/>
              <w:rPr>
                <w:szCs w:val="21"/>
              </w:rPr>
            </w:pPr>
          </w:p>
        </w:tc>
        <w:tc>
          <w:tcPr>
            <w:tcW w:w="733" w:type="dxa"/>
            <w:vAlign w:val="center"/>
          </w:tcPr>
          <w:p w14:paraId="30E804D4">
            <w:pPr>
              <w:widowControl w:val="0"/>
              <w:jc w:val="center"/>
              <w:textAlignment w:val="auto"/>
              <w:rPr>
                <w:szCs w:val="21"/>
              </w:rPr>
            </w:pPr>
          </w:p>
        </w:tc>
        <w:tc>
          <w:tcPr>
            <w:tcW w:w="1215" w:type="dxa"/>
            <w:vAlign w:val="center"/>
          </w:tcPr>
          <w:p w14:paraId="6C14BE6E">
            <w:pPr>
              <w:widowControl w:val="0"/>
              <w:jc w:val="center"/>
              <w:textAlignment w:val="auto"/>
              <w:rPr>
                <w:szCs w:val="21"/>
              </w:rPr>
            </w:pPr>
          </w:p>
        </w:tc>
        <w:tc>
          <w:tcPr>
            <w:tcW w:w="1714" w:type="dxa"/>
            <w:vAlign w:val="center"/>
          </w:tcPr>
          <w:p w14:paraId="58D6C076">
            <w:pPr>
              <w:widowControl w:val="0"/>
              <w:jc w:val="center"/>
              <w:textAlignment w:val="auto"/>
              <w:rPr>
                <w:szCs w:val="21"/>
              </w:rPr>
            </w:pPr>
          </w:p>
        </w:tc>
        <w:tc>
          <w:tcPr>
            <w:tcW w:w="878" w:type="dxa"/>
            <w:vAlign w:val="center"/>
          </w:tcPr>
          <w:p w14:paraId="491E6ED6">
            <w:pPr>
              <w:widowControl w:val="0"/>
              <w:jc w:val="center"/>
              <w:textAlignment w:val="auto"/>
              <w:rPr>
                <w:szCs w:val="21"/>
              </w:rPr>
            </w:pPr>
          </w:p>
        </w:tc>
      </w:tr>
      <w:tr w14:paraId="42AB779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666" w:type="dxa"/>
            <w:vAlign w:val="center"/>
          </w:tcPr>
          <w:p w14:paraId="0FB34C10">
            <w:pPr>
              <w:widowControl w:val="0"/>
              <w:jc w:val="center"/>
              <w:textAlignment w:val="auto"/>
              <w:rPr>
                <w:szCs w:val="21"/>
              </w:rPr>
            </w:pPr>
          </w:p>
        </w:tc>
        <w:tc>
          <w:tcPr>
            <w:tcW w:w="1100" w:type="dxa"/>
            <w:vAlign w:val="center"/>
          </w:tcPr>
          <w:p w14:paraId="5B0237FE">
            <w:pPr>
              <w:widowControl w:val="0"/>
              <w:jc w:val="center"/>
              <w:textAlignment w:val="auto"/>
              <w:rPr>
                <w:szCs w:val="21"/>
              </w:rPr>
            </w:pPr>
          </w:p>
        </w:tc>
        <w:tc>
          <w:tcPr>
            <w:tcW w:w="694" w:type="dxa"/>
            <w:vAlign w:val="center"/>
          </w:tcPr>
          <w:p w14:paraId="608C30DA">
            <w:pPr>
              <w:widowControl w:val="0"/>
              <w:jc w:val="center"/>
              <w:textAlignment w:val="auto"/>
              <w:rPr>
                <w:szCs w:val="21"/>
              </w:rPr>
            </w:pPr>
          </w:p>
        </w:tc>
        <w:tc>
          <w:tcPr>
            <w:tcW w:w="1056" w:type="dxa"/>
            <w:vAlign w:val="center"/>
          </w:tcPr>
          <w:p w14:paraId="4C2DE7BA">
            <w:pPr>
              <w:widowControl w:val="0"/>
              <w:jc w:val="center"/>
              <w:textAlignment w:val="auto"/>
              <w:rPr>
                <w:szCs w:val="21"/>
              </w:rPr>
            </w:pPr>
          </w:p>
        </w:tc>
        <w:tc>
          <w:tcPr>
            <w:tcW w:w="733" w:type="dxa"/>
            <w:vAlign w:val="center"/>
          </w:tcPr>
          <w:p w14:paraId="66F95BA5">
            <w:pPr>
              <w:widowControl w:val="0"/>
              <w:jc w:val="center"/>
              <w:textAlignment w:val="auto"/>
              <w:rPr>
                <w:szCs w:val="21"/>
              </w:rPr>
            </w:pPr>
          </w:p>
        </w:tc>
        <w:tc>
          <w:tcPr>
            <w:tcW w:w="733" w:type="dxa"/>
            <w:vAlign w:val="center"/>
          </w:tcPr>
          <w:p w14:paraId="7C5686DE">
            <w:pPr>
              <w:widowControl w:val="0"/>
              <w:jc w:val="center"/>
              <w:textAlignment w:val="auto"/>
              <w:rPr>
                <w:szCs w:val="21"/>
              </w:rPr>
            </w:pPr>
          </w:p>
        </w:tc>
        <w:tc>
          <w:tcPr>
            <w:tcW w:w="1215" w:type="dxa"/>
            <w:vAlign w:val="center"/>
          </w:tcPr>
          <w:p w14:paraId="59C01900">
            <w:pPr>
              <w:widowControl w:val="0"/>
              <w:jc w:val="center"/>
              <w:textAlignment w:val="auto"/>
              <w:rPr>
                <w:szCs w:val="21"/>
              </w:rPr>
            </w:pPr>
          </w:p>
        </w:tc>
        <w:tc>
          <w:tcPr>
            <w:tcW w:w="1714" w:type="dxa"/>
            <w:vAlign w:val="center"/>
          </w:tcPr>
          <w:p w14:paraId="1F34AE5C">
            <w:pPr>
              <w:widowControl w:val="0"/>
              <w:jc w:val="center"/>
              <w:textAlignment w:val="auto"/>
              <w:rPr>
                <w:szCs w:val="21"/>
              </w:rPr>
            </w:pPr>
          </w:p>
        </w:tc>
        <w:tc>
          <w:tcPr>
            <w:tcW w:w="878" w:type="dxa"/>
            <w:vAlign w:val="center"/>
          </w:tcPr>
          <w:p w14:paraId="30994311">
            <w:pPr>
              <w:widowControl w:val="0"/>
              <w:jc w:val="center"/>
              <w:textAlignment w:val="auto"/>
              <w:rPr>
                <w:szCs w:val="21"/>
              </w:rPr>
            </w:pPr>
          </w:p>
        </w:tc>
      </w:tr>
      <w:tr w14:paraId="53D7B2A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666" w:type="dxa"/>
            <w:vAlign w:val="center"/>
          </w:tcPr>
          <w:p w14:paraId="7A8414A8">
            <w:pPr>
              <w:widowControl w:val="0"/>
              <w:jc w:val="center"/>
              <w:textAlignment w:val="auto"/>
              <w:rPr>
                <w:szCs w:val="21"/>
              </w:rPr>
            </w:pPr>
          </w:p>
        </w:tc>
        <w:tc>
          <w:tcPr>
            <w:tcW w:w="1100" w:type="dxa"/>
            <w:vAlign w:val="center"/>
          </w:tcPr>
          <w:p w14:paraId="3FFF6E3C">
            <w:pPr>
              <w:widowControl w:val="0"/>
              <w:jc w:val="center"/>
              <w:textAlignment w:val="auto"/>
              <w:rPr>
                <w:szCs w:val="21"/>
              </w:rPr>
            </w:pPr>
          </w:p>
        </w:tc>
        <w:tc>
          <w:tcPr>
            <w:tcW w:w="694" w:type="dxa"/>
            <w:vAlign w:val="center"/>
          </w:tcPr>
          <w:p w14:paraId="272A7D64">
            <w:pPr>
              <w:widowControl w:val="0"/>
              <w:jc w:val="center"/>
              <w:textAlignment w:val="auto"/>
              <w:rPr>
                <w:szCs w:val="21"/>
              </w:rPr>
            </w:pPr>
          </w:p>
        </w:tc>
        <w:tc>
          <w:tcPr>
            <w:tcW w:w="1056" w:type="dxa"/>
            <w:vAlign w:val="center"/>
          </w:tcPr>
          <w:p w14:paraId="32A9C516">
            <w:pPr>
              <w:widowControl w:val="0"/>
              <w:jc w:val="center"/>
              <w:textAlignment w:val="auto"/>
              <w:rPr>
                <w:szCs w:val="21"/>
              </w:rPr>
            </w:pPr>
          </w:p>
        </w:tc>
        <w:tc>
          <w:tcPr>
            <w:tcW w:w="733" w:type="dxa"/>
            <w:vAlign w:val="center"/>
          </w:tcPr>
          <w:p w14:paraId="553A0270">
            <w:pPr>
              <w:widowControl w:val="0"/>
              <w:jc w:val="center"/>
              <w:textAlignment w:val="auto"/>
              <w:rPr>
                <w:szCs w:val="21"/>
              </w:rPr>
            </w:pPr>
          </w:p>
        </w:tc>
        <w:tc>
          <w:tcPr>
            <w:tcW w:w="733" w:type="dxa"/>
            <w:vAlign w:val="center"/>
          </w:tcPr>
          <w:p w14:paraId="03565D12">
            <w:pPr>
              <w:widowControl w:val="0"/>
              <w:jc w:val="center"/>
              <w:textAlignment w:val="auto"/>
              <w:rPr>
                <w:szCs w:val="21"/>
              </w:rPr>
            </w:pPr>
          </w:p>
        </w:tc>
        <w:tc>
          <w:tcPr>
            <w:tcW w:w="1215" w:type="dxa"/>
            <w:vAlign w:val="center"/>
          </w:tcPr>
          <w:p w14:paraId="38CC0A61">
            <w:pPr>
              <w:widowControl w:val="0"/>
              <w:jc w:val="center"/>
              <w:textAlignment w:val="auto"/>
              <w:rPr>
                <w:szCs w:val="21"/>
              </w:rPr>
            </w:pPr>
          </w:p>
        </w:tc>
        <w:tc>
          <w:tcPr>
            <w:tcW w:w="1714" w:type="dxa"/>
            <w:vAlign w:val="center"/>
          </w:tcPr>
          <w:p w14:paraId="510B03A0">
            <w:pPr>
              <w:widowControl w:val="0"/>
              <w:jc w:val="center"/>
              <w:textAlignment w:val="auto"/>
              <w:rPr>
                <w:szCs w:val="21"/>
              </w:rPr>
            </w:pPr>
          </w:p>
        </w:tc>
        <w:tc>
          <w:tcPr>
            <w:tcW w:w="878" w:type="dxa"/>
            <w:vAlign w:val="center"/>
          </w:tcPr>
          <w:p w14:paraId="51B881F5">
            <w:pPr>
              <w:widowControl w:val="0"/>
              <w:jc w:val="center"/>
              <w:textAlignment w:val="auto"/>
              <w:rPr>
                <w:szCs w:val="21"/>
              </w:rPr>
            </w:pPr>
          </w:p>
        </w:tc>
      </w:tr>
      <w:tr w14:paraId="0F3827D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666" w:type="dxa"/>
            <w:vAlign w:val="center"/>
          </w:tcPr>
          <w:p w14:paraId="0CA43EF4">
            <w:pPr>
              <w:widowControl w:val="0"/>
              <w:jc w:val="center"/>
              <w:textAlignment w:val="auto"/>
              <w:rPr>
                <w:szCs w:val="21"/>
              </w:rPr>
            </w:pPr>
          </w:p>
        </w:tc>
        <w:tc>
          <w:tcPr>
            <w:tcW w:w="1100" w:type="dxa"/>
            <w:vAlign w:val="center"/>
          </w:tcPr>
          <w:p w14:paraId="75E36A51">
            <w:pPr>
              <w:widowControl w:val="0"/>
              <w:jc w:val="center"/>
              <w:textAlignment w:val="auto"/>
              <w:rPr>
                <w:szCs w:val="21"/>
              </w:rPr>
            </w:pPr>
          </w:p>
        </w:tc>
        <w:tc>
          <w:tcPr>
            <w:tcW w:w="694" w:type="dxa"/>
            <w:vAlign w:val="center"/>
          </w:tcPr>
          <w:p w14:paraId="7D9B33F1">
            <w:pPr>
              <w:widowControl w:val="0"/>
              <w:jc w:val="center"/>
              <w:textAlignment w:val="auto"/>
              <w:rPr>
                <w:szCs w:val="21"/>
              </w:rPr>
            </w:pPr>
          </w:p>
        </w:tc>
        <w:tc>
          <w:tcPr>
            <w:tcW w:w="1056" w:type="dxa"/>
            <w:vAlign w:val="center"/>
          </w:tcPr>
          <w:p w14:paraId="7206F307">
            <w:pPr>
              <w:widowControl w:val="0"/>
              <w:jc w:val="center"/>
              <w:textAlignment w:val="auto"/>
              <w:rPr>
                <w:szCs w:val="21"/>
              </w:rPr>
            </w:pPr>
          </w:p>
        </w:tc>
        <w:tc>
          <w:tcPr>
            <w:tcW w:w="733" w:type="dxa"/>
            <w:vAlign w:val="center"/>
          </w:tcPr>
          <w:p w14:paraId="23C15363">
            <w:pPr>
              <w:widowControl w:val="0"/>
              <w:jc w:val="center"/>
              <w:textAlignment w:val="auto"/>
              <w:rPr>
                <w:szCs w:val="21"/>
              </w:rPr>
            </w:pPr>
          </w:p>
        </w:tc>
        <w:tc>
          <w:tcPr>
            <w:tcW w:w="733" w:type="dxa"/>
            <w:vAlign w:val="center"/>
          </w:tcPr>
          <w:p w14:paraId="10D0E721">
            <w:pPr>
              <w:widowControl w:val="0"/>
              <w:jc w:val="center"/>
              <w:textAlignment w:val="auto"/>
              <w:rPr>
                <w:szCs w:val="21"/>
              </w:rPr>
            </w:pPr>
          </w:p>
        </w:tc>
        <w:tc>
          <w:tcPr>
            <w:tcW w:w="1215" w:type="dxa"/>
            <w:vAlign w:val="center"/>
          </w:tcPr>
          <w:p w14:paraId="05EF4CE0">
            <w:pPr>
              <w:widowControl w:val="0"/>
              <w:jc w:val="center"/>
              <w:textAlignment w:val="auto"/>
              <w:rPr>
                <w:szCs w:val="21"/>
              </w:rPr>
            </w:pPr>
          </w:p>
        </w:tc>
        <w:tc>
          <w:tcPr>
            <w:tcW w:w="1714" w:type="dxa"/>
            <w:vAlign w:val="center"/>
          </w:tcPr>
          <w:p w14:paraId="0C55B7F4">
            <w:pPr>
              <w:widowControl w:val="0"/>
              <w:jc w:val="center"/>
              <w:textAlignment w:val="auto"/>
              <w:rPr>
                <w:szCs w:val="21"/>
              </w:rPr>
            </w:pPr>
          </w:p>
        </w:tc>
        <w:tc>
          <w:tcPr>
            <w:tcW w:w="878" w:type="dxa"/>
            <w:vAlign w:val="center"/>
          </w:tcPr>
          <w:p w14:paraId="7F9F4E9F">
            <w:pPr>
              <w:widowControl w:val="0"/>
              <w:jc w:val="center"/>
              <w:textAlignment w:val="auto"/>
              <w:rPr>
                <w:szCs w:val="21"/>
              </w:rPr>
            </w:pPr>
          </w:p>
        </w:tc>
      </w:tr>
      <w:tr w14:paraId="11BAD74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666" w:type="dxa"/>
            <w:vAlign w:val="center"/>
          </w:tcPr>
          <w:p w14:paraId="7A825A1D">
            <w:pPr>
              <w:widowControl w:val="0"/>
              <w:jc w:val="center"/>
              <w:textAlignment w:val="auto"/>
              <w:rPr>
                <w:szCs w:val="21"/>
              </w:rPr>
            </w:pPr>
          </w:p>
        </w:tc>
        <w:tc>
          <w:tcPr>
            <w:tcW w:w="1100" w:type="dxa"/>
            <w:vAlign w:val="center"/>
          </w:tcPr>
          <w:p w14:paraId="1F964EE5">
            <w:pPr>
              <w:widowControl w:val="0"/>
              <w:jc w:val="center"/>
              <w:textAlignment w:val="auto"/>
              <w:rPr>
                <w:szCs w:val="21"/>
              </w:rPr>
            </w:pPr>
          </w:p>
        </w:tc>
        <w:tc>
          <w:tcPr>
            <w:tcW w:w="694" w:type="dxa"/>
            <w:vAlign w:val="center"/>
          </w:tcPr>
          <w:p w14:paraId="115A4DBE">
            <w:pPr>
              <w:widowControl w:val="0"/>
              <w:jc w:val="center"/>
              <w:textAlignment w:val="auto"/>
              <w:rPr>
                <w:szCs w:val="21"/>
              </w:rPr>
            </w:pPr>
          </w:p>
        </w:tc>
        <w:tc>
          <w:tcPr>
            <w:tcW w:w="1056" w:type="dxa"/>
            <w:vAlign w:val="center"/>
          </w:tcPr>
          <w:p w14:paraId="3EA9C6B1">
            <w:pPr>
              <w:widowControl w:val="0"/>
              <w:jc w:val="center"/>
              <w:textAlignment w:val="auto"/>
              <w:rPr>
                <w:szCs w:val="21"/>
              </w:rPr>
            </w:pPr>
          </w:p>
        </w:tc>
        <w:tc>
          <w:tcPr>
            <w:tcW w:w="733" w:type="dxa"/>
            <w:vAlign w:val="center"/>
          </w:tcPr>
          <w:p w14:paraId="5B38DE2B">
            <w:pPr>
              <w:widowControl w:val="0"/>
              <w:jc w:val="center"/>
              <w:textAlignment w:val="auto"/>
              <w:rPr>
                <w:szCs w:val="21"/>
              </w:rPr>
            </w:pPr>
          </w:p>
        </w:tc>
        <w:tc>
          <w:tcPr>
            <w:tcW w:w="733" w:type="dxa"/>
            <w:vAlign w:val="center"/>
          </w:tcPr>
          <w:p w14:paraId="0B1D6144">
            <w:pPr>
              <w:widowControl w:val="0"/>
              <w:jc w:val="center"/>
              <w:textAlignment w:val="auto"/>
              <w:rPr>
                <w:szCs w:val="21"/>
              </w:rPr>
            </w:pPr>
          </w:p>
        </w:tc>
        <w:tc>
          <w:tcPr>
            <w:tcW w:w="1215" w:type="dxa"/>
            <w:vAlign w:val="center"/>
          </w:tcPr>
          <w:p w14:paraId="4ED87BCC">
            <w:pPr>
              <w:widowControl w:val="0"/>
              <w:jc w:val="center"/>
              <w:textAlignment w:val="auto"/>
              <w:rPr>
                <w:szCs w:val="21"/>
              </w:rPr>
            </w:pPr>
          </w:p>
        </w:tc>
        <w:tc>
          <w:tcPr>
            <w:tcW w:w="1714" w:type="dxa"/>
            <w:vAlign w:val="center"/>
          </w:tcPr>
          <w:p w14:paraId="0646E9C1">
            <w:pPr>
              <w:widowControl w:val="0"/>
              <w:jc w:val="center"/>
              <w:textAlignment w:val="auto"/>
              <w:rPr>
                <w:szCs w:val="21"/>
              </w:rPr>
            </w:pPr>
          </w:p>
        </w:tc>
        <w:tc>
          <w:tcPr>
            <w:tcW w:w="878" w:type="dxa"/>
            <w:vAlign w:val="center"/>
          </w:tcPr>
          <w:p w14:paraId="7FA44705">
            <w:pPr>
              <w:widowControl w:val="0"/>
              <w:jc w:val="center"/>
              <w:textAlignment w:val="auto"/>
              <w:rPr>
                <w:szCs w:val="21"/>
              </w:rPr>
            </w:pPr>
          </w:p>
        </w:tc>
      </w:tr>
      <w:tr w14:paraId="7C40445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666" w:type="dxa"/>
            <w:vAlign w:val="center"/>
          </w:tcPr>
          <w:p w14:paraId="37648CCC">
            <w:pPr>
              <w:widowControl w:val="0"/>
              <w:jc w:val="center"/>
              <w:textAlignment w:val="auto"/>
              <w:rPr>
                <w:szCs w:val="21"/>
              </w:rPr>
            </w:pPr>
          </w:p>
        </w:tc>
        <w:tc>
          <w:tcPr>
            <w:tcW w:w="1100" w:type="dxa"/>
            <w:vAlign w:val="center"/>
          </w:tcPr>
          <w:p w14:paraId="400C2D40">
            <w:pPr>
              <w:widowControl w:val="0"/>
              <w:jc w:val="center"/>
              <w:textAlignment w:val="auto"/>
              <w:rPr>
                <w:szCs w:val="21"/>
              </w:rPr>
            </w:pPr>
          </w:p>
        </w:tc>
        <w:tc>
          <w:tcPr>
            <w:tcW w:w="694" w:type="dxa"/>
            <w:vAlign w:val="center"/>
          </w:tcPr>
          <w:p w14:paraId="5198629D">
            <w:pPr>
              <w:widowControl w:val="0"/>
              <w:jc w:val="center"/>
              <w:textAlignment w:val="auto"/>
              <w:rPr>
                <w:szCs w:val="21"/>
              </w:rPr>
            </w:pPr>
          </w:p>
        </w:tc>
        <w:tc>
          <w:tcPr>
            <w:tcW w:w="1056" w:type="dxa"/>
            <w:vAlign w:val="center"/>
          </w:tcPr>
          <w:p w14:paraId="108431A1">
            <w:pPr>
              <w:widowControl w:val="0"/>
              <w:jc w:val="center"/>
              <w:textAlignment w:val="auto"/>
              <w:rPr>
                <w:szCs w:val="21"/>
              </w:rPr>
            </w:pPr>
          </w:p>
        </w:tc>
        <w:tc>
          <w:tcPr>
            <w:tcW w:w="733" w:type="dxa"/>
            <w:vAlign w:val="center"/>
          </w:tcPr>
          <w:p w14:paraId="33C26B25">
            <w:pPr>
              <w:widowControl w:val="0"/>
              <w:jc w:val="center"/>
              <w:textAlignment w:val="auto"/>
              <w:rPr>
                <w:szCs w:val="21"/>
              </w:rPr>
            </w:pPr>
          </w:p>
        </w:tc>
        <w:tc>
          <w:tcPr>
            <w:tcW w:w="733" w:type="dxa"/>
            <w:vAlign w:val="center"/>
          </w:tcPr>
          <w:p w14:paraId="6F57E8C2">
            <w:pPr>
              <w:widowControl w:val="0"/>
              <w:jc w:val="center"/>
              <w:textAlignment w:val="auto"/>
              <w:rPr>
                <w:szCs w:val="21"/>
              </w:rPr>
            </w:pPr>
          </w:p>
        </w:tc>
        <w:tc>
          <w:tcPr>
            <w:tcW w:w="1215" w:type="dxa"/>
            <w:vAlign w:val="center"/>
          </w:tcPr>
          <w:p w14:paraId="33B854E3">
            <w:pPr>
              <w:widowControl w:val="0"/>
              <w:jc w:val="center"/>
              <w:textAlignment w:val="auto"/>
              <w:rPr>
                <w:szCs w:val="21"/>
              </w:rPr>
            </w:pPr>
          </w:p>
        </w:tc>
        <w:tc>
          <w:tcPr>
            <w:tcW w:w="1714" w:type="dxa"/>
            <w:vAlign w:val="center"/>
          </w:tcPr>
          <w:p w14:paraId="6C7A6F23">
            <w:pPr>
              <w:widowControl w:val="0"/>
              <w:jc w:val="center"/>
              <w:textAlignment w:val="auto"/>
              <w:rPr>
                <w:szCs w:val="21"/>
              </w:rPr>
            </w:pPr>
          </w:p>
        </w:tc>
        <w:tc>
          <w:tcPr>
            <w:tcW w:w="878" w:type="dxa"/>
            <w:vAlign w:val="center"/>
          </w:tcPr>
          <w:p w14:paraId="57625514">
            <w:pPr>
              <w:widowControl w:val="0"/>
              <w:jc w:val="center"/>
              <w:textAlignment w:val="auto"/>
              <w:rPr>
                <w:szCs w:val="21"/>
              </w:rPr>
            </w:pPr>
          </w:p>
        </w:tc>
      </w:tr>
      <w:tr w14:paraId="7707BFC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666" w:type="dxa"/>
            <w:vAlign w:val="center"/>
          </w:tcPr>
          <w:p w14:paraId="274E3FFF">
            <w:pPr>
              <w:widowControl w:val="0"/>
              <w:jc w:val="center"/>
              <w:textAlignment w:val="auto"/>
              <w:rPr>
                <w:szCs w:val="21"/>
              </w:rPr>
            </w:pPr>
          </w:p>
        </w:tc>
        <w:tc>
          <w:tcPr>
            <w:tcW w:w="1100" w:type="dxa"/>
            <w:vAlign w:val="center"/>
          </w:tcPr>
          <w:p w14:paraId="61A25BEF">
            <w:pPr>
              <w:widowControl w:val="0"/>
              <w:jc w:val="center"/>
              <w:textAlignment w:val="auto"/>
              <w:rPr>
                <w:szCs w:val="21"/>
              </w:rPr>
            </w:pPr>
          </w:p>
        </w:tc>
        <w:tc>
          <w:tcPr>
            <w:tcW w:w="694" w:type="dxa"/>
            <w:vAlign w:val="center"/>
          </w:tcPr>
          <w:p w14:paraId="220822C3">
            <w:pPr>
              <w:widowControl w:val="0"/>
              <w:jc w:val="center"/>
              <w:textAlignment w:val="auto"/>
              <w:rPr>
                <w:szCs w:val="21"/>
              </w:rPr>
            </w:pPr>
          </w:p>
        </w:tc>
        <w:tc>
          <w:tcPr>
            <w:tcW w:w="1056" w:type="dxa"/>
            <w:vAlign w:val="center"/>
          </w:tcPr>
          <w:p w14:paraId="1F97763F">
            <w:pPr>
              <w:widowControl w:val="0"/>
              <w:jc w:val="center"/>
              <w:textAlignment w:val="auto"/>
              <w:rPr>
                <w:szCs w:val="21"/>
              </w:rPr>
            </w:pPr>
          </w:p>
        </w:tc>
        <w:tc>
          <w:tcPr>
            <w:tcW w:w="733" w:type="dxa"/>
            <w:vAlign w:val="center"/>
          </w:tcPr>
          <w:p w14:paraId="46097F97">
            <w:pPr>
              <w:widowControl w:val="0"/>
              <w:jc w:val="center"/>
              <w:textAlignment w:val="auto"/>
              <w:rPr>
                <w:szCs w:val="21"/>
              </w:rPr>
            </w:pPr>
          </w:p>
        </w:tc>
        <w:tc>
          <w:tcPr>
            <w:tcW w:w="733" w:type="dxa"/>
            <w:vAlign w:val="center"/>
          </w:tcPr>
          <w:p w14:paraId="47EC3F68">
            <w:pPr>
              <w:widowControl w:val="0"/>
              <w:jc w:val="center"/>
              <w:textAlignment w:val="auto"/>
              <w:rPr>
                <w:szCs w:val="21"/>
              </w:rPr>
            </w:pPr>
          </w:p>
        </w:tc>
        <w:tc>
          <w:tcPr>
            <w:tcW w:w="1215" w:type="dxa"/>
            <w:vAlign w:val="center"/>
          </w:tcPr>
          <w:p w14:paraId="0848E099">
            <w:pPr>
              <w:widowControl w:val="0"/>
              <w:jc w:val="center"/>
              <w:textAlignment w:val="auto"/>
              <w:rPr>
                <w:szCs w:val="21"/>
              </w:rPr>
            </w:pPr>
          </w:p>
        </w:tc>
        <w:tc>
          <w:tcPr>
            <w:tcW w:w="1714" w:type="dxa"/>
            <w:vAlign w:val="center"/>
          </w:tcPr>
          <w:p w14:paraId="17CA6B43">
            <w:pPr>
              <w:widowControl w:val="0"/>
              <w:jc w:val="center"/>
              <w:textAlignment w:val="auto"/>
              <w:rPr>
                <w:szCs w:val="21"/>
              </w:rPr>
            </w:pPr>
          </w:p>
        </w:tc>
        <w:tc>
          <w:tcPr>
            <w:tcW w:w="878" w:type="dxa"/>
            <w:vAlign w:val="center"/>
          </w:tcPr>
          <w:p w14:paraId="637923FC">
            <w:pPr>
              <w:widowControl w:val="0"/>
              <w:jc w:val="center"/>
              <w:textAlignment w:val="auto"/>
              <w:rPr>
                <w:szCs w:val="21"/>
              </w:rPr>
            </w:pPr>
          </w:p>
        </w:tc>
      </w:tr>
      <w:tr w14:paraId="222EB25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666" w:type="dxa"/>
            <w:vAlign w:val="center"/>
          </w:tcPr>
          <w:p w14:paraId="7BF1D7F0">
            <w:pPr>
              <w:widowControl w:val="0"/>
              <w:jc w:val="center"/>
              <w:textAlignment w:val="auto"/>
              <w:rPr>
                <w:szCs w:val="21"/>
              </w:rPr>
            </w:pPr>
          </w:p>
        </w:tc>
        <w:tc>
          <w:tcPr>
            <w:tcW w:w="1100" w:type="dxa"/>
            <w:vAlign w:val="center"/>
          </w:tcPr>
          <w:p w14:paraId="5EA86FF8">
            <w:pPr>
              <w:widowControl w:val="0"/>
              <w:jc w:val="center"/>
              <w:textAlignment w:val="auto"/>
              <w:rPr>
                <w:szCs w:val="21"/>
              </w:rPr>
            </w:pPr>
          </w:p>
        </w:tc>
        <w:tc>
          <w:tcPr>
            <w:tcW w:w="694" w:type="dxa"/>
            <w:vAlign w:val="center"/>
          </w:tcPr>
          <w:p w14:paraId="562FE3F6">
            <w:pPr>
              <w:widowControl w:val="0"/>
              <w:jc w:val="center"/>
              <w:textAlignment w:val="auto"/>
              <w:rPr>
                <w:szCs w:val="21"/>
              </w:rPr>
            </w:pPr>
          </w:p>
        </w:tc>
        <w:tc>
          <w:tcPr>
            <w:tcW w:w="1056" w:type="dxa"/>
            <w:vAlign w:val="center"/>
          </w:tcPr>
          <w:p w14:paraId="58D5950E">
            <w:pPr>
              <w:widowControl w:val="0"/>
              <w:jc w:val="center"/>
              <w:textAlignment w:val="auto"/>
              <w:rPr>
                <w:szCs w:val="21"/>
              </w:rPr>
            </w:pPr>
          </w:p>
        </w:tc>
        <w:tc>
          <w:tcPr>
            <w:tcW w:w="733" w:type="dxa"/>
            <w:vAlign w:val="center"/>
          </w:tcPr>
          <w:p w14:paraId="3637624E">
            <w:pPr>
              <w:widowControl w:val="0"/>
              <w:jc w:val="center"/>
              <w:textAlignment w:val="auto"/>
              <w:rPr>
                <w:szCs w:val="21"/>
              </w:rPr>
            </w:pPr>
          </w:p>
        </w:tc>
        <w:tc>
          <w:tcPr>
            <w:tcW w:w="733" w:type="dxa"/>
            <w:vAlign w:val="center"/>
          </w:tcPr>
          <w:p w14:paraId="126C24DF">
            <w:pPr>
              <w:widowControl w:val="0"/>
              <w:jc w:val="center"/>
              <w:textAlignment w:val="auto"/>
              <w:rPr>
                <w:szCs w:val="21"/>
              </w:rPr>
            </w:pPr>
          </w:p>
        </w:tc>
        <w:tc>
          <w:tcPr>
            <w:tcW w:w="1215" w:type="dxa"/>
            <w:vAlign w:val="center"/>
          </w:tcPr>
          <w:p w14:paraId="31ECC42F">
            <w:pPr>
              <w:widowControl w:val="0"/>
              <w:jc w:val="center"/>
              <w:textAlignment w:val="auto"/>
              <w:rPr>
                <w:szCs w:val="21"/>
              </w:rPr>
            </w:pPr>
          </w:p>
        </w:tc>
        <w:tc>
          <w:tcPr>
            <w:tcW w:w="1714" w:type="dxa"/>
            <w:vAlign w:val="center"/>
          </w:tcPr>
          <w:p w14:paraId="6DC7A2E0">
            <w:pPr>
              <w:widowControl w:val="0"/>
              <w:jc w:val="center"/>
              <w:textAlignment w:val="auto"/>
              <w:rPr>
                <w:szCs w:val="21"/>
              </w:rPr>
            </w:pPr>
          </w:p>
        </w:tc>
        <w:tc>
          <w:tcPr>
            <w:tcW w:w="878" w:type="dxa"/>
            <w:vAlign w:val="center"/>
          </w:tcPr>
          <w:p w14:paraId="074032FD">
            <w:pPr>
              <w:widowControl w:val="0"/>
              <w:jc w:val="center"/>
              <w:textAlignment w:val="auto"/>
              <w:rPr>
                <w:szCs w:val="21"/>
              </w:rPr>
            </w:pPr>
          </w:p>
        </w:tc>
      </w:tr>
      <w:tr w14:paraId="260EA20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666" w:type="dxa"/>
            <w:vAlign w:val="center"/>
          </w:tcPr>
          <w:p w14:paraId="0980C18C">
            <w:pPr>
              <w:widowControl w:val="0"/>
              <w:jc w:val="center"/>
              <w:textAlignment w:val="auto"/>
              <w:rPr>
                <w:szCs w:val="21"/>
              </w:rPr>
            </w:pPr>
          </w:p>
        </w:tc>
        <w:tc>
          <w:tcPr>
            <w:tcW w:w="1100" w:type="dxa"/>
            <w:vAlign w:val="center"/>
          </w:tcPr>
          <w:p w14:paraId="55DEB90E">
            <w:pPr>
              <w:widowControl w:val="0"/>
              <w:jc w:val="center"/>
              <w:textAlignment w:val="auto"/>
              <w:rPr>
                <w:szCs w:val="21"/>
              </w:rPr>
            </w:pPr>
          </w:p>
        </w:tc>
        <w:tc>
          <w:tcPr>
            <w:tcW w:w="694" w:type="dxa"/>
            <w:vAlign w:val="center"/>
          </w:tcPr>
          <w:p w14:paraId="2FDBDC37">
            <w:pPr>
              <w:widowControl w:val="0"/>
              <w:jc w:val="center"/>
              <w:textAlignment w:val="auto"/>
              <w:rPr>
                <w:szCs w:val="21"/>
              </w:rPr>
            </w:pPr>
          </w:p>
        </w:tc>
        <w:tc>
          <w:tcPr>
            <w:tcW w:w="1056" w:type="dxa"/>
            <w:vAlign w:val="center"/>
          </w:tcPr>
          <w:p w14:paraId="23D5D9D1">
            <w:pPr>
              <w:widowControl w:val="0"/>
              <w:jc w:val="center"/>
              <w:textAlignment w:val="auto"/>
              <w:rPr>
                <w:szCs w:val="21"/>
              </w:rPr>
            </w:pPr>
          </w:p>
        </w:tc>
        <w:tc>
          <w:tcPr>
            <w:tcW w:w="733" w:type="dxa"/>
            <w:vAlign w:val="center"/>
          </w:tcPr>
          <w:p w14:paraId="4EEEC6F9">
            <w:pPr>
              <w:widowControl w:val="0"/>
              <w:jc w:val="center"/>
              <w:textAlignment w:val="auto"/>
              <w:rPr>
                <w:szCs w:val="21"/>
              </w:rPr>
            </w:pPr>
          </w:p>
        </w:tc>
        <w:tc>
          <w:tcPr>
            <w:tcW w:w="733" w:type="dxa"/>
            <w:vAlign w:val="center"/>
          </w:tcPr>
          <w:p w14:paraId="73DC0D81">
            <w:pPr>
              <w:widowControl w:val="0"/>
              <w:jc w:val="center"/>
              <w:textAlignment w:val="auto"/>
              <w:rPr>
                <w:szCs w:val="21"/>
              </w:rPr>
            </w:pPr>
          </w:p>
        </w:tc>
        <w:tc>
          <w:tcPr>
            <w:tcW w:w="1215" w:type="dxa"/>
            <w:vAlign w:val="center"/>
          </w:tcPr>
          <w:p w14:paraId="7C241E20">
            <w:pPr>
              <w:widowControl w:val="0"/>
              <w:jc w:val="center"/>
              <w:textAlignment w:val="auto"/>
              <w:rPr>
                <w:szCs w:val="21"/>
              </w:rPr>
            </w:pPr>
          </w:p>
        </w:tc>
        <w:tc>
          <w:tcPr>
            <w:tcW w:w="1714" w:type="dxa"/>
            <w:vAlign w:val="center"/>
          </w:tcPr>
          <w:p w14:paraId="68061EA8">
            <w:pPr>
              <w:widowControl w:val="0"/>
              <w:jc w:val="center"/>
              <w:textAlignment w:val="auto"/>
              <w:rPr>
                <w:szCs w:val="21"/>
              </w:rPr>
            </w:pPr>
          </w:p>
        </w:tc>
        <w:tc>
          <w:tcPr>
            <w:tcW w:w="878" w:type="dxa"/>
            <w:vAlign w:val="center"/>
          </w:tcPr>
          <w:p w14:paraId="0B5ED55B">
            <w:pPr>
              <w:widowControl w:val="0"/>
              <w:jc w:val="center"/>
              <w:textAlignment w:val="auto"/>
              <w:rPr>
                <w:szCs w:val="21"/>
              </w:rPr>
            </w:pPr>
          </w:p>
        </w:tc>
      </w:tr>
      <w:tr w14:paraId="0E741E0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666" w:type="dxa"/>
            <w:vAlign w:val="center"/>
          </w:tcPr>
          <w:p w14:paraId="4546C9D8">
            <w:pPr>
              <w:widowControl w:val="0"/>
              <w:jc w:val="center"/>
              <w:textAlignment w:val="auto"/>
              <w:rPr>
                <w:szCs w:val="21"/>
              </w:rPr>
            </w:pPr>
          </w:p>
        </w:tc>
        <w:tc>
          <w:tcPr>
            <w:tcW w:w="1100" w:type="dxa"/>
            <w:vAlign w:val="center"/>
          </w:tcPr>
          <w:p w14:paraId="36565BC7">
            <w:pPr>
              <w:widowControl w:val="0"/>
              <w:jc w:val="center"/>
              <w:textAlignment w:val="auto"/>
              <w:rPr>
                <w:szCs w:val="21"/>
              </w:rPr>
            </w:pPr>
          </w:p>
        </w:tc>
        <w:tc>
          <w:tcPr>
            <w:tcW w:w="694" w:type="dxa"/>
            <w:vAlign w:val="center"/>
          </w:tcPr>
          <w:p w14:paraId="6F7F3A4E">
            <w:pPr>
              <w:widowControl w:val="0"/>
              <w:jc w:val="center"/>
              <w:textAlignment w:val="auto"/>
              <w:rPr>
                <w:szCs w:val="21"/>
              </w:rPr>
            </w:pPr>
          </w:p>
        </w:tc>
        <w:tc>
          <w:tcPr>
            <w:tcW w:w="1056" w:type="dxa"/>
            <w:vAlign w:val="center"/>
          </w:tcPr>
          <w:p w14:paraId="1EACC23B">
            <w:pPr>
              <w:widowControl w:val="0"/>
              <w:jc w:val="center"/>
              <w:textAlignment w:val="auto"/>
              <w:rPr>
                <w:szCs w:val="21"/>
              </w:rPr>
            </w:pPr>
          </w:p>
        </w:tc>
        <w:tc>
          <w:tcPr>
            <w:tcW w:w="733" w:type="dxa"/>
            <w:vAlign w:val="center"/>
          </w:tcPr>
          <w:p w14:paraId="0C979376">
            <w:pPr>
              <w:widowControl w:val="0"/>
              <w:jc w:val="center"/>
              <w:textAlignment w:val="auto"/>
              <w:rPr>
                <w:szCs w:val="21"/>
              </w:rPr>
            </w:pPr>
          </w:p>
        </w:tc>
        <w:tc>
          <w:tcPr>
            <w:tcW w:w="733" w:type="dxa"/>
            <w:vAlign w:val="center"/>
          </w:tcPr>
          <w:p w14:paraId="2B44D99D">
            <w:pPr>
              <w:widowControl w:val="0"/>
              <w:jc w:val="center"/>
              <w:textAlignment w:val="auto"/>
              <w:rPr>
                <w:szCs w:val="21"/>
              </w:rPr>
            </w:pPr>
          </w:p>
        </w:tc>
        <w:tc>
          <w:tcPr>
            <w:tcW w:w="1215" w:type="dxa"/>
            <w:vAlign w:val="center"/>
          </w:tcPr>
          <w:p w14:paraId="350DE24C">
            <w:pPr>
              <w:widowControl w:val="0"/>
              <w:jc w:val="center"/>
              <w:textAlignment w:val="auto"/>
              <w:rPr>
                <w:szCs w:val="21"/>
              </w:rPr>
            </w:pPr>
          </w:p>
        </w:tc>
        <w:tc>
          <w:tcPr>
            <w:tcW w:w="1714" w:type="dxa"/>
            <w:vAlign w:val="center"/>
          </w:tcPr>
          <w:p w14:paraId="209A2993">
            <w:pPr>
              <w:widowControl w:val="0"/>
              <w:jc w:val="center"/>
              <w:textAlignment w:val="auto"/>
              <w:rPr>
                <w:szCs w:val="21"/>
              </w:rPr>
            </w:pPr>
          </w:p>
        </w:tc>
        <w:tc>
          <w:tcPr>
            <w:tcW w:w="878" w:type="dxa"/>
            <w:vAlign w:val="center"/>
          </w:tcPr>
          <w:p w14:paraId="02CEFDA5">
            <w:pPr>
              <w:widowControl w:val="0"/>
              <w:jc w:val="center"/>
              <w:textAlignment w:val="auto"/>
              <w:rPr>
                <w:szCs w:val="21"/>
              </w:rPr>
            </w:pPr>
          </w:p>
        </w:tc>
      </w:tr>
      <w:tr w14:paraId="70C79A4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666" w:type="dxa"/>
            <w:vAlign w:val="center"/>
          </w:tcPr>
          <w:p w14:paraId="73F161CC">
            <w:pPr>
              <w:widowControl w:val="0"/>
              <w:jc w:val="center"/>
              <w:textAlignment w:val="auto"/>
              <w:rPr>
                <w:szCs w:val="21"/>
              </w:rPr>
            </w:pPr>
          </w:p>
        </w:tc>
        <w:tc>
          <w:tcPr>
            <w:tcW w:w="1100" w:type="dxa"/>
            <w:vAlign w:val="center"/>
          </w:tcPr>
          <w:p w14:paraId="556E551B">
            <w:pPr>
              <w:widowControl w:val="0"/>
              <w:jc w:val="center"/>
              <w:textAlignment w:val="auto"/>
              <w:rPr>
                <w:szCs w:val="21"/>
              </w:rPr>
            </w:pPr>
          </w:p>
        </w:tc>
        <w:tc>
          <w:tcPr>
            <w:tcW w:w="694" w:type="dxa"/>
            <w:vAlign w:val="center"/>
          </w:tcPr>
          <w:p w14:paraId="5D259143">
            <w:pPr>
              <w:widowControl w:val="0"/>
              <w:jc w:val="center"/>
              <w:textAlignment w:val="auto"/>
              <w:rPr>
                <w:szCs w:val="21"/>
              </w:rPr>
            </w:pPr>
          </w:p>
        </w:tc>
        <w:tc>
          <w:tcPr>
            <w:tcW w:w="1056" w:type="dxa"/>
            <w:vAlign w:val="center"/>
          </w:tcPr>
          <w:p w14:paraId="55DBE0B4">
            <w:pPr>
              <w:widowControl w:val="0"/>
              <w:jc w:val="center"/>
              <w:textAlignment w:val="auto"/>
              <w:rPr>
                <w:szCs w:val="21"/>
              </w:rPr>
            </w:pPr>
          </w:p>
        </w:tc>
        <w:tc>
          <w:tcPr>
            <w:tcW w:w="733" w:type="dxa"/>
            <w:vAlign w:val="center"/>
          </w:tcPr>
          <w:p w14:paraId="27D97945">
            <w:pPr>
              <w:widowControl w:val="0"/>
              <w:jc w:val="center"/>
              <w:textAlignment w:val="auto"/>
              <w:rPr>
                <w:szCs w:val="21"/>
              </w:rPr>
            </w:pPr>
          </w:p>
        </w:tc>
        <w:tc>
          <w:tcPr>
            <w:tcW w:w="733" w:type="dxa"/>
            <w:vAlign w:val="center"/>
          </w:tcPr>
          <w:p w14:paraId="13B19A42">
            <w:pPr>
              <w:widowControl w:val="0"/>
              <w:jc w:val="center"/>
              <w:textAlignment w:val="auto"/>
              <w:rPr>
                <w:szCs w:val="21"/>
              </w:rPr>
            </w:pPr>
          </w:p>
        </w:tc>
        <w:tc>
          <w:tcPr>
            <w:tcW w:w="1215" w:type="dxa"/>
            <w:vAlign w:val="center"/>
          </w:tcPr>
          <w:p w14:paraId="483FE852">
            <w:pPr>
              <w:widowControl w:val="0"/>
              <w:jc w:val="center"/>
              <w:textAlignment w:val="auto"/>
              <w:rPr>
                <w:szCs w:val="21"/>
              </w:rPr>
            </w:pPr>
          </w:p>
        </w:tc>
        <w:tc>
          <w:tcPr>
            <w:tcW w:w="1714" w:type="dxa"/>
            <w:vAlign w:val="center"/>
          </w:tcPr>
          <w:p w14:paraId="07CE6F71">
            <w:pPr>
              <w:widowControl w:val="0"/>
              <w:jc w:val="center"/>
              <w:textAlignment w:val="auto"/>
              <w:rPr>
                <w:szCs w:val="21"/>
              </w:rPr>
            </w:pPr>
          </w:p>
        </w:tc>
        <w:tc>
          <w:tcPr>
            <w:tcW w:w="878" w:type="dxa"/>
            <w:vAlign w:val="center"/>
          </w:tcPr>
          <w:p w14:paraId="272B851D">
            <w:pPr>
              <w:widowControl w:val="0"/>
              <w:jc w:val="center"/>
              <w:textAlignment w:val="auto"/>
              <w:rPr>
                <w:szCs w:val="21"/>
              </w:rPr>
            </w:pPr>
          </w:p>
        </w:tc>
      </w:tr>
      <w:tr w14:paraId="1FFE8C9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666" w:type="dxa"/>
            <w:vAlign w:val="center"/>
          </w:tcPr>
          <w:p w14:paraId="0EC3D8CD">
            <w:pPr>
              <w:widowControl w:val="0"/>
              <w:jc w:val="center"/>
              <w:textAlignment w:val="auto"/>
              <w:rPr>
                <w:szCs w:val="21"/>
              </w:rPr>
            </w:pPr>
          </w:p>
        </w:tc>
        <w:tc>
          <w:tcPr>
            <w:tcW w:w="1100" w:type="dxa"/>
            <w:vAlign w:val="center"/>
          </w:tcPr>
          <w:p w14:paraId="5D116A6C">
            <w:pPr>
              <w:widowControl w:val="0"/>
              <w:jc w:val="center"/>
              <w:textAlignment w:val="auto"/>
              <w:rPr>
                <w:szCs w:val="21"/>
              </w:rPr>
            </w:pPr>
          </w:p>
        </w:tc>
        <w:tc>
          <w:tcPr>
            <w:tcW w:w="694" w:type="dxa"/>
            <w:vAlign w:val="center"/>
          </w:tcPr>
          <w:p w14:paraId="4F1F0E24">
            <w:pPr>
              <w:widowControl w:val="0"/>
              <w:jc w:val="center"/>
              <w:textAlignment w:val="auto"/>
              <w:rPr>
                <w:szCs w:val="21"/>
              </w:rPr>
            </w:pPr>
          </w:p>
        </w:tc>
        <w:tc>
          <w:tcPr>
            <w:tcW w:w="1056" w:type="dxa"/>
            <w:vAlign w:val="center"/>
          </w:tcPr>
          <w:p w14:paraId="685EC566">
            <w:pPr>
              <w:widowControl w:val="0"/>
              <w:jc w:val="center"/>
              <w:textAlignment w:val="auto"/>
              <w:rPr>
                <w:szCs w:val="21"/>
              </w:rPr>
            </w:pPr>
          </w:p>
        </w:tc>
        <w:tc>
          <w:tcPr>
            <w:tcW w:w="733" w:type="dxa"/>
            <w:vAlign w:val="center"/>
          </w:tcPr>
          <w:p w14:paraId="0B6EB989">
            <w:pPr>
              <w:widowControl w:val="0"/>
              <w:jc w:val="center"/>
              <w:textAlignment w:val="auto"/>
              <w:rPr>
                <w:szCs w:val="21"/>
              </w:rPr>
            </w:pPr>
          </w:p>
        </w:tc>
        <w:tc>
          <w:tcPr>
            <w:tcW w:w="733" w:type="dxa"/>
            <w:vAlign w:val="center"/>
          </w:tcPr>
          <w:p w14:paraId="6F1868E0">
            <w:pPr>
              <w:widowControl w:val="0"/>
              <w:jc w:val="center"/>
              <w:textAlignment w:val="auto"/>
              <w:rPr>
                <w:szCs w:val="21"/>
              </w:rPr>
            </w:pPr>
          </w:p>
        </w:tc>
        <w:tc>
          <w:tcPr>
            <w:tcW w:w="1215" w:type="dxa"/>
            <w:vAlign w:val="center"/>
          </w:tcPr>
          <w:p w14:paraId="1989CCEB">
            <w:pPr>
              <w:widowControl w:val="0"/>
              <w:jc w:val="center"/>
              <w:textAlignment w:val="auto"/>
              <w:rPr>
                <w:szCs w:val="21"/>
              </w:rPr>
            </w:pPr>
          </w:p>
        </w:tc>
        <w:tc>
          <w:tcPr>
            <w:tcW w:w="1714" w:type="dxa"/>
            <w:vAlign w:val="center"/>
          </w:tcPr>
          <w:p w14:paraId="531A9A95">
            <w:pPr>
              <w:widowControl w:val="0"/>
              <w:jc w:val="center"/>
              <w:textAlignment w:val="auto"/>
              <w:rPr>
                <w:szCs w:val="21"/>
              </w:rPr>
            </w:pPr>
          </w:p>
        </w:tc>
        <w:tc>
          <w:tcPr>
            <w:tcW w:w="878" w:type="dxa"/>
            <w:vAlign w:val="center"/>
          </w:tcPr>
          <w:p w14:paraId="7292C190">
            <w:pPr>
              <w:widowControl w:val="0"/>
              <w:jc w:val="center"/>
              <w:textAlignment w:val="auto"/>
              <w:rPr>
                <w:szCs w:val="21"/>
              </w:rPr>
            </w:pPr>
          </w:p>
        </w:tc>
      </w:tr>
      <w:tr w14:paraId="5E8D430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666" w:type="dxa"/>
            <w:vAlign w:val="center"/>
          </w:tcPr>
          <w:p w14:paraId="282F58C2">
            <w:pPr>
              <w:widowControl w:val="0"/>
              <w:jc w:val="center"/>
              <w:textAlignment w:val="auto"/>
              <w:rPr>
                <w:szCs w:val="21"/>
              </w:rPr>
            </w:pPr>
          </w:p>
        </w:tc>
        <w:tc>
          <w:tcPr>
            <w:tcW w:w="1100" w:type="dxa"/>
            <w:vAlign w:val="center"/>
          </w:tcPr>
          <w:p w14:paraId="3A480933">
            <w:pPr>
              <w:widowControl w:val="0"/>
              <w:jc w:val="center"/>
              <w:textAlignment w:val="auto"/>
              <w:rPr>
                <w:szCs w:val="21"/>
              </w:rPr>
            </w:pPr>
          </w:p>
        </w:tc>
        <w:tc>
          <w:tcPr>
            <w:tcW w:w="694" w:type="dxa"/>
            <w:vAlign w:val="center"/>
          </w:tcPr>
          <w:p w14:paraId="4EB42175">
            <w:pPr>
              <w:widowControl w:val="0"/>
              <w:jc w:val="center"/>
              <w:textAlignment w:val="auto"/>
              <w:rPr>
                <w:szCs w:val="21"/>
              </w:rPr>
            </w:pPr>
          </w:p>
        </w:tc>
        <w:tc>
          <w:tcPr>
            <w:tcW w:w="1056" w:type="dxa"/>
            <w:vAlign w:val="center"/>
          </w:tcPr>
          <w:p w14:paraId="5216CC60">
            <w:pPr>
              <w:widowControl w:val="0"/>
              <w:jc w:val="center"/>
              <w:textAlignment w:val="auto"/>
              <w:rPr>
                <w:szCs w:val="21"/>
              </w:rPr>
            </w:pPr>
          </w:p>
        </w:tc>
        <w:tc>
          <w:tcPr>
            <w:tcW w:w="733" w:type="dxa"/>
            <w:vAlign w:val="center"/>
          </w:tcPr>
          <w:p w14:paraId="79EF3B84">
            <w:pPr>
              <w:widowControl w:val="0"/>
              <w:jc w:val="center"/>
              <w:textAlignment w:val="auto"/>
              <w:rPr>
                <w:szCs w:val="21"/>
              </w:rPr>
            </w:pPr>
          </w:p>
        </w:tc>
        <w:tc>
          <w:tcPr>
            <w:tcW w:w="733" w:type="dxa"/>
            <w:vAlign w:val="center"/>
          </w:tcPr>
          <w:p w14:paraId="3120E830">
            <w:pPr>
              <w:widowControl w:val="0"/>
              <w:jc w:val="center"/>
              <w:textAlignment w:val="auto"/>
              <w:rPr>
                <w:szCs w:val="21"/>
              </w:rPr>
            </w:pPr>
          </w:p>
        </w:tc>
        <w:tc>
          <w:tcPr>
            <w:tcW w:w="1215" w:type="dxa"/>
            <w:vAlign w:val="center"/>
          </w:tcPr>
          <w:p w14:paraId="4A86E870">
            <w:pPr>
              <w:widowControl w:val="0"/>
              <w:jc w:val="center"/>
              <w:textAlignment w:val="auto"/>
              <w:rPr>
                <w:szCs w:val="21"/>
              </w:rPr>
            </w:pPr>
          </w:p>
        </w:tc>
        <w:tc>
          <w:tcPr>
            <w:tcW w:w="1714" w:type="dxa"/>
            <w:vAlign w:val="center"/>
          </w:tcPr>
          <w:p w14:paraId="77CF6228">
            <w:pPr>
              <w:widowControl w:val="0"/>
              <w:jc w:val="center"/>
              <w:textAlignment w:val="auto"/>
              <w:rPr>
                <w:szCs w:val="21"/>
              </w:rPr>
            </w:pPr>
          </w:p>
        </w:tc>
        <w:tc>
          <w:tcPr>
            <w:tcW w:w="878" w:type="dxa"/>
            <w:vAlign w:val="center"/>
          </w:tcPr>
          <w:p w14:paraId="11520C8B">
            <w:pPr>
              <w:widowControl w:val="0"/>
              <w:jc w:val="center"/>
              <w:textAlignment w:val="auto"/>
              <w:rPr>
                <w:szCs w:val="21"/>
              </w:rPr>
            </w:pPr>
          </w:p>
        </w:tc>
      </w:tr>
      <w:tr w14:paraId="1FBDA2A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666" w:type="dxa"/>
            <w:vAlign w:val="center"/>
          </w:tcPr>
          <w:p w14:paraId="3D0CBDF2">
            <w:pPr>
              <w:widowControl w:val="0"/>
              <w:jc w:val="center"/>
              <w:textAlignment w:val="auto"/>
              <w:rPr>
                <w:szCs w:val="21"/>
              </w:rPr>
            </w:pPr>
          </w:p>
        </w:tc>
        <w:tc>
          <w:tcPr>
            <w:tcW w:w="1100" w:type="dxa"/>
            <w:vAlign w:val="center"/>
          </w:tcPr>
          <w:p w14:paraId="41C39FDE">
            <w:pPr>
              <w:widowControl w:val="0"/>
              <w:jc w:val="center"/>
              <w:textAlignment w:val="auto"/>
              <w:rPr>
                <w:szCs w:val="21"/>
              </w:rPr>
            </w:pPr>
          </w:p>
        </w:tc>
        <w:tc>
          <w:tcPr>
            <w:tcW w:w="694" w:type="dxa"/>
            <w:vAlign w:val="center"/>
          </w:tcPr>
          <w:p w14:paraId="30E1749F">
            <w:pPr>
              <w:widowControl w:val="0"/>
              <w:jc w:val="center"/>
              <w:textAlignment w:val="auto"/>
              <w:rPr>
                <w:szCs w:val="21"/>
              </w:rPr>
            </w:pPr>
          </w:p>
        </w:tc>
        <w:tc>
          <w:tcPr>
            <w:tcW w:w="1056" w:type="dxa"/>
            <w:vAlign w:val="center"/>
          </w:tcPr>
          <w:p w14:paraId="56B8E1B1">
            <w:pPr>
              <w:widowControl w:val="0"/>
              <w:jc w:val="center"/>
              <w:textAlignment w:val="auto"/>
              <w:rPr>
                <w:szCs w:val="21"/>
              </w:rPr>
            </w:pPr>
          </w:p>
        </w:tc>
        <w:tc>
          <w:tcPr>
            <w:tcW w:w="733" w:type="dxa"/>
            <w:vAlign w:val="center"/>
          </w:tcPr>
          <w:p w14:paraId="43036B76">
            <w:pPr>
              <w:widowControl w:val="0"/>
              <w:jc w:val="center"/>
              <w:textAlignment w:val="auto"/>
              <w:rPr>
                <w:szCs w:val="21"/>
              </w:rPr>
            </w:pPr>
          </w:p>
        </w:tc>
        <w:tc>
          <w:tcPr>
            <w:tcW w:w="733" w:type="dxa"/>
            <w:vAlign w:val="center"/>
          </w:tcPr>
          <w:p w14:paraId="0B734357">
            <w:pPr>
              <w:widowControl w:val="0"/>
              <w:jc w:val="center"/>
              <w:textAlignment w:val="auto"/>
              <w:rPr>
                <w:szCs w:val="21"/>
              </w:rPr>
            </w:pPr>
          </w:p>
        </w:tc>
        <w:tc>
          <w:tcPr>
            <w:tcW w:w="1215" w:type="dxa"/>
            <w:vAlign w:val="center"/>
          </w:tcPr>
          <w:p w14:paraId="49C10927">
            <w:pPr>
              <w:widowControl w:val="0"/>
              <w:jc w:val="center"/>
              <w:textAlignment w:val="auto"/>
              <w:rPr>
                <w:szCs w:val="21"/>
              </w:rPr>
            </w:pPr>
          </w:p>
        </w:tc>
        <w:tc>
          <w:tcPr>
            <w:tcW w:w="1714" w:type="dxa"/>
            <w:vAlign w:val="center"/>
          </w:tcPr>
          <w:p w14:paraId="3588E463">
            <w:pPr>
              <w:widowControl w:val="0"/>
              <w:jc w:val="center"/>
              <w:textAlignment w:val="auto"/>
              <w:rPr>
                <w:szCs w:val="21"/>
              </w:rPr>
            </w:pPr>
          </w:p>
        </w:tc>
        <w:tc>
          <w:tcPr>
            <w:tcW w:w="878" w:type="dxa"/>
            <w:vAlign w:val="center"/>
          </w:tcPr>
          <w:p w14:paraId="173AC8EF">
            <w:pPr>
              <w:widowControl w:val="0"/>
              <w:jc w:val="center"/>
              <w:textAlignment w:val="auto"/>
              <w:rPr>
                <w:szCs w:val="21"/>
              </w:rPr>
            </w:pPr>
          </w:p>
        </w:tc>
      </w:tr>
      <w:tr w14:paraId="3B89B5C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666" w:type="dxa"/>
            <w:vAlign w:val="center"/>
          </w:tcPr>
          <w:p w14:paraId="754193FF">
            <w:pPr>
              <w:widowControl w:val="0"/>
              <w:jc w:val="center"/>
              <w:textAlignment w:val="auto"/>
              <w:rPr>
                <w:szCs w:val="21"/>
              </w:rPr>
            </w:pPr>
          </w:p>
        </w:tc>
        <w:tc>
          <w:tcPr>
            <w:tcW w:w="1100" w:type="dxa"/>
            <w:vAlign w:val="center"/>
          </w:tcPr>
          <w:p w14:paraId="373DBDB0">
            <w:pPr>
              <w:widowControl w:val="0"/>
              <w:jc w:val="center"/>
              <w:textAlignment w:val="auto"/>
              <w:rPr>
                <w:szCs w:val="21"/>
              </w:rPr>
            </w:pPr>
          </w:p>
        </w:tc>
        <w:tc>
          <w:tcPr>
            <w:tcW w:w="694" w:type="dxa"/>
            <w:vAlign w:val="center"/>
          </w:tcPr>
          <w:p w14:paraId="67756918">
            <w:pPr>
              <w:widowControl w:val="0"/>
              <w:jc w:val="center"/>
              <w:textAlignment w:val="auto"/>
              <w:rPr>
                <w:szCs w:val="21"/>
              </w:rPr>
            </w:pPr>
          </w:p>
        </w:tc>
        <w:tc>
          <w:tcPr>
            <w:tcW w:w="1056" w:type="dxa"/>
            <w:vAlign w:val="center"/>
          </w:tcPr>
          <w:p w14:paraId="1BF59DA3">
            <w:pPr>
              <w:widowControl w:val="0"/>
              <w:jc w:val="center"/>
              <w:textAlignment w:val="auto"/>
              <w:rPr>
                <w:szCs w:val="21"/>
              </w:rPr>
            </w:pPr>
          </w:p>
        </w:tc>
        <w:tc>
          <w:tcPr>
            <w:tcW w:w="733" w:type="dxa"/>
            <w:vAlign w:val="center"/>
          </w:tcPr>
          <w:p w14:paraId="10CE77D8">
            <w:pPr>
              <w:widowControl w:val="0"/>
              <w:jc w:val="center"/>
              <w:textAlignment w:val="auto"/>
              <w:rPr>
                <w:szCs w:val="21"/>
              </w:rPr>
            </w:pPr>
          </w:p>
        </w:tc>
        <w:tc>
          <w:tcPr>
            <w:tcW w:w="733" w:type="dxa"/>
            <w:vAlign w:val="center"/>
          </w:tcPr>
          <w:p w14:paraId="6AAF139B">
            <w:pPr>
              <w:widowControl w:val="0"/>
              <w:jc w:val="center"/>
              <w:textAlignment w:val="auto"/>
              <w:rPr>
                <w:szCs w:val="21"/>
              </w:rPr>
            </w:pPr>
          </w:p>
        </w:tc>
        <w:tc>
          <w:tcPr>
            <w:tcW w:w="1215" w:type="dxa"/>
            <w:vAlign w:val="center"/>
          </w:tcPr>
          <w:p w14:paraId="1ABE52C6">
            <w:pPr>
              <w:widowControl w:val="0"/>
              <w:jc w:val="center"/>
              <w:textAlignment w:val="auto"/>
              <w:rPr>
                <w:szCs w:val="21"/>
              </w:rPr>
            </w:pPr>
          </w:p>
        </w:tc>
        <w:tc>
          <w:tcPr>
            <w:tcW w:w="1714" w:type="dxa"/>
            <w:vAlign w:val="center"/>
          </w:tcPr>
          <w:p w14:paraId="2E694484">
            <w:pPr>
              <w:widowControl w:val="0"/>
              <w:jc w:val="center"/>
              <w:textAlignment w:val="auto"/>
              <w:rPr>
                <w:szCs w:val="21"/>
              </w:rPr>
            </w:pPr>
          </w:p>
        </w:tc>
        <w:tc>
          <w:tcPr>
            <w:tcW w:w="878" w:type="dxa"/>
            <w:vAlign w:val="center"/>
          </w:tcPr>
          <w:p w14:paraId="1293F1C1">
            <w:pPr>
              <w:widowControl w:val="0"/>
              <w:jc w:val="center"/>
              <w:textAlignment w:val="auto"/>
              <w:rPr>
                <w:szCs w:val="21"/>
              </w:rPr>
            </w:pPr>
          </w:p>
        </w:tc>
      </w:tr>
      <w:tr w14:paraId="1D127C1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666" w:type="dxa"/>
            <w:vAlign w:val="center"/>
          </w:tcPr>
          <w:p w14:paraId="1F62D6CE">
            <w:pPr>
              <w:widowControl w:val="0"/>
              <w:jc w:val="center"/>
              <w:textAlignment w:val="auto"/>
              <w:rPr>
                <w:szCs w:val="21"/>
              </w:rPr>
            </w:pPr>
          </w:p>
        </w:tc>
        <w:tc>
          <w:tcPr>
            <w:tcW w:w="1100" w:type="dxa"/>
            <w:vAlign w:val="center"/>
          </w:tcPr>
          <w:p w14:paraId="378ACCA0">
            <w:pPr>
              <w:widowControl w:val="0"/>
              <w:jc w:val="center"/>
              <w:textAlignment w:val="auto"/>
              <w:rPr>
                <w:szCs w:val="21"/>
              </w:rPr>
            </w:pPr>
          </w:p>
        </w:tc>
        <w:tc>
          <w:tcPr>
            <w:tcW w:w="694" w:type="dxa"/>
            <w:vAlign w:val="center"/>
          </w:tcPr>
          <w:p w14:paraId="0F963396">
            <w:pPr>
              <w:widowControl w:val="0"/>
              <w:jc w:val="center"/>
              <w:textAlignment w:val="auto"/>
              <w:rPr>
                <w:szCs w:val="21"/>
              </w:rPr>
            </w:pPr>
          </w:p>
        </w:tc>
        <w:tc>
          <w:tcPr>
            <w:tcW w:w="1056" w:type="dxa"/>
            <w:vAlign w:val="center"/>
          </w:tcPr>
          <w:p w14:paraId="7FFC0A04">
            <w:pPr>
              <w:widowControl w:val="0"/>
              <w:jc w:val="center"/>
              <w:textAlignment w:val="auto"/>
              <w:rPr>
                <w:szCs w:val="21"/>
              </w:rPr>
            </w:pPr>
          </w:p>
        </w:tc>
        <w:tc>
          <w:tcPr>
            <w:tcW w:w="733" w:type="dxa"/>
            <w:vAlign w:val="center"/>
          </w:tcPr>
          <w:p w14:paraId="57D2C216">
            <w:pPr>
              <w:widowControl w:val="0"/>
              <w:jc w:val="center"/>
              <w:textAlignment w:val="auto"/>
              <w:rPr>
                <w:szCs w:val="21"/>
              </w:rPr>
            </w:pPr>
          </w:p>
        </w:tc>
        <w:tc>
          <w:tcPr>
            <w:tcW w:w="733" w:type="dxa"/>
            <w:vAlign w:val="center"/>
          </w:tcPr>
          <w:p w14:paraId="377984AB">
            <w:pPr>
              <w:widowControl w:val="0"/>
              <w:jc w:val="center"/>
              <w:textAlignment w:val="auto"/>
              <w:rPr>
                <w:szCs w:val="21"/>
              </w:rPr>
            </w:pPr>
          </w:p>
        </w:tc>
        <w:tc>
          <w:tcPr>
            <w:tcW w:w="1215" w:type="dxa"/>
            <w:vAlign w:val="center"/>
          </w:tcPr>
          <w:p w14:paraId="0405CCDD">
            <w:pPr>
              <w:widowControl w:val="0"/>
              <w:jc w:val="center"/>
              <w:textAlignment w:val="auto"/>
              <w:rPr>
                <w:szCs w:val="21"/>
              </w:rPr>
            </w:pPr>
          </w:p>
        </w:tc>
        <w:tc>
          <w:tcPr>
            <w:tcW w:w="1714" w:type="dxa"/>
            <w:vAlign w:val="center"/>
          </w:tcPr>
          <w:p w14:paraId="05C9293C">
            <w:pPr>
              <w:widowControl w:val="0"/>
              <w:jc w:val="center"/>
              <w:textAlignment w:val="auto"/>
              <w:rPr>
                <w:szCs w:val="21"/>
              </w:rPr>
            </w:pPr>
          </w:p>
        </w:tc>
        <w:tc>
          <w:tcPr>
            <w:tcW w:w="878" w:type="dxa"/>
            <w:vAlign w:val="center"/>
          </w:tcPr>
          <w:p w14:paraId="6A83ACC6">
            <w:pPr>
              <w:widowControl w:val="0"/>
              <w:jc w:val="center"/>
              <w:textAlignment w:val="auto"/>
              <w:rPr>
                <w:szCs w:val="21"/>
              </w:rPr>
            </w:pPr>
          </w:p>
        </w:tc>
      </w:tr>
      <w:tr w14:paraId="62DE570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666" w:type="dxa"/>
            <w:vAlign w:val="center"/>
          </w:tcPr>
          <w:p w14:paraId="00BC34BA">
            <w:pPr>
              <w:widowControl w:val="0"/>
              <w:jc w:val="center"/>
              <w:textAlignment w:val="auto"/>
              <w:rPr>
                <w:szCs w:val="21"/>
              </w:rPr>
            </w:pPr>
          </w:p>
        </w:tc>
        <w:tc>
          <w:tcPr>
            <w:tcW w:w="1100" w:type="dxa"/>
            <w:vAlign w:val="center"/>
          </w:tcPr>
          <w:p w14:paraId="6A419CFF">
            <w:pPr>
              <w:widowControl w:val="0"/>
              <w:jc w:val="center"/>
              <w:textAlignment w:val="auto"/>
              <w:rPr>
                <w:szCs w:val="21"/>
              </w:rPr>
            </w:pPr>
          </w:p>
        </w:tc>
        <w:tc>
          <w:tcPr>
            <w:tcW w:w="694" w:type="dxa"/>
            <w:vAlign w:val="center"/>
          </w:tcPr>
          <w:p w14:paraId="7911B375">
            <w:pPr>
              <w:widowControl w:val="0"/>
              <w:jc w:val="center"/>
              <w:textAlignment w:val="auto"/>
              <w:rPr>
                <w:szCs w:val="21"/>
              </w:rPr>
            </w:pPr>
          </w:p>
        </w:tc>
        <w:tc>
          <w:tcPr>
            <w:tcW w:w="1056" w:type="dxa"/>
            <w:vAlign w:val="center"/>
          </w:tcPr>
          <w:p w14:paraId="107F1221">
            <w:pPr>
              <w:widowControl w:val="0"/>
              <w:jc w:val="center"/>
              <w:textAlignment w:val="auto"/>
              <w:rPr>
                <w:szCs w:val="21"/>
              </w:rPr>
            </w:pPr>
          </w:p>
        </w:tc>
        <w:tc>
          <w:tcPr>
            <w:tcW w:w="733" w:type="dxa"/>
            <w:vAlign w:val="center"/>
          </w:tcPr>
          <w:p w14:paraId="07097DF6">
            <w:pPr>
              <w:widowControl w:val="0"/>
              <w:jc w:val="center"/>
              <w:textAlignment w:val="auto"/>
              <w:rPr>
                <w:szCs w:val="21"/>
              </w:rPr>
            </w:pPr>
          </w:p>
        </w:tc>
        <w:tc>
          <w:tcPr>
            <w:tcW w:w="733" w:type="dxa"/>
            <w:vAlign w:val="center"/>
          </w:tcPr>
          <w:p w14:paraId="1ED26823">
            <w:pPr>
              <w:widowControl w:val="0"/>
              <w:jc w:val="center"/>
              <w:textAlignment w:val="auto"/>
              <w:rPr>
                <w:szCs w:val="21"/>
              </w:rPr>
            </w:pPr>
          </w:p>
        </w:tc>
        <w:tc>
          <w:tcPr>
            <w:tcW w:w="1215" w:type="dxa"/>
            <w:vAlign w:val="center"/>
          </w:tcPr>
          <w:p w14:paraId="18CA91AB">
            <w:pPr>
              <w:widowControl w:val="0"/>
              <w:jc w:val="center"/>
              <w:textAlignment w:val="auto"/>
              <w:rPr>
                <w:szCs w:val="21"/>
              </w:rPr>
            </w:pPr>
          </w:p>
        </w:tc>
        <w:tc>
          <w:tcPr>
            <w:tcW w:w="1714" w:type="dxa"/>
            <w:vAlign w:val="center"/>
          </w:tcPr>
          <w:p w14:paraId="66E103A3">
            <w:pPr>
              <w:widowControl w:val="0"/>
              <w:jc w:val="center"/>
              <w:textAlignment w:val="auto"/>
              <w:rPr>
                <w:szCs w:val="21"/>
              </w:rPr>
            </w:pPr>
          </w:p>
        </w:tc>
        <w:tc>
          <w:tcPr>
            <w:tcW w:w="878" w:type="dxa"/>
            <w:vAlign w:val="center"/>
          </w:tcPr>
          <w:p w14:paraId="5613DEA0">
            <w:pPr>
              <w:widowControl w:val="0"/>
              <w:jc w:val="center"/>
              <w:textAlignment w:val="auto"/>
              <w:rPr>
                <w:szCs w:val="21"/>
              </w:rPr>
            </w:pPr>
          </w:p>
        </w:tc>
      </w:tr>
      <w:tr w14:paraId="1D177DF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666" w:type="dxa"/>
            <w:vAlign w:val="center"/>
          </w:tcPr>
          <w:p w14:paraId="7EAFA795">
            <w:pPr>
              <w:widowControl w:val="0"/>
              <w:jc w:val="center"/>
              <w:textAlignment w:val="auto"/>
              <w:rPr>
                <w:szCs w:val="21"/>
              </w:rPr>
            </w:pPr>
          </w:p>
        </w:tc>
        <w:tc>
          <w:tcPr>
            <w:tcW w:w="1100" w:type="dxa"/>
            <w:vAlign w:val="center"/>
          </w:tcPr>
          <w:p w14:paraId="52B6C27C">
            <w:pPr>
              <w:widowControl w:val="0"/>
              <w:jc w:val="center"/>
              <w:textAlignment w:val="auto"/>
              <w:rPr>
                <w:szCs w:val="21"/>
              </w:rPr>
            </w:pPr>
          </w:p>
        </w:tc>
        <w:tc>
          <w:tcPr>
            <w:tcW w:w="694" w:type="dxa"/>
            <w:vAlign w:val="center"/>
          </w:tcPr>
          <w:p w14:paraId="3E320707">
            <w:pPr>
              <w:widowControl w:val="0"/>
              <w:jc w:val="center"/>
              <w:textAlignment w:val="auto"/>
              <w:rPr>
                <w:szCs w:val="21"/>
              </w:rPr>
            </w:pPr>
          </w:p>
        </w:tc>
        <w:tc>
          <w:tcPr>
            <w:tcW w:w="1056" w:type="dxa"/>
            <w:vAlign w:val="center"/>
          </w:tcPr>
          <w:p w14:paraId="51498C06">
            <w:pPr>
              <w:widowControl w:val="0"/>
              <w:jc w:val="center"/>
              <w:textAlignment w:val="auto"/>
              <w:rPr>
                <w:szCs w:val="21"/>
              </w:rPr>
            </w:pPr>
          </w:p>
        </w:tc>
        <w:tc>
          <w:tcPr>
            <w:tcW w:w="733" w:type="dxa"/>
            <w:vAlign w:val="center"/>
          </w:tcPr>
          <w:p w14:paraId="39FC5D68">
            <w:pPr>
              <w:widowControl w:val="0"/>
              <w:jc w:val="center"/>
              <w:textAlignment w:val="auto"/>
              <w:rPr>
                <w:szCs w:val="21"/>
              </w:rPr>
            </w:pPr>
          </w:p>
        </w:tc>
        <w:tc>
          <w:tcPr>
            <w:tcW w:w="733" w:type="dxa"/>
            <w:vAlign w:val="center"/>
          </w:tcPr>
          <w:p w14:paraId="610D838E">
            <w:pPr>
              <w:widowControl w:val="0"/>
              <w:jc w:val="center"/>
              <w:textAlignment w:val="auto"/>
              <w:rPr>
                <w:szCs w:val="21"/>
              </w:rPr>
            </w:pPr>
          </w:p>
        </w:tc>
        <w:tc>
          <w:tcPr>
            <w:tcW w:w="1215" w:type="dxa"/>
            <w:vAlign w:val="center"/>
          </w:tcPr>
          <w:p w14:paraId="665D6869">
            <w:pPr>
              <w:widowControl w:val="0"/>
              <w:jc w:val="center"/>
              <w:textAlignment w:val="auto"/>
              <w:rPr>
                <w:szCs w:val="21"/>
              </w:rPr>
            </w:pPr>
          </w:p>
        </w:tc>
        <w:tc>
          <w:tcPr>
            <w:tcW w:w="1714" w:type="dxa"/>
            <w:vAlign w:val="center"/>
          </w:tcPr>
          <w:p w14:paraId="054AE30A">
            <w:pPr>
              <w:widowControl w:val="0"/>
              <w:jc w:val="center"/>
              <w:textAlignment w:val="auto"/>
              <w:rPr>
                <w:szCs w:val="21"/>
              </w:rPr>
            </w:pPr>
          </w:p>
        </w:tc>
        <w:tc>
          <w:tcPr>
            <w:tcW w:w="878" w:type="dxa"/>
            <w:vAlign w:val="center"/>
          </w:tcPr>
          <w:p w14:paraId="7E67901A">
            <w:pPr>
              <w:widowControl w:val="0"/>
              <w:jc w:val="center"/>
              <w:textAlignment w:val="auto"/>
              <w:rPr>
                <w:szCs w:val="21"/>
              </w:rPr>
            </w:pPr>
          </w:p>
        </w:tc>
      </w:tr>
      <w:tr w14:paraId="32D88B7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666" w:type="dxa"/>
            <w:vAlign w:val="center"/>
          </w:tcPr>
          <w:p w14:paraId="6E522ADD">
            <w:pPr>
              <w:widowControl w:val="0"/>
              <w:jc w:val="center"/>
              <w:textAlignment w:val="auto"/>
              <w:rPr>
                <w:szCs w:val="21"/>
              </w:rPr>
            </w:pPr>
          </w:p>
        </w:tc>
        <w:tc>
          <w:tcPr>
            <w:tcW w:w="1100" w:type="dxa"/>
            <w:vAlign w:val="center"/>
          </w:tcPr>
          <w:p w14:paraId="7E00CD54">
            <w:pPr>
              <w:widowControl w:val="0"/>
              <w:jc w:val="center"/>
              <w:textAlignment w:val="auto"/>
              <w:rPr>
                <w:szCs w:val="21"/>
              </w:rPr>
            </w:pPr>
          </w:p>
        </w:tc>
        <w:tc>
          <w:tcPr>
            <w:tcW w:w="694" w:type="dxa"/>
            <w:vAlign w:val="center"/>
          </w:tcPr>
          <w:p w14:paraId="6FC6D8C7">
            <w:pPr>
              <w:widowControl w:val="0"/>
              <w:jc w:val="center"/>
              <w:textAlignment w:val="auto"/>
              <w:rPr>
                <w:szCs w:val="21"/>
              </w:rPr>
            </w:pPr>
          </w:p>
        </w:tc>
        <w:tc>
          <w:tcPr>
            <w:tcW w:w="1056" w:type="dxa"/>
            <w:vAlign w:val="center"/>
          </w:tcPr>
          <w:p w14:paraId="5B0109CA">
            <w:pPr>
              <w:widowControl w:val="0"/>
              <w:jc w:val="center"/>
              <w:textAlignment w:val="auto"/>
              <w:rPr>
                <w:szCs w:val="21"/>
              </w:rPr>
            </w:pPr>
          </w:p>
        </w:tc>
        <w:tc>
          <w:tcPr>
            <w:tcW w:w="733" w:type="dxa"/>
            <w:vAlign w:val="center"/>
          </w:tcPr>
          <w:p w14:paraId="56FCE917">
            <w:pPr>
              <w:widowControl w:val="0"/>
              <w:jc w:val="center"/>
              <w:textAlignment w:val="auto"/>
              <w:rPr>
                <w:szCs w:val="21"/>
              </w:rPr>
            </w:pPr>
          </w:p>
        </w:tc>
        <w:tc>
          <w:tcPr>
            <w:tcW w:w="733" w:type="dxa"/>
            <w:vAlign w:val="center"/>
          </w:tcPr>
          <w:p w14:paraId="620B83D3">
            <w:pPr>
              <w:widowControl w:val="0"/>
              <w:jc w:val="center"/>
              <w:textAlignment w:val="auto"/>
              <w:rPr>
                <w:szCs w:val="21"/>
              </w:rPr>
            </w:pPr>
          </w:p>
        </w:tc>
        <w:tc>
          <w:tcPr>
            <w:tcW w:w="1215" w:type="dxa"/>
            <w:vAlign w:val="center"/>
          </w:tcPr>
          <w:p w14:paraId="04E790FF">
            <w:pPr>
              <w:widowControl w:val="0"/>
              <w:jc w:val="center"/>
              <w:textAlignment w:val="auto"/>
              <w:rPr>
                <w:szCs w:val="21"/>
              </w:rPr>
            </w:pPr>
          </w:p>
        </w:tc>
        <w:tc>
          <w:tcPr>
            <w:tcW w:w="1714" w:type="dxa"/>
            <w:vAlign w:val="center"/>
          </w:tcPr>
          <w:p w14:paraId="44C5982E">
            <w:pPr>
              <w:widowControl w:val="0"/>
              <w:jc w:val="center"/>
              <w:textAlignment w:val="auto"/>
              <w:rPr>
                <w:szCs w:val="21"/>
              </w:rPr>
            </w:pPr>
          </w:p>
        </w:tc>
        <w:tc>
          <w:tcPr>
            <w:tcW w:w="878" w:type="dxa"/>
            <w:vAlign w:val="center"/>
          </w:tcPr>
          <w:p w14:paraId="68913C6F">
            <w:pPr>
              <w:widowControl w:val="0"/>
              <w:jc w:val="center"/>
              <w:textAlignment w:val="auto"/>
              <w:rPr>
                <w:szCs w:val="21"/>
              </w:rPr>
            </w:pPr>
          </w:p>
        </w:tc>
      </w:tr>
      <w:tr w14:paraId="3DB0054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666" w:type="dxa"/>
            <w:vAlign w:val="center"/>
          </w:tcPr>
          <w:p w14:paraId="502C066C">
            <w:pPr>
              <w:widowControl w:val="0"/>
              <w:jc w:val="center"/>
              <w:textAlignment w:val="auto"/>
              <w:rPr>
                <w:szCs w:val="21"/>
              </w:rPr>
            </w:pPr>
          </w:p>
        </w:tc>
        <w:tc>
          <w:tcPr>
            <w:tcW w:w="1100" w:type="dxa"/>
            <w:vAlign w:val="center"/>
          </w:tcPr>
          <w:p w14:paraId="2BB9C924">
            <w:pPr>
              <w:widowControl w:val="0"/>
              <w:jc w:val="center"/>
              <w:textAlignment w:val="auto"/>
              <w:rPr>
                <w:szCs w:val="21"/>
              </w:rPr>
            </w:pPr>
          </w:p>
        </w:tc>
        <w:tc>
          <w:tcPr>
            <w:tcW w:w="694" w:type="dxa"/>
            <w:vAlign w:val="center"/>
          </w:tcPr>
          <w:p w14:paraId="0C6258A8">
            <w:pPr>
              <w:widowControl w:val="0"/>
              <w:jc w:val="center"/>
              <w:textAlignment w:val="auto"/>
              <w:rPr>
                <w:szCs w:val="21"/>
              </w:rPr>
            </w:pPr>
          </w:p>
        </w:tc>
        <w:tc>
          <w:tcPr>
            <w:tcW w:w="1056" w:type="dxa"/>
            <w:vAlign w:val="center"/>
          </w:tcPr>
          <w:p w14:paraId="67FCD7F9">
            <w:pPr>
              <w:widowControl w:val="0"/>
              <w:jc w:val="center"/>
              <w:textAlignment w:val="auto"/>
              <w:rPr>
                <w:szCs w:val="21"/>
              </w:rPr>
            </w:pPr>
          </w:p>
        </w:tc>
        <w:tc>
          <w:tcPr>
            <w:tcW w:w="733" w:type="dxa"/>
            <w:vAlign w:val="center"/>
          </w:tcPr>
          <w:p w14:paraId="55CC6021">
            <w:pPr>
              <w:widowControl w:val="0"/>
              <w:jc w:val="center"/>
              <w:textAlignment w:val="auto"/>
              <w:rPr>
                <w:szCs w:val="21"/>
              </w:rPr>
            </w:pPr>
          </w:p>
        </w:tc>
        <w:tc>
          <w:tcPr>
            <w:tcW w:w="733" w:type="dxa"/>
            <w:vAlign w:val="center"/>
          </w:tcPr>
          <w:p w14:paraId="248E7A2F">
            <w:pPr>
              <w:widowControl w:val="0"/>
              <w:jc w:val="center"/>
              <w:textAlignment w:val="auto"/>
              <w:rPr>
                <w:szCs w:val="21"/>
              </w:rPr>
            </w:pPr>
          </w:p>
        </w:tc>
        <w:tc>
          <w:tcPr>
            <w:tcW w:w="1215" w:type="dxa"/>
            <w:vAlign w:val="center"/>
          </w:tcPr>
          <w:p w14:paraId="28B127CB">
            <w:pPr>
              <w:widowControl w:val="0"/>
              <w:jc w:val="center"/>
              <w:textAlignment w:val="auto"/>
              <w:rPr>
                <w:szCs w:val="21"/>
              </w:rPr>
            </w:pPr>
          </w:p>
        </w:tc>
        <w:tc>
          <w:tcPr>
            <w:tcW w:w="1714" w:type="dxa"/>
            <w:vAlign w:val="center"/>
          </w:tcPr>
          <w:p w14:paraId="744052BA">
            <w:pPr>
              <w:widowControl w:val="0"/>
              <w:jc w:val="center"/>
              <w:textAlignment w:val="auto"/>
              <w:rPr>
                <w:szCs w:val="21"/>
              </w:rPr>
            </w:pPr>
          </w:p>
        </w:tc>
        <w:tc>
          <w:tcPr>
            <w:tcW w:w="878" w:type="dxa"/>
            <w:vAlign w:val="center"/>
          </w:tcPr>
          <w:p w14:paraId="7761CC82">
            <w:pPr>
              <w:widowControl w:val="0"/>
              <w:jc w:val="center"/>
              <w:textAlignment w:val="auto"/>
              <w:rPr>
                <w:szCs w:val="21"/>
              </w:rPr>
            </w:pPr>
          </w:p>
        </w:tc>
      </w:tr>
      <w:tr w14:paraId="7070236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666" w:type="dxa"/>
            <w:vAlign w:val="center"/>
          </w:tcPr>
          <w:p w14:paraId="564718D3">
            <w:pPr>
              <w:widowControl w:val="0"/>
              <w:jc w:val="center"/>
              <w:textAlignment w:val="auto"/>
              <w:rPr>
                <w:szCs w:val="21"/>
              </w:rPr>
            </w:pPr>
          </w:p>
        </w:tc>
        <w:tc>
          <w:tcPr>
            <w:tcW w:w="1100" w:type="dxa"/>
            <w:vAlign w:val="center"/>
          </w:tcPr>
          <w:p w14:paraId="444A1F05">
            <w:pPr>
              <w:widowControl w:val="0"/>
              <w:jc w:val="center"/>
              <w:textAlignment w:val="auto"/>
              <w:rPr>
                <w:szCs w:val="21"/>
              </w:rPr>
            </w:pPr>
          </w:p>
        </w:tc>
        <w:tc>
          <w:tcPr>
            <w:tcW w:w="694" w:type="dxa"/>
            <w:vAlign w:val="center"/>
          </w:tcPr>
          <w:p w14:paraId="468E0185">
            <w:pPr>
              <w:widowControl w:val="0"/>
              <w:jc w:val="center"/>
              <w:textAlignment w:val="auto"/>
              <w:rPr>
                <w:szCs w:val="21"/>
              </w:rPr>
            </w:pPr>
          </w:p>
        </w:tc>
        <w:tc>
          <w:tcPr>
            <w:tcW w:w="1056" w:type="dxa"/>
            <w:vAlign w:val="center"/>
          </w:tcPr>
          <w:p w14:paraId="2E4A7144">
            <w:pPr>
              <w:widowControl w:val="0"/>
              <w:jc w:val="center"/>
              <w:textAlignment w:val="auto"/>
              <w:rPr>
                <w:szCs w:val="21"/>
              </w:rPr>
            </w:pPr>
          </w:p>
        </w:tc>
        <w:tc>
          <w:tcPr>
            <w:tcW w:w="733" w:type="dxa"/>
            <w:vAlign w:val="center"/>
          </w:tcPr>
          <w:p w14:paraId="2EAB4C52">
            <w:pPr>
              <w:widowControl w:val="0"/>
              <w:jc w:val="center"/>
              <w:textAlignment w:val="auto"/>
              <w:rPr>
                <w:szCs w:val="21"/>
              </w:rPr>
            </w:pPr>
          </w:p>
        </w:tc>
        <w:tc>
          <w:tcPr>
            <w:tcW w:w="733" w:type="dxa"/>
            <w:vAlign w:val="center"/>
          </w:tcPr>
          <w:p w14:paraId="79B8BDC4">
            <w:pPr>
              <w:widowControl w:val="0"/>
              <w:jc w:val="center"/>
              <w:textAlignment w:val="auto"/>
              <w:rPr>
                <w:szCs w:val="21"/>
              </w:rPr>
            </w:pPr>
          </w:p>
        </w:tc>
        <w:tc>
          <w:tcPr>
            <w:tcW w:w="1215" w:type="dxa"/>
            <w:vAlign w:val="center"/>
          </w:tcPr>
          <w:p w14:paraId="22502903">
            <w:pPr>
              <w:widowControl w:val="0"/>
              <w:jc w:val="center"/>
              <w:textAlignment w:val="auto"/>
              <w:rPr>
                <w:szCs w:val="21"/>
              </w:rPr>
            </w:pPr>
          </w:p>
        </w:tc>
        <w:tc>
          <w:tcPr>
            <w:tcW w:w="1714" w:type="dxa"/>
            <w:vAlign w:val="center"/>
          </w:tcPr>
          <w:p w14:paraId="35F06134">
            <w:pPr>
              <w:widowControl w:val="0"/>
              <w:jc w:val="center"/>
              <w:textAlignment w:val="auto"/>
              <w:rPr>
                <w:szCs w:val="21"/>
              </w:rPr>
            </w:pPr>
          </w:p>
        </w:tc>
        <w:tc>
          <w:tcPr>
            <w:tcW w:w="878" w:type="dxa"/>
            <w:vAlign w:val="center"/>
          </w:tcPr>
          <w:p w14:paraId="1F12CA75">
            <w:pPr>
              <w:widowControl w:val="0"/>
              <w:jc w:val="center"/>
              <w:textAlignment w:val="auto"/>
              <w:rPr>
                <w:szCs w:val="21"/>
              </w:rPr>
            </w:pPr>
          </w:p>
        </w:tc>
      </w:tr>
      <w:tr w14:paraId="4169A79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20" w:hRule="atLeast"/>
          <w:jc w:val="center"/>
        </w:trPr>
        <w:tc>
          <w:tcPr>
            <w:tcW w:w="666" w:type="dxa"/>
            <w:tcBorders>
              <w:bottom w:val="single" w:color="auto" w:sz="8" w:space="0"/>
            </w:tcBorders>
            <w:vAlign w:val="center"/>
          </w:tcPr>
          <w:p w14:paraId="7996BF6F">
            <w:pPr>
              <w:widowControl w:val="0"/>
              <w:jc w:val="center"/>
              <w:textAlignment w:val="auto"/>
              <w:rPr>
                <w:szCs w:val="21"/>
              </w:rPr>
            </w:pPr>
          </w:p>
        </w:tc>
        <w:tc>
          <w:tcPr>
            <w:tcW w:w="1100" w:type="dxa"/>
            <w:tcBorders>
              <w:bottom w:val="single" w:color="auto" w:sz="8" w:space="0"/>
            </w:tcBorders>
            <w:vAlign w:val="center"/>
          </w:tcPr>
          <w:p w14:paraId="008358B5">
            <w:pPr>
              <w:widowControl w:val="0"/>
              <w:jc w:val="center"/>
              <w:textAlignment w:val="auto"/>
              <w:rPr>
                <w:szCs w:val="21"/>
              </w:rPr>
            </w:pPr>
          </w:p>
        </w:tc>
        <w:tc>
          <w:tcPr>
            <w:tcW w:w="694" w:type="dxa"/>
            <w:tcBorders>
              <w:bottom w:val="single" w:color="auto" w:sz="8" w:space="0"/>
            </w:tcBorders>
            <w:vAlign w:val="center"/>
          </w:tcPr>
          <w:p w14:paraId="11D9BEDF">
            <w:pPr>
              <w:widowControl w:val="0"/>
              <w:jc w:val="center"/>
              <w:textAlignment w:val="auto"/>
              <w:rPr>
                <w:szCs w:val="21"/>
              </w:rPr>
            </w:pPr>
          </w:p>
        </w:tc>
        <w:tc>
          <w:tcPr>
            <w:tcW w:w="1056" w:type="dxa"/>
            <w:tcBorders>
              <w:bottom w:val="single" w:color="auto" w:sz="8" w:space="0"/>
            </w:tcBorders>
            <w:vAlign w:val="center"/>
          </w:tcPr>
          <w:p w14:paraId="40916163">
            <w:pPr>
              <w:widowControl w:val="0"/>
              <w:jc w:val="center"/>
              <w:textAlignment w:val="auto"/>
              <w:rPr>
                <w:szCs w:val="21"/>
              </w:rPr>
            </w:pPr>
          </w:p>
        </w:tc>
        <w:tc>
          <w:tcPr>
            <w:tcW w:w="733" w:type="dxa"/>
            <w:tcBorders>
              <w:bottom w:val="single" w:color="auto" w:sz="8" w:space="0"/>
            </w:tcBorders>
            <w:vAlign w:val="center"/>
          </w:tcPr>
          <w:p w14:paraId="178E2E4A">
            <w:pPr>
              <w:widowControl w:val="0"/>
              <w:jc w:val="center"/>
              <w:textAlignment w:val="auto"/>
              <w:rPr>
                <w:szCs w:val="21"/>
              </w:rPr>
            </w:pPr>
          </w:p>
        </w:tc>
        <w:tc>
          <w:tcPr>
            <w:tcW w:w="733" w:type="dxa"/>
            <w:tcBorders>
              <w:bottom w:val="single" w:color="auto" w:sz="8" w:space="0"/>
            </w:tcBorders>
            <w:vAlign w:val="center"/>
          </w:tcPr>
          <w:p w14:paraId="4CDD87BE">
            <w:pPr>
              <w:widowControl w:val="0"/>
              <w:jc w:val="center"/>
              <w:textAlignment w:val="auto"/>
              <w:rPr>
                <w:szCs w:val="21"/>
              </w:rPr>
            </w:pPr>
          </w:p>
        </w:tc>
        <w:tc>
          <w:tcPr>
            <w:tcW w:w="1215" w:type="dxa"/>
            <w:tcBorders>
              <w:bottom w:val="single" w:color="auto" w:sz="8" w:space="0"/>
            </w:tcBorders>
            <w:vAlign w:val="center"/>
          </w:tcPr>
          <w:p w14:paraId="1D195B71">
            <w:pPr>
              <w:widowControl w:val="0"/>
              <w:jc w:val="center"/>
              <w:textAlignment w:val="auto"/>
              <w:rPr>
                <w:szCs w:val="21"/>
              </w:rPr>
            </w:pPr>
          </w:p>
        </w:tc>
        <w:tc>
          <w:tcPr>
            <w:tcW w:w="1714" w:type="dxa"/>
            <w:tcBorders>
              <w:bottom w:val="single" w:color="auto" w:sz="8" w:space="0"/>
            </w:tcBorders>
            <w:vAlign w:val="center"/>
          </w:tcPr>
          <w:p w14:paraId="1243C291">
            <w:pPr>
              <w:widowControl w:val="0"/>
              <w:jc w:val="center"/>
              <w:textAlignment w:val="auto"/>
              <w:rPr>
                <w:szCs w:val="21"/>
              </w:rPr>
            </w:pPr>
          </w:p>
        </w:tc>
        <w:tc>
          <w:tcPr>
            <w:tcW w:w="878" w:type="dxa"/>
            <w:tcBorders>
              <w:bottom w:val="single" w:color="auto" w:sz="8" w:space="0"/>
            </w:tcBorders>
            <w:vAlign w:val="center"/>
          </w:tcPr>
          <w:p w14:paraId="66A0DC74">
            <w:pPr>
              <w:widowControl w:val="0"/>
              <w:jc w:val="center"/>
              <w:textAlignment w:val="auto"/>
              <w:rPr>
                <w:szCs w:val="21"/>
              </w:rPr>
            </w:pPr>
          </w:p>
        </w:tc>
      </w:tr>
    </w:tbl>
    <w:p w14:paraId="0289951E">
      <w:pPr>
        <w:pStyle w:val="87"/>
        <w:spacing w:after="120"/>
        <w:jc w:val="center"/>
        <w:rPr>
          <w:rStyle w:val="95"/>
          <w:rFonts w:ascii="Times New Roman" w:hAnsi="Times New Roman" w:eastAsia="宋体"/>
          <w:kern w:val="0"/>
          <w:sz w:val="28"/>
          <w:szCs w:val="28"/>
        </w:rPr>
      </w:pPr>
    </w:p>
    <w:p w14:paraId="6E0E8D57">
      <w:pPr>
        <w:pStyle w:val="87"/>
        <w:spacing w:after="120"/>
        <w:jc w:val="center"/>
        <w:rPr>
          <w:rStyle w:val="95"/>
          <w:rFonts w:ascii="Times New Roman" w:hAnsi="Times New Roman" w:eastAsia="宋体"/>
          <w:kern w:val="0"/>
          <w:sz w:val="28"/>
          <w:szCs w:val="28"/>
        </w:rPr>
      </w:pPr>
      <w:r>
        <w:rPr>
          <w:rStyle w:val="95"/>
          <w:rFonts w:hint="eastAsia" w:ascii="Times New Roman" w:hAnsi="Times New Roman" w:eastAsia="宋体"/>
          <w:kern w:val="0"/>
          <w:sz w:val="28"/>
          <w:szCs w:val="28"/>
        </w:rPr>
        <w:t>十</w:t>
      </w:r>
      <w:r>
        <w:rPr>
          <w:rStyle w:val="95"/>
          <w:rFonts w:hint="eastAsia" w:ascii="Times New Roman" w:hAnsi="Times New Roman" w:eastAsia="宋体"/>
          <w:kern w:val="0"/>
          <w:sz w:val="28"/>
          <w:szCs w:val="28"/>
          <w:lang w:eastAsia="zh-CN"/>
        </w:rPr>
        <w:t>一</w:t>
      </w:r>
      <w:r>
        <w:rPr>
          <w:rStyle w:val="95"/>
          <w:rFonts w:hint="eastAsia" w:ascii="Times New Roman" w:hAnsi="Times New Roman" w:eastAsia="宋体"/>
          <w:kern w:val="0"/>
          <w:sz w:val="28"/>
          <w:szCs w:val="28"/>
        </w:rPr>
        <w:t>、投标文件、合同条款的商务偏离表格式</w:t>
      </w:r>
    </w:p>
    <w:p w14:paraId="0D0B6792">
      <w:pPr>
        <w:pStyle w:val="88"/>
        <w:jc w:val="center"/>
        <w:rPr>
          <w:rStyle w:val="95"/>
        </w:rPr>
      </w:pPr>
      <w:r>
        <w:rPr>
          <w:rStyle w:val="95"/>
          <w:rFonts w:hint="eastAsia"/>
        </w:rPr>
        <w:t>投标文件的商务偏离表（本项目不允许偏离，所以不适用，空表即可）</w:t>
      </w:r>
    </w:p>
    <w:tbl>
      <w:tblPr>
        <w:tblStyle w:val="45"/>
        <w:tblW w:w="8959" w:type="dxa"/>
        <w:tblInd w:w="3" w:type="dxa"/>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Layout w:type="fixed"/>
        <w:tblCellMar>
          <w:top w:w="0" w:type="dxa"/>
          <w:left w:w="0" w:type="dxa"/>
          <w:bottom w:w="0" w:type="dxa"/>
          <w:right w:w="0" w:type="dxa"/>
        </w:tblCellMar>
      </w:tblPr>
      <w:tblGrid>
        <w:gridCol w:w="1791"/>
        <w:gridCol w:w="1792"/>
        <w:gridCol w:w="1792"/>
        <w:gridCol w:w="1792"/>
        <w:gridCol w:w="1792"/>
      </w:tblGrid>
      <w:tr w14:paraId="2595EDDE">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0" w:type="dxa"/>
            <w:bottom w:w="0" w:type="dxa"/>
            <w:right w:w="0" w:type="dxa"/>
          </w:tblCellMar>
        </w:tblPrEx>
        <w:trPr>
          <w:cantSplit/>
          <w:trHeight w:val="620" w:hRule="atLeast"/>
        </w:trPr>
        <w:tc>
          <w:tcPr>
            <w:tcW w:w="1791" w:type="dxa"/>
            <w:tcBorders>
              <w:top w:val="single" w:color="000000" w:sz="2" w:space="0"/>
            </w:tcBorders>
            <w:vAlign w:val="center"/>
          </w:tcPr>
          <w:p w14:paraId="6C4C55BE">
            <w:pPr>
              <w:jc w:val="center"/>
              <w:rPr>
                <w:rStyle w:val="95"/>
              </w:rPr>
            </w:pPr>
            <w:r>
              <w:rPr>
                <w:rStyle w:val="95"/>
                <w:rFonts w:hint="eastAsia"/>
              </w:rPr>
              <w:t>偏离条款</w:t>
            </w:r>
          </w:p>
        </w:tc>
        <w:tc>
          <w:tcPr>
            <w:tcW w:w="1792" w:type="dxa"/>
            <w:tcBorders>
              <w:top w:val="single" w:color="000000" w:sz="2" w:space="0"/>
            </w:tcBorders>
            <w:vAlign w:val="center"/>
          </w:tcPr>
          <w:p w14:paraId="4EB2F163">
            <w:pPr>
              <w:jc w:val="center"/>
              <w:rPr>
                <w:rStyle w:val="95"/>
              </w:rPr>
            </w:pPr>
            <w:r>
              <w:rPr>
                <w:rStyle w:val="95"/>
                <w:rFonts w:hint="eastAsia"/>
              </w:rPr>
              <w:t>招标要求</w:t>
            </w:r>
          </w:p>
        </w:tc>
        <w:tc>
          <w:tcPr>
            <w:tcW w:w="1792" w:type="dxa"/>
            <w:tcBorders>
              <w:top w:val="single" w:color="000000" w:sz="2" w:space="0"/>
            </w:tcBorders>
            <w:vAlign w:val="center"/>
          </w:tcPr>
          <w:p w14:paraId="291AF3EE">
            <w:pPr>
              <w:jc w:val="center"/>
              <w:rPr>
                <w:rStyle w:val="95"/>
              </w:rPr>
            </w:pPr>
            <w:r>
              <w:rPr>
                <w:rStyle w:val="95"/>
                <w:rFonts w:hint="eastAsia"/>
              </w:rPr>
              <w:t>投标情况</w:t>
            </w:r>
          </w:p>
        </w:tc>
        <w:tc>
          <w:tcPr>
            <w:tcW w:w="1792" w:type="dxa"/>
            <w:tcBorders>
              <w:top w:val="single" w:color="000000" w:sz="2" w:space="0"/>
            </w:tcBorders>
            <w:vAlign w:val="center"/>
          </w:tcPr>
          <w:p w14:paraId="0B86369C">
            <w:pPr>
              <w:jc w:val="center"/>
              <w:rPr>
                <w:rStyle w:val="95"/>
              </w:rPr>
            </w:pPr>
            <w:r>
              <w:rPr>
                <w:rStyle w:val="95"/>
                <w:rFonts w:hint="eastAsia"/>
              </w:rPr>
              <w:t>偏离</w:t>
            </w:r>
          </w:p>
        </w:tc>
        <w:tc>
          <w:tcPr>
            <w:tcW w:w="1792" w:type="dxa"/>
            <w:tcBorders>
              <w:top w:val="single" w:color="000000" w:sz="2" w:space="0"/>
            </w:tcBorders>
            <w:vAlign w:val="center"/>
          </w:tcPr>
          <w:p w14:paraId="09F8B367">
            <w:pPr>
              <w:jc w:val="center"/>
              <w:rPr>
                <w:rStyle w:val="95"/>
              </w:rPr>
            </w:pPr>
            <w:r>
              <w:rPr>
                <w:rStyle w:val="95"/>
                <w:rFonts w:hint="eastAsia"/>
              </w:rPr>
              <w:t>说明</w:t>
            </w:r>
          </w:p>
        </w:tc>
      </w:tr>
      <w:tr w14:paraId="20E82D68">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0" w:type="dxa"/>
            <w:bottom w:w="0" w:type="dxa"/>
            <w:right w:w="0" w:type="dxa"/>
          </w:tblCellMar>
        </w:tblPrEx>
        <w:trPr>
          <w:cantSplit/>
          <w:trHeight w:val="630" w:hRule="atLeast"/>
        </w:trPr>
        <w:tc>
          <w:tcPr>
            <w:tcW w:w="1791" w:type="dxa"/>
            <w:vAlign w:val="center"/>
          </w:tcPr>
          <w:p w14:paraId="718A9ED5">
            <w:pPr>
              <w:spacing w:line="360" w:lineRule="auto"/>
              <w:jc w:val="center"/>
              <w:rPr>
                <w:rStyle w:val="95"/>
              </w:rPr>
            </w:pPr>
          </w:p>
        </w:tc>
        <w:tc>
          <w:tcPr>
            <w:tcW w:w="1792" w:type="dxa"/>
            <w:vAlign w:val="center"/>
          </w:tcPr>
          <w:p w14:paraId="7958CB05">
            <w:pPr>
              <w:spacing w:line="360" w:lineRule="auto"/>
              <w:jc w:val="center"/>
              <w:rPr>
                <w:rStyle w:val="95"/>
              </w:rPr>
            </w:pPr>
          </w:p>
        </w:tc>
        <w:tc>
          <w:tcPr>
            <w:tcW w:w="1792" w:type="dxa"/>
            <w:vAlign w:val="center"/>
          </w:tcPr>
          <w:p w14:paraId="3B3F5330">
            <w:pPr>
              <w:spacing w:line="360" w:lineRule="auto"/>
              <w:jc w:val="center"/>
              <w:rPr>
                <w:rStyle w:val="95"/>
              </w:rPr>
            </w:pPr>
          </w:p>
        </w:tc>
        <w:tc>
          <w:tcPr>
            <w:tcW w:w="1792" w:type="dxa"/>
            <w:vAlign w:val="center"/>
          </w:tcPr>
          <w:p w14:paraId="53AC8A1D">
            <w:pPr>
              <w:spacing w:line="360" w:lineRule="auto"/>
              <w:jc w:val="center"/>
              <w:rPr>
                <w:rStyle w:val="95"/>
              </w:rPr>
            </w:pPr>
          </w:p>
        </w:tc>
        <w:tc>
          <w:tcPr>
            <w:tcW w:w="1792" w:type="dxa"/>
            <w:vAlign w:val="center"/>
          </w:tcPr>
          <w:p w14:paraId="36355F1D">
            <w:pPr>
              <w:spacing w:line="360" w:lineRule="auto"/>
              <w:jc w:val="center"/>
              <w:rPr>
                <w:rStyle w:val="95"/>
              </w:rPr>
            </w:pPr>
          </w:p>
        </w:tc>
      </w:tr>
      <w:tr w14:paraId="62978DFF">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0" w:type="dxa"/>
            <w:bottom w:w="0" w:type="dxa"/>
            <w:right w:w="0" w:type="dxa"/>
          </w:tblCellMar>
        </w:tblPrEx>
        <w:trPr>
          <w:cantSplit/>
          <w:trHeight w:val="630" w:hRule="atLeast"/>
        </w:trPr>
        <w:tc>
          <w:tcPr>
            <w:tcW w:w="1791" w:type="dxa"/>
            <w:vAlign w:val="center"/>
          </w:tcPr>
          <w:p w14:paraId="04583D7B">
            <w:pPr>
              <w:spacing w:line="360" w:lineRule="auto"/>
              <w:jc w:val="center"/>
              <w:rPr>
                <w:rStyle w:val="95"/>
              </w:rPr>
            </w:pPr>
          </w:p>
        </w:tc>
        <w:tc>
          <w:tcPr>
            <w:tcW w:w="1792" w:type="dxa"/>
            <w:vAlign w:val="center"/>
          </w:tcPr>
          <w:p w14:paraId="6EDCA231">
            <w:pPr>
              <w:spacing w:line="360" w:lineRule="auto"/>
              <w:jc w:val="center"/>
              <w:rPr>
                <w:rStyle w:val="95"/>
              </w:rPr>
            </w:pPr>
          </w:p>
        </w:tc>
        <w:tc>
          <w:tcPr>
            <w:tcW w:w="1792" w:type="dxa"/>
            <w:vAlign w:val="center"/>
          </w:tcPr>
          <w:p w14:paraId="2D1F64E8">
            <w:pPr>
              <w:spacing w:line="360" w:lineRule="auto"/>
              <w:jc w:val="center"/>
              <w:rPr>
                <w:rStyle w:val="95"/>
              </w:rPr>
            </w:pPr>
          </w:p>
        </w:tc>
        <w:tc>
          <w:tcPr>
            <w:tcW w:w="1792" w:type="dxa"/>
            <w:vAlign w:val="center"/>
          </w:tcPr>
          <w:p w14:paraId="34A90B81">
            <w:pPr>
              <w:spacing w:line="360" w:lineRule="auto"/>
              <w:jc w:val="center"/>
              <w:rPr>
                <w:rStyle w:val="95"/>
              </w:rPr>
            </w:pPr>
          </w:p>
        </w:tc>
        <w:tc>
          <w:tcPr>
            <w:tcW w:w="1792" w:type="dxa"/>
            <w:vAlign w:val="center"/>
          </w:tcPr>
          <w:p w14:paraId="59F60D07">
            <w:pPr>
              <w:spacing w:line="360" w:lineRule="auto"/>
              <w:jc w:val="center"/>
              <w:rPr>
                <w:rStyle w:val="95"/>
              </w:rPr>
            </w:pPr>
          </w:p>
        </w:tc>
      </w:tr>
      <w:tr w14:paraId="00CDAC1F">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0" w:type="dxa"/>
            <w:bottom w:w="0" w:type="dxa"/>
            <w:right w:w="0" w:type="dxa"/>
          </w:tblCellMar>
        </w:tblPrEx>
        <w:trPr>
          <w:cantSplit/>
          <w:trHeight w:val="630" w:hRule="atLeast"/>
        </w:trPr>
        <w:tc>
          <w:tcPr>
            <w:tcW w:w="1791" w:type="dxa"/>
            <w:vAlign w:val="center"/>
          </w:tcPr>
          <w:p w14:paraId="2B059934">
            <w:pPr>
              <w:spacing w:line="360" w:lineRule="auto"/>
              <w:jc w:val="center"/>
              <w:rPr>
                <w:rStyle w:val="95"/>
              </w:rPr>
            </w:pPr>
          </w:p>
        </w:tc>
        <w:tc>
          <w:tcPr>
            <w:tcW w:w="1792" w:type="dxa"/>
            <w:vAlign w:val="center"/>
          </w:tcPr>
          <w:p w14:paraId="5DD846DD">
            <w:pPr>
              <w:spacing w:line="360" w:lineRule="auto"/>
              <w:jc w:val="center"/>
              <w:rPr>
                <w:rStyle w:val="95"/>
              </w:rPr>
            </w:pPr>
          </w:p>
        </w:tc>
        <w:tc>
          <w:tcPr>
            <w:tcW w:w="1792" w:type="dxa"/>
            <w:vAlign w:val="center"/>
          </w:tcPr>
          <w:p w14:paraId="45F67623">
            <w:pPr>
              <w:spacing w:line="360" w:lineRule="auto"/>
              <w:jc w:val="center"/>
              <w:rPr>
                <w:rStyle w:val="95"/>
              </w:rPr>
            </w:pPr>
          </w:p>
        </w:tc>
        <w:tc>
          <w:tcPr>
            <w:tcW w:w="1792" w:type="dxa"/>
            <w:vAlign w:val="center"/>
          </w:tcPr>
          <w:p w14:paraId="050F0597">
            <w:pPr>
              <w:spacing w:line="360" w:lineRule="auto"/>
              <w:jc w:val="center"/>
              <w:rPr>
                <w:rStyle w:val="95"/>
              </w:rPr>
            </w:pPr>
          </w:p>
        </w:tc>
        <w:tc>
          <w:tcPr>
            <w:tcW w:w="1792" w:type="dxa"/>
            <w:vAlign w:val="center"/>
          </w:tcPr>
          <w:p w14:paraId="4FC09224">
            <w:pPr>
              <w:spacing w:line="360" w:lineRule="auto"/>
              <w:jc w:val="center"/>
              <w:rPr>
                <w:rStyle w:val="95"/>
              </w:rPr>
            </w:pPr>
          </w:p>
        </w:tc>
      </w:tr>
      <w:tr w14:paraId="4C2B3D72">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0" w:type="dxa"/>
            <w:bottom w:w="0" w:type="dxa"/>
            <w:right w:w="0" w:type="dxa"/>
          </w:tblCellMar>
        </w:tblPrEx>
        <w:trPr>
          <w:cantSplit/>
          <w:trHeight w:val="630" w:hRule="atLeast"/>
        </w:trPr>
        <w:tc>
          <w:tcPr>
            <w:tcW w:w="1791" w:type="dxa"/>
            <w:vAlign w:val="center"/>
          </w:tcPr>
          <w:p w14:paraId="6440461E">
            <w:pPr>
              <w:spacing w:line="360" w:lineRule="auto"/>
              <w:jc w:val="center"/>
              <w:rPr>
                <w:rStyle w:val="95"/>
              </w:rPr>
            </w:pPr>
          </w:p>
        </w:tc>
        <w:tc>
          <w:tcPr>
            <w:tcW w:w="1792" w:type="dxa"/>
            <w:vAlign w:val="center"/>
          </w:tcPr>
          <w:p w14:paraId="5CE934AE">
            <w:pPr>
              <w:spacing w:line="360" w:lineRule="auto"/>
              <w:jc w:val="center"/>
              <w:rPr>
                <w:rStyle w:val="95"/>
              </w:rPr>
            </w:pPr>
          </w:p>
        </w:tc>
        <w:tc>
          <w:tcPr>
            <w:tcW w:w="1792" w:type="dxa"/>
            <w:vAlign w:val="center"/>
          </w:tcPr>
          <w:p w14:paraId="7814CDE6">
            <w:pPr>
              <w:spacing w:line="360" w:lineRule="auto"/>
              <w:jc w:val="center"/>
              <w:rPr>
                <w:rStyle w:val="95"/>
              </w:rPr>
            </w:pPr>
          </w:p>
        </w:tc>
        <w:tc>
          <w:tcPr>
            <w:tcW w:w="1792" w:type="dxa"/>
            <w:vAlign w:val="center"/>
          </w:tcPr>
          <w:p w14:paraId="534BA9FF">
            <w:pPr>
              <w:spacing w:line="360" w:lineRule="auto"/>
              <w:jc w:val="center"/>
              <w:rPr>
                <w:rStyle w:val="95"/>
              </w:rPr>
            </w:pPr>
          </w:p>
        </w:tc>
        <w:tc>
          <w:tcPr>
            <w:tcW w:w="1792" w:type="dxa"/>
            <w:vAlign w:val="center"/>
          </w:tcPr>
          <w:p w14:paraId="3FE37DD3">
            <w:pPr>
              <w:spacing w:line="360" w:lineRule="auto"/>
              <w:jc w:val="center"/>
              <w:rPr>
                <w:rStyle w:val="95"/>
              </w:rPr>
            </w:pPr>
          </w:p>
        </w:tc>
      </w:tr>
      <w:tr w14:paraId="46268272">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0" w:type="dxa"/>
            <w:bottom w:w="0" w:type="dxa"/>
            <w:right w:w="0" w:type="dxa"/>
          </w:tblCellMar>
        </w:tblPrEx>
        <w:trPr>
          <w:cantSplit/>
          <w:trHeight w:val="630" w:hRule="atLeast"/>
        </w:trPr>
        <w:tc>
          <w:tcPr>
            <w:tcW w:w="1791" w:type="dxa"/>
            <w:vAlign w:val="center"/>
          </w:tcPr>
          <w:p w14:paraId="5CA7A7F2">
            <w:pPr>
              <w:spacing w:line="360" w:lineRule="auto"/>
              <w:jc w:val="center"/>
              <w:rPr>
                <w:rStyle w:val="95"/>
              </w:rPr>
            </w:pPr>
          </w:p>
        </w:tc>
        <w:tc>
          <w:tcPr>
            <w:tcW w:w="1792" w:type="dxa"/>
            <w:vAlign w:val="center"/>
          </w:tcPr>
          <w:p w14:paraId="5A16E7CF">
            <w:pPr>
              <w:spacing w:line="360" w:lineRule="auto"/>
              <w:jc w:val="center"/>
              <w:rPr>
                <w:rStyle w:val="95"/>
              </w:rPr>
            </w:pPr>
          </w:p>
        </w:tc>
        <w:tc>
          <w:tcPr>
            <w:tcW w:w="1792" w:type="dxa"/>
            <w:vAlign w:val="center"/>
          </w:tcPr>
          <w:p w14:paraId="4D40ABD7">
            <w:pPr>
              <w:spacing w:line="360" w:lineRule="auto"/>
              <w:jc w:val="center"/>
              <w:rPr>
                <w:rStyle w:val="95"/>
              </w:rPr>
            </w:pPr>
          </w:p>
        </w:tc>
        <w:tc>
          <w:tcPr>
            <w:tcW w:w="1792" w:type="dxa"/>
            <w:vAlign w:val="center"/>
          </w:tcPr>
          <w:p w14:paraId="1CBEFF7E">
            <w:pPr>
              <w:spacing w:line="360" w:lineRule="auto"/>
              <w:jc w:val="center"/>
              <w:rPr>
                <w:rStyle w:val="95"/>
              </w:rPr>
            </w:pPr>
          </w:p>
        </w:tc>
        <w:tc>
          <w:tcPr>
            <w:tcW w:w="1792" w:type="dxa"/>
            <w:vAlign w:val="center"/>
          </w:tcPr>
          <w:p w14:paraId="05D91850">
            <w:pPr>
              <w:spacing w:line="360" w:lineRule="auto"/>
              <w:jc w:val="center"/>
              <w:rPr>
                <w:rStyle w:val="95"/>
              </w:rPr>
            </w:pPr>
          </w:p>
        </w:tc>
      </w:tr>
      <w:tr w14:paraId="270BE3B4">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0" w:type="dxa"/>
            <w:bottom w:w="0" w:type="dxa"/>
            <w:right w:w="0" w:type="dxa"/>
          </w:tblCellMar>
        </w:tblPrEx>
        <w:trPr>
          <w:cantSplit/>
          <w:trHeight w:val="635" w:hRule="atLeast"/>
        </w:trPr>
        <w:tc>
          <w:tcPr>
            <w:tcW w:w="1791" w:type="dxa"/>
            <w:tcBorders>
              <w:bottom w:val="single" w:color="000000" w:sz="2" w:space="0"/>
            </w:tcBorders>
            <w:vAlign w:val="center"/>
          </w:tcPr>
          <w:p w14:paraId="548D4B87">
            <w:pPr>
              <w:spacing w:line="360" w:lineRule="auto"/>
              <w:jc w:val="center"/>
              <w:rPr>
                <w:rStyle w:val="95"/>
              </w:rPr>
            </w:pPr>
          </w:p>
        </w:tc>
        <w:tc>
          <w:tcPr>
            <w:tcW w:w="1792" w:type="dxa"/>
            <w:tcBorders>
              <w:bottom w:val="single" w:color="000000" w:sz="2" w:space="0"/>
            </w:tcBorders>
            <w:vAlign w:val="center"/>
          </w:tcPr>
          <w:p w14:paraId="44906C4B">
            <w:pPr>
              <w:spacing w:line="360" w:lineRule="auto"/>
              <w:jc w:val="center"/>
              <w:rPr>
                <w:rStyle w:val="95"/>
              </w:rPr>
            </w:pPr>
          </w:p>
        </w:tc>
        <w:tc>
          <w:tcPr>
            <w:tcW w:w="1792" w:type="dxa"/>
            <w:tcBorders>
              <w:bottom w:val="single" w:color="000000" w:sz="2" w:space="0"/>
            </w:tcBorders>
            <w:vAlign w:val="center"/>
          </w:tcPr>
          <w:p w14:paraId="657A9CFC">
            <w:pPr>
              <w:spacing w:line="360" w:lineRule="auto"/>
              <w:jc w:val="center"/>
              <w:rPr>
                <w:rStyle w:val="95"/>
              </w:rPr>
            </w:pPr>
          </w:p>
        </w:tc>
        <w:tc>
          <w:tcPr>
            <w:tcW w:w="1792" w:type="dxa"/>
            <w:tcBorders>
              <w:bottom w:val="single" w:color="000000" w:sz="2" w:space="0"/>
            </w:tcBorders>
            <w:vAlign w:val="center"/>
          </w:tcPr>
          <w:p w14:paraId="28D5B150">
            <w:pPr>
              <w:spacing w:line="360" w:lineRule="auto"/>
              <w:jc w:val="center"/>
              <w:rPr>
                <w:rStyle w:val="95"/>
              </w:rPr>
            </w:pPr>
          </w:p>
        </w:tc>
        <w:tc>
          <w:tcPr>
            <w:tcW w:w="1792" w:type="dxa"/>
            <w:tcBorders>
              <w:bottom w:val="single" w:color="000000" w:sz="2" w:space="0"/>
            </w:tcBorders>
            <w:vAlign w:val="center"/>
          </w:tcPr>
          <w:p w14:paraId="25164D19">
            <w:pPr>
              <w:spacing w:line="360" w:lineRule="auto"/>
              <w:jc w:val="center"/>
              <w:rPr>
                <w:rStyle w:val="95"/>
              </w:rPr>
            </w:pPr>
          </w:p>
        </w:tc>
      </w:tr>
    </w:tbl>
    <w:p w14:paraId="552A9585">
      <w:pPr>
        <w:spacing w:line="400" w:lineRule="exact"/>
        <w:rPr>
          <w:rStyle w:val="95"/>
        </w:rPr>
      </w:pPr>
      <w:r>
        <w:rPr>
          <w:rStyle w:val="95"/>
          <w:rFonts w:hint="eastAsia"/>
        </w:rPr>
        <w:t>声明：除本偏差表中所列出的偏差外，投标人完全响应招标文件有关商务的其他条款内容。</w:t>
      </w:r>
    </w:p>
    <w:p w14:paraId="2A1D07DE">
      <w:pPr>
        <w:spacing w:line="400" w:lineRule="exact"/>
        <w:ind w:firstLine="480"/>
        <w:rPr>
          <w:rStyle w:val="95"/>
        </w:rPr>
      </w:pPr>
    </w:p>
    <w:p w14:paraId="214D0765">
      <w:pPr>
        <w:spacing w:line="400" w:lineRule="exact"/>
        <w:rPr>
          <w:rStyle w:val="95"/>
        </w:rPr>
      </w:pPr>
      <w:r>
        <w:rPr>
          <w:rStyle w:val="95"/>
          <w:rFonts w:hint="eastAsia"/>
        </w:rPr>
        <w:t>投标人（盖章）：</w:t>
      </w:r>
    </w:p>
    <w:p w14:paraId="2644945C">
      <w:pPr>
        <w:spacing w:line="400" w:lineRule="exact"/>
        <w:rPr>
          <w:rStyle w:val="95"/>
        </w:rPr>
      </w:pPr>
      <w:r>
        <w:rPr>
          <w:rStyle w:val="95"/>
          <w:rFonts w:hint="eastAsia"/>
        </w:rPr>
        <w:t>法定代表人或授权代理人（签字）：</w:t>
      </w:r>
    </w:p>
    <w:p w14:paraId="459F724C">
      <w:pPr>
        <w:spacing w:line="400" w:lineRule="exact"/>
        <w:rPr>
          <w:rStyle w:val="95"/>
          <w:b/>
        </w:rPr>
      </w:pPr>
    </w:p>
    <w:p w14:paraId="66F0EF72">
      <w:pPr>
        <w:spacing w:line="400" w:lineRule="exact"/>
        <w:rPr>
          <w:rStyle w:val="95"/>
          <w:b/>
        </w:rPr>
      </w:pPr>
    </w:p>
    <w:p w14:paraId="718D5E41">
      <w:pPr>
        <w:spacing w:line="400" w:lineRule="exact"/>
        <w:rPr>
          <w:rStyle w:val="95"/>
          <w:b/>
        </w:rPr>
      </w:pPr>
    </w:p>
    <w:p w14:paraId="419D150A">
      <w:pPr>
        <w:spacing w:line="400" w:lineRule="exact"/>
        <w:rPr>
          <w:rStyle w:val="95"/>
          <w:b/>
        </w:rPr>
      </w:pPr>
    </w:p>
    <w:p w14:paraId="280AEC0B">
      <w:pPr>
        <w:spacing w:line="400" w:lineRule="exact"/>
        <w:rPr>
          <w:rStyle w:val="95"/>
          <w:b/>
        </w:rPr>
      </w:pPr>
    </w:p>
    <w:p w14:paraId="3CA1A799">
      <w:pPr>
        <w:spacing w:line="400" w:lineRule="exact"/>
        <w:rPr>
          <w:rStyle w:val="95"/>
          <w:b/>
        </w:rPr>
      </w:pPr>
    </w:p>
    <w:p w14:paraId="08638F7F">
      <w:pPr>
        <w:spacing w:line="400" w:lineRule="exact"/>
        <w:rPr>
          <w:rStyle w:val="95"/>
          <w:b/>
        </w:rPr>
      </w:pPr>
    </w:p>
    <w:p w14:paraId="0B70011B">
      <w:pPr>
        <w:spacing w:line="360" w:lineRule="auto"/>
        <w:ind w:firstLine="738" w:firstLineChars="245"/>
        <w:jc w:val="center"/>
        <w:rPr>
          <w:rStyle w:val="95"/>
          <w:b/>
          <w:sz w:val="30"/>
          <w:szCs w:val="30"/>
        </w:rPr>
      </w:pPr>
      <w:r>
        <w:rPr>
          <w:rStyle w:val="95"/>
          <w:b/>
          <w:sz w:val="30"/>
          <w:szCs w:val="30"/>
        </w:rPr>
        <w:br w:type="page"/>
      </w:r>
    </w:p>
    <w:p w14:paraId="178966B0">
      <w:pPr>
        <w:pStyle w:val="85"/>
        <w:rPr>
          <w:rStyle w:val="95"/>
          <w:rFonts w:ascii="Times New Roman" w:hAnsi="Times New Roman"/>
        </w:rPr>
      </w:pPr>
    </w:p>
    <w:p w14:paraId="5D61ECC4">
      <w:pPr>
        <w:pStyle w:val="85"/>
        <w:rPr>
          <w:rStyle w:val="95"/>
          <w:rFonts w:ascii="Times New Roman" w:hAnsi="Times New Roman"/>
        </w:rPr>
      </w:pPr>
    </w:p>
    <w:p w14:paraId="7662424E">
      <w:pPr>
        <w:spacing w:line="360" w:lineRule="auto"/>
        <w:ind w:firstLine="689" w:firstLineChars="245"/>
        <w:jc w:val="center"/>
        <w:rPr>
          <w:rStyle w:val="95"/>
          <w:b/>
          <w:kern w:val="0"/>
          <w:sz w:val="28"/>
          <w:szCs w:val="28"/>
        </w:rPr>
      </w:pPr>
      <w:r>
        <w:rPr>
          <w:rStyle w:val="95"/>
          <w:rFonts w:hint="eastAsia"/>
          <w:b/>
          <w:kern w:val="0"/>
          <w:sz w:val="28"/>
          <w:szCs w:val="28"/>
        </w:rPr>
        <w:t>十</w:t>
      </w:r>
      <w:r>
        <w:rPr>
          <w:rStyle w:val="95"/>
          <w:rFonts w:hint="eastAsia"/>
          <w:b/>
          <w:kern w:val="0"/>
          <w:sz w:val="28"/>
          <w:szCs w:val="28"/>
          <w:lang w:eastAsia="zh-CN"/>
        </w:rPr>
        <w:t>二</w:t>
      </w:r>
      <w:r>
        <w:rPr>
          <w:rStyle w:val="95"/>
          <w:rFonts w:hint="eastAsia"/>
          <w:b/>
          <w:kern w:val="0"/>
          <w:sz w:val="28"/>
          <w:szCs w:val="28"/>
        </w:rPr>
        <w:t>、投标人认为有必要的其他材料</w:t>
      </w:r>
    </w:p>
    <w:p w14:paraId="107369CA">
      <w:pPr>
        <w:pStyle w:val="182"/>
        <w:ind w:firstLine="480"/>
        <w:rPr>
          <w:rStyle w:val="95"/>
          <w:rFonts w:eastAsia="宋体"/>
        </w:rPr>
      </w:pPr>
    </w:p>
    <w:p w14:paraId="147E0393">
      <w:pPr>
        <w:pStyle w:val="182"/>
        <w:ind w:firstLine="480"/>
        <w:rPr>
          <w:rStyle w:val="95"/>
          <w:rFonts w:eastAsia="宋体"/>
        </w:rPr>
      </w:pPr>
    </w:p>
    <w:p w14:paraId="616F2BC9">
      <w:pPr>
        <w:pStyle w:val="182"/>
        <w:ind w:firstLine="480"/>
        <w:rPr>
          <w:rStyle w:val="95"/>
          <w:rFonts w:eastAsia="宋体"/>
        </w:rPr>
      </w:pPr>
    </w:p>
    <w:p w14:paraId="68E6CC60">
      <w:pPr>
        <w:pStyle w:val="182"/>
        <w:ind w:firstLine="480"/>
        <w:rPr>
          <w:rStyle w:val="95"/>
          <w:rFonts w:eastAsia="宋体"/>
        </w:rPr>
      </w:pPr>
    </w:p>
    <w:p w14:paraId="4A6AED03">
      <w:pPr>
        <w:pStyle w:val="182"/>
        <w:ind w:firstLine="480"/>
        <w:rPr>
          <w:rStyle w:val="95"/>
          <w:rFonts w:eastAsia="宋体"/>
        </w:rPr>
      </w:pPr>
    </w:p>
    <w:p w14:paraId="4C22DA01">
      <w:pPr>
        <w:pStyle w:val="182"/>
        <w:ind w:firstLine="480"/>
        <w:rPr>
          <w:rStyle w:val="95"/>
          <w:rFonts w:eastAsia="宋体"/>
        </w:rPr>
      </w:pPr>
    </w:p>
    <w:p w14:paraId="7595A866">
      <w:pPr>
        <w:pStyle w:val="182"/>
        <w:ind w:firstLine="480"/>
        <w:rPr>
          <w:rStyle w:val="95"/>
          <w:rFonts w:eastAsia="宋体"/>
        </w:rPr>
      </w:pPr>
    </w:p>
    <w:p w14:paraId="644B1C9D">
      <w:pPr>
        <w:pStyle w:val="183"/>
        <w:rPr>
          <w:rStyle w:val="95"/>
          <w:rFonts w:ascii="Times New Roman" w:hAnsi="Times New Roman"/>
        </w:rPr>
      </w:pPr>
    </w:p>
    <w:p w14:paraId="2CFCF31E">
      <w:pPr>
        <w:pStyle w:val="183"/>
        <w:rPr>
          <w:rStyle w:val="95"/>
          <w:rFonts w:ascii="Times New Roman" w:hAnsi="Times New Roman"/>
        </w:rPr>
      </w:pPr>
    </w:p>
    <w:p w14:paraId="67A406BA">
      <w:pPr>
        <w:pStyle w:val="183"/>
        <w:rPr>
          <w:rStyle w:val="95"/>
          <w:rFonts w:ascii="Times New Roman" w:hAnsi="Times New Roman"/>
        </w:rPr>
      </w:pPr>
    </w:p>
    <w:p w14:paraId="6C3741D4">
      <w:pPr>
        <w:pStyle w:val="183"/>
        <w:rPr>
          <w:rStyle w:val="95"/>
          <w:rFonts w:ascii="Times New Roman" w:hAnsi="Times New Roman"/>
        </w:rPr>
      </w:pPr>
    </w:p>
    <w:p w14:paraId="5F19CB7B">
      <w:pPr>
        <w:pStyle w:val="183"/>
        <w:rPr>
          <w:rStyle w:val="95"/>
          <w:rFonts w:ascii="Times New Roman" w:hAnsi="Times New Roman"/>
        </w:rPr>
      </w:pPr>
    </w:p>
    <w:p w14:paraId="408960F7">
      <w:pPr>
        <w:pStyle w:val="183"/>
        <w:rPr>
          <w:rStyle w:val="95"/>
          <w:rFonts w:ascii="Times New Roman" w:hAnsi="Times New Roman"/>
        </w:rPr>
      </w:pPr>
    </w:p>
    <w:p w14:paraId="1935C6D3">
      <w:pPr>
        <w:pStyle w:val="183"/>
        <w:rPr>
          <w:rStyle w:val="95"/>
          <w:rFonts w:ascii="Times New Roman" w:hAnsi="Times New Roman"/>
        </w:rPr>
      </w:pPr>
    </w:p>
    <w:p w14:paraId="1AC3979D">
      <w:pPr>
        <w:pStyle w:val="183"/>
        <w:rPr>
          <w:rStyle w:val="95"/>
          <w:rFonts w:ascii="Times New Roman" w:hAnsi="Times New Roman"/>
        </w:rPr>
      </w:pPr>
    </w:p>
    <w:p w14:paraId="72E90CE3">
      <w:pPr>
        <w:pStyle w:val="183"/>
        <w:rPr>
          <w:rStyle w:val="95"/>
          <w:rFonts w:ascii="Times New Roman" w:hAnsi="Times New Roman"/>
        </w:rPr>
      </w:pPr>
    </w:p>
    <w:p w14:paraId="7B108E56">
      <w:pPr>
        <w:pStyle w:val="183"/>
        <w:rPr>
          <w:rStyle w:val="95"/>
          <w:rFonts w:ascii="Times New Roman" w:hAnsi="Times New Roman"/>
        </w:rPr>
      </w:pPr>
    </w:p>
    <w:p w14:paraId="66828B03">
      <w:pPr>
        <w:pStyle w:val="183"/>
        <w:rPr>
          <w:rStyle w:val="95"/>
          <w:rFonts w:ascii="Times New Roman" w:hAnsi="Times New Roman"/>
        </w:rPr>
      </w:pPr>
    </w:p>
    <w:p w14:paraId="2B9F6EE9">
      <w:pPr>
        <w:pStyle w:val="183"/>
        <w:rPr>
          <w:rStyle w:val="95"/>
          <w:rFonts w:ascii="Times New Roman" w:hAnsi="Times New Roman"/>
        </w:rPr>
      </w:pPr>
    </w:p>
    <w:p w14:paraId="74076AC6">
      <w:pPr>
        <w:pStyle w:val="183"/>
        <w:rPr>
          <w:rStyle w:val="95"/>
          <w:rFonts w:ascii="Times New Roman" w:hAnsi="Times New Roman"/>
        </w:rPr>
      </w:pPr>
    </w:p>
    <w:p w14:paraId="05FFF685">
      <w:pPr>
        <w:pStyle w:val="183"/>
        <w:rPr>
          <w:rStyle w:val="95"/>
          <w:rFonts w:ascii="Times New Roman" w:hAnsi="Times New Roman"/>
        </w:rPr>
      </w:pPr>
    </w:p>
    <w:p w14:paraId="12A9B0C1">
      <w:pPr>
        <w:pStyle w:val="183"/>
        <w:rPr>
          <w:rStyle w:val="95"/>
          <w:rFonts w:ascii="Times New Roman" w:hAnsi="Times New Roman"/>
        </w:rPr>
      </w:pPr>
    </w:p>
    <w:p w14:paraId="71D1F2AF">
      <w:pPr>
        <w:pStyle w:val="183"/>
        <w:rPr>
          <w:rStyle w:val="95"/>
          <w:rFonts w:ascii="Times New Roman" w:hAnsi="Times New Roman"/>
        </w:rPr>
      </w:pPr>
    </w:p>
    <w:p w14:paraId="7F5EA6EB">
      <w:pPr>
        <w:pStyle w:val="183"/>
        <w:rPr>
          <w:rStyle w:val="95"/>
          <w:rFonts w:ascii="Times New Roman" w:hAnsi="Times New Roman"/>
        </w:rPr>
      </w:pPr>
    </w:p>
    <w:p w14:paraId="70A9D465">
      <w:pPr>
        <w:pStyle w:val="183"/>
        <w:rPr>
          <w:rStyle w:val="95"/>
          <w:rFonts w:ascii="Times New Roman" w:hAnsi="Times New Roman"/>
        </w:rPr>
      </w:pPr>
    </w:p>
    <w:p w14:paraId="0A166BAA">
      <w:pPr>
        <w:pStyle w:val="183"/>
        <w:rPr>
          <w:rStyle w:val="95"/>
          <w:rFonts w:ascii="Times New Roman" w:hAnsi="Times New Roman"/>
        </w:rPr>
      </w:pPr>
    </w:p>
    <w:p w14:paraId="5D9672AC">
      <w:pPr>
        <w:pStyle w:val="183"/>
        <w:rPr>
          <w:rStyle w:val="95"/>
          <w:rFonts w:ascii="Times New Roman" w:hAnsi="Times New Roman"/>
        </w:rPr>
      </w:pPr>
    </w:p>
    <w:p w14:paraId="227F8F12">
      <w:pPr>
        <w:pStyle w:val="183"/>
        <w:rPr>
          <w:rStyle w:val="95"/>
          <w:rFonts w:ascii="Times New Roman" w:hAnsi="Times New Roman"/>
        </w:rPr>
      </w:pPr>
    </w:p>
    <w:p w14:paraId="7E31CDAB">
      <w:pPr>
        <w:pStyle w:val="183"/>
        <w:rPr>
          <w:rStyle w:val="95"/>
          <w:rFonts w:ascii="Times New Roman" w:hAnsi="Times New Roman"/>
        </w:rPr>
      </w:pPr>
    </w:p>
    <w:p w14:paraId="2B163D69">
      <w:pPr>
        <w:pStyle w:val="183"/>
        <w:rPr>
          <w:rStyle w:val="95"/>
          <w:rFonts w:ascii="Times New Roman" w:hAnsi="Times New Roman"/>
        </w:rPr>
      </w:pPr>
    </w:p>
    <w:p w14:paraId="6BD206C9">
      <w:pPr>
        <w:pStyle w:val="183"/>
        <w:rPr>
          <w:rStyle w:val="95"/>
          <w:rFonts w:ascii="Times New Roman" w:hAnsi="Times New Roman"/>
        </w:rPr>
      </w:pPr>
    </w:p>
    <w:p w14:paraId="2618B9E8">
      <w:pPr>
        <w:pStyle w:val="183"/>
        <w:rPr>
          <w:rStyle w:val="95"/>
          <w:rFonts w:ascii="Times New Roman" w:hAnsi="Times New Roman"/>
        </w:rPr>
      </w:pPr>
    </w:p>
    <w:p w14:paraId="17D38FA4">
      <w:pPr>
        <w:pStyle w:val="182"/>
        <w:ind w:firstLine="480"/>
        <w:rPr>
          <w:rStyle w:val="95"/>
          <w:rFonts w:eastAsia="宋体"/>
        </w:rPr>
      </w:pPr>
    </w:p>
    <w:p w14:paraId="37246CD9">
      <w:pPr>
        <w:spacing w:line="400" w:lineRule="exact"/>
        <w:rPr>
          <w:rStyle w:val="95"/>
        </w:rPr>
      </w:pPr>
      <w:r>
        <w:rPr>
          <w:rStyle w:val="95"/>
          <w:rFonts w:hint="eastAsia"/>
        </w:rPr>
        <w:t>投标人（盖章）：</w:t>
      </w:r>
    </w:p>
    <w:p w14:paraId="0D53CA59">
      <w:pPr>
        <w:spacing w:line="400" w:lineRule="exact"/>
        <w:rPr>
          <w:rStyle w:val="95"/>
        </w:rPr>
      </w:pPr>
      <w:r>
        <w:rPr>
          <w:rStyle w:val="95"/>
          <w:rFonts w:hint="eastAsia"/>
        </w:rPr>
        <w:t>法定代表人或授权代理人（签字）：</w:t>
      </w:r>
    </w:p>
    <w:p w14:paraId="54EBB4C5">
      <w:pPr>
        <w:jc w:val="center"/>
        <w:rPr>
          <w:rStyle w:val="95"/>
          <w:b/>
          <w:sz w:val="28"/>
          <w:szCs w:val="28"/>
        </w:rPr>
      </w:pPr>
      <w:r>
        <w:rPr>
          <w:rStyle w:val="95"/>
          <w:b/>
          <w:sz w:val="28"/>
          <w:szCs w:val="28"/>
        </w:rPr>
        <w:br w:type="page"/>
      </w:r>
    </w:p>
    <w:p w14:paraId="2BC3637C">
      <w:pPr>
        <w:jc w:val="center"/>
        <w:rPr>
          <w:rStyle w:val="95"/>
        </w:rPr>
      </w:pPr>
    </w:p>
    <w:p w14:paraId="7BB33110">
      <w:pPr>
        <w:rPr>
          <w:rStyle w:val="95"/>
        </w:rPr>
      </w:pPr>
    </w:p>
    <w:p w14:paraId="1CB69F77">
      <w:pPr>
        <w:rPr>
          <w:rStyle w:val="95"/>
        </w:rPr>
      </w:pPr>
    </w:p>
    <w:p w14:paraId="03AEED0D">
      <w:pPr>
        <w:rPr>
          <w:rStyle w:val="95"/>
        </w:rPr>
      </w:pPr>
    </w:p>
    <w:p w14:paraId="09AFA4B8">
      <w:pPr>
        <w:rPr>
          <w:rStyle w:val="95"/>
        </w:rPr>
      </w:pPr>
    </w:p>
    <w:p w14:paraId="63472219">
      <w:pPr>
        <w:rPr>
          <w:rStyle w:val="95"/>
        </w:rPr>
      </w:pPr>
    </w:p>
    <w:p w14:paraId="3EB7030A">
      <w:pPr>
        <w:rPr>
          <w:rStyle w:val="95"/>
        </w:rPr>
      </w:pPr>
    </w:p>
    <w:p w14:paraId="1BFC1DC9">
      <w:pPr>
        <w:rPr>
          <w:rStyle w:val="95"/>
        </w:rPr>
      </w:pPr>
    </w:p>
    <w:p w14:paraId="53CE324D">
      <w:pPr>
        <w:pStyle w:val="182"/>
        <w:ind w:firstLine="480"/>
        <w:rPr>
          <w:rStyle w:val="95"/>
          <w:rFonts w:eastAsia="宋体"/>
        </w:rPr>
      </w:pPr>
    </w:p>
    <w:p w14:paraId="5E36A7D7">
      <w:pPr>
        <w:pStyle w:val="183"/>
        <w:rPr>
          <w:rStyle w:val="95"/>
          <w:rFonts w:ascii="Times New Roman" w:hAnsi="Times New Roman"/>
        </w:rPr>
      </w:pPr>
    </w:p>
    <w:p w14:paraId="56D56E99">
      <w:pPr>
        <w:pStyle w:val="183"/>
        <w:rPr>
          <w:rStyle w:val="95"/>
          <w:rFonts w:ascii="Times New Roman" w:hAnsi="Times New Roman"/>
        </w:rPr>
      </w:pPr>
    </w:p>
    <w:p w14:paraId="11026B20">
      <w:pPr>
        <w:pStyle w:val="183"/>
        <w:rPr>
          <w:rStyle w:val="95"/>
          <w:rFonts w:ascii="Times New Roman" w:hAnsi="Times New Roman"/>
        </w:rPr>
      </w:pPr>
    </w:p>
    <w:p w14:paraId="1F7E7E4C">
      <w:pPr>
        <w:pStyle w:val="183"/>
        <w:rPr>
          <w:rStyle w:val="95"/>
          <w:rFonts w:ascii="Times New Roman" w:hAnsi="Times New Roman"/>
        </w:rPr>
      </w:pPr>
    </w:p>
    <w:p w14:paraId="2EF1B8BB">
      <w:pPr>
        <w:pStyle w:val="183"/>
        <w:rPr>
          <w:rStyle w:val="95"/>
          <w:rFonts w:ascii="Times New Roman" w:hAnsi="Times New Roman"/>
        </w:rPr>
      </w:pPr>
    </w:p>
    <w:p w14:paraId="66E36CE3">
      <w:pPr>
        <w:pStyle w:val="183"/>
        <w:rPr>
          <w:rStyle w:val="95"/>
          <w:rFonts w:ascii="Times New Roman" w:hAnsi="Times New Roman"/>
        </w:rPr>
      </w:pPr>
    </w:p>
    <w:p w14:paraId="0B48D2D9">
      <w:pPr>
        <w:pStyle w:val="183"/>
        <w:rPr>
          <w:rStyle w:val="95"/>
          <w:rFonts w:ascii="Times New Roman" w:hAnsi="Times New Roman"/>
        </w:rPr>
      </w:pPr>
    </w:p>
    <w:p w14:paraId="2DF5A67D">
      <w:pPr>
        <w:pStyle w:val="183"/>
        <w:rPr>
          <w:rStyle w:val="95"/>
          <w:rFonts w:ascii="Times New Roman" w:hAnsi="Times New Roman"/>
        </w:rPr>
      </w:pPr>
    </w:p>
    <w:p w14:paraId="20CCD7D8">
      <w:pPr>
        <w:pStyle w:val="182"/>
        <w:ind w:firstLine="480"/>
        <w:rPr>
          <w:rStyle w:val="95"/>
          <w:rFonts w:eastAsia="宋体"/>
        </w:rPr>
      </w:pPr>
    </w:p>
    <w:p w14:paraId="680CACDB">
      <w:pPr>
        <w:pStyle w:val="182"/>
        <w:ind w:firstLine="480"/>
        <w:rPr>
          <w:rStyle w:val="95"/>
          <w:rFonts w:eastAsia="宋体"/>
        </w:rPr>
      </w:pPr>
    </w:p>
    <w:p w14:paraId="5167B08B">
      <w:pPr>
        <w:pStyle w:val="182"/>
        <w:ind w:firstLine="480"/>
        <w:rPr>
          <w:rStyle w:val="95"/>
          <w:rFonts w:eastAsia="宋体"/>
        </w:rPr>
      </w:pPr>
    </w:p>
    <w:p w14:paraId="18269101">
      <w:pPr>
        <w:pStyle w:val="182"/>
        <w:ind w:firstLine="480"/>
        <w:rPr>
          <w:rStyle w:val="95"/>
          <w:rFonts w:eastAsia="宋体"/>
        </w:rPr>
      </w:pPr>
    </w:p>
    <w:p w14:paraId="41E87A9D">
      <w:pPr>
        <w:spacing w:line="360" w:lineRule="auto"/>
        <w:jc w:val="center"/>
        <w:rPr>
          <w:rStyle w:val="95"/>
          <w:b/>
          <w:sz w:val="28"/>
          <w:szCs w:val="28"/>
        </w:rPr>
      </w:pPr>
      <w:r>
        <w:rPr>
          <w:rStyle w:val="95"/>
          <w:rFonts w:hint="eastAsia"/>
          <w:b/>
          <w:sz w:val="36"/>
          <w:szCs w:val="36"/>
        </w:rPr>
        <w:t>第四节</w:t>
      </w:r>
      <w:r>
        <w:rPr>
          <w:rStyle w:val="95"/>
          <w:b/>
          <w:sz w:val="36"/>
          <w:szCs w:val="36"/>
        </w:rPr>
        <w:t xml:space="preserve"> </w:t>
      </w:r>
      <w:r>
        <w:rPr>
          <w:rStyle w:val="95"/>
          <w:rFonts w:hint="eastAsia"/>
          <w:b/>
          <w:sz w:val="36"/>
          <w:szCs w:val="36"/>
        </w:rPr>
        <w:t>技术文件</w:t>
      </w:r>
      <w:r>
        <w:rPr>
          <w:rStyle w:val="95"/>
          <w:b/>
          <w:sz w:val="28"/>
          <w:szCs w:val="28"/>
        </w:rPr>
        <w:br w:type="page"/>
      </w:r>
    </w:p>
    <w:p w14:paraId="28D90827">
      <w:pPr>
        <w:spacing w:line="360" w:lineRule="auto"/>
        <w:jc w:val="center"/>
        <w:rPr>
          <w:rStyle w:val="95"/>
          <w:b/>
          <w:sz w:val="28"/>
          <w:szCs w:val="28"/>
        </w:rPr>
      </w:pPr>
    </w:p>
    <w:p w14:paraId="0F1A5ABF">
      <w:pPr>
        <w:pStyle w:val="85"/>
        <w:rPr>
          <w:rStyle w:val="95"/>
          <w:rFonts w:ascii="Times New Roman" w:hAnsi="Times New Roman"/>
        </w:rPr>
      </w:pPr>
    </w:p>
    <w:p w14:paraId="441C837C">
      <w:pPr>
        <w:spacing w:line="360" w:lineRule="auto"/>
        <w:jc w:val="center"/>
        <w:rPr>
          <w:rStyle w:val="95"/>
          <w:b/>
          <w:kern w:val="0"/>
          <w:sz w:val="28"/>
          <w:szCs w:val="28"/>
        </w:rPr>
      </w:pPr>
    </w:p>
    <w:p w14:paraId="0EEA5B7D">
      <w:pPr>
        <w:spacing w:line="360" w:lineRule="auto"/>
        <w:jc w:val="center"/>
        <w:rPr>
          <w:rStyle w:val="95"/>
          <w:b/>
          <w:kern w:val="0"/>
          <w:sz w:val="28"/>
          <w:szCs w:val="28"/>
        </w:rPr>
      </w:pPr>
      <w:r>
        <w:rPr>
          <w:rStyle w:val="95"/>
          <w:rFonts w:hint="eastAsia"/>
          <w:b/>
          <w:kern w:val="0"/>
          <w:sz w:val="28"/>
          <w:szCs w:val="28"/>
        </w:rPr>
        <w:t>一、承包人建议书</w:t>
      </w:r>
    </w:p>
    <w:p w14:paraId="3366D6DB">
      <w:pPr>
        <w:spacing w:line="360" w:lineRule="auto"/>
        <w:jc w:val="center"/>
        <w:rPr>
          <w:rStyle w:val="95"/>
          <w:b/>
          <w:kern w:val="0"/>
          <w:sz w:val="28"/>
          <w:szCs w:val="28"/>
        </w:rPr>
      </w:pPr>
    </w:p>
    <w:p w14:paraId="3266C5B9">
      <w:pPr>
        <w:spacing w:line="360" w:lineRule="auto"/>
        <w:ind w:firstLine="422" w:firstLineChars="200"/>
        <w:rPr>
          <w:rStyle w:val="95"/>
          <w:b/>
        </w:rPr>
      </w:pPr>
      <w:r>
        <w:rPr>
          <w:rStyle w:val="95"/>
          <w:rFonts w:hint="eastAsia"/>
          <w:b/>
        </w:rPr>
        <w:t>（一）工程详细说明</w:t>
      </w:r>
    </w:p>
    <w:p w14:paraId="16FC076C">
      <w:pPr>
        <w:spacing w:line="360" w:lineRule="auto"/>
        <w:ind w:firstLine="422" w:firstLineChars="200"/>
        <w:rPr>
          <w:rStyle w:val="95"/>
          <w:b/>
        </w:rPr>
      </w:pPr>
      <w:r>
        <w:rPr>
          <w:rStyle w:val="95"/>
          <w:rFonts w:hint="eastAsia"/>
          <w:b/>
        </w:rPr>
        <w:t>（二）设备方案</w:t>
      </w:r>
    </w:p>
    <w:p w14:paraId="63B0F324">
      <w:pPr>
        <w:spacing w:line="360" w:lineRule="auto"/>
        <w:ind w:firstLine="420" w:firstLineChars="200"/>
        <w:rPr>
          <w:rStyle w:val="95"/>
        </w:rPr>
      </w:pPr>
      <w:r>
        <w:rPr>
          <w:rStyle w:val="95"/>
        </w:rPr>
        <w:t>1</w:t>
      </w:r>
      <w:r>
        <w:rPr>
          <w:rStyle w:val="95"/>
          <w:rFonts w:hint="eastAsia"/>
        </w:rPr>
        <w:t>、生产设备；</w:t>
      </w:r>
    </w:p>
    <w:p w14:paraId="45F8D062">
      <w:pPr>
        <w:spacing w:line="360" w:lineRule="auto"/>
        <w:ind w:firstLine="420" w:firstLineChars="200"/>
        <w:rPr>
          <w:rStyle w:val="95"/>
        </w:rPr>
      </w:pPr>
      <w:r>
        <w:rPr>
          <w:rStyle w:val="95"/>
        </w:rPr>
        <w:t>2</w:t>
      </w:r>
      <w:r>
        <w:rPr>
          <w:rStyle w:val="95"/>
          <w:rFonts w:hint="eastAsia"/>
        </w:rPr>
        <w:t>、必备的备品备件；</w:t>
      </w:r>
    </w:p>
    <w:p w14:paraId="6AD69127">
      <w:pPr>
        <w:spacing w:line="360" w:lineRule="auto"/>
        <w:ind w:firstLine="420" w:firstLineChars="200"/>
        <w:rPr>
          <w:rStyle w:val="95"/>
        </w:rPr>
      </w:pPr>
      <w:r>
        <w:rPr>
          <w:rStyle w:val="95"/>
        </w:rPr>
        <w:t>3</w:t>
      </w:r>
      <w:r>
        <w:rPr>
          <w:rStyle w:val="95"/>
          <w:rFonts w:hint="eastAsia"/>
        </w:rPr>
        <w:t>、备选的备品备件。</w:t>
      </w:r>
    </w:p>
    <w:p w14:paraId="64E22D88">
      <w:pPr>
        <w:spacing w:line="360" w:lineRule="auto"/>
        <w:ind w:firstLine="422" w:firstLineChars="200"/>
        <w:rPr>
          <w:rStyle w:val="95"/>
          <w:b/>
        </w:rPr>
      </w:pPr>
      <w:r>
        <w:rPr>
          <w:rStyle w:val="95"/>
          <w:rFonts w:hint="eastAsia"/>
          <w:b/>
        </w:rPr>
        <w:t>（三）对发包人要求错误的说明</w:t>
      </w:r>
    </w:p>
    <w:p w14:paraId="79F3B652">
      <w:pPr>
        <w:spacing w:line="360" w:lineRule="auto"/>
        <w:ind w:firstLine="422" w:firstLineChars="200"/>
        <w:rPr>
          <w:rStyle w:val="95"/>
          <w:b/>
          <w:kern w:val="0"/>
          <w:sz w:val="28"/>
          <w:szCs w:val="28"/>
        </w:rPr>
      </w:pPr>
      <w:r>
        <w:rPr>
          <w:rStyle w:val="95"/>
          <w:rFonts w:hint="eastAsia"/>
          <w:b/>
        </w:rPr>
        <w:t>（四）其他</w:t>
      </w:r>
    </w:p>
    <w:p w14:paraId="598C418A">
      <w:pPr>
        <w:spacing w:line="360" w:lineRule="auto"/>
        <w:jc w:val="center"/>
        <w:rPr>
          <w:rStyle w:val="95"/>
          <w:b/>
          <w:kern w:val="0"/>
          <w:sz w:val="28"/>
          <w:szCs w:val="28"/>
        </w:rPr>
      </w:pPr>
    </w:p>
    <w:p w14:paraId="4AE46A7B">
      <w:pPr>
        <w:spacing w:line="360" w:lineRule="auto"/>
        <w:jc w:val="center"/>
        <w:rPr>
          <w:rStyle w:val="95"/>
          <w:b/>
          <w:kern w:val="0"/>
          <w:sz w:val="28"/>
          <w:szCs w:val="28"/>
        </w:rPr>
      </w:pPr>
    </w:p>
    <w:p w14:paraId="026B3486">
      <w:pPr>
        <w:spacing w:line="360" w:lineRule="auto"/>
        <w:jc w:val="center"/>
        <w:rPr>
          <w:rStyle w:val="95"/>
          <w:b/>
          <w:kern w:val="0"/>
          <w:sz w:val="28"/>
          <w:szCs w:val="28"/>
        </w:rPr>
      </w:pPr>
    </w:p>
    <w:p w14:paraId="02039F20">
      <w:pPr>
        <w:spacing w:line="360" w:lineRule="auto"/>
        <w:jc w:val="center"/>
        <w:rPr>
          <w:rStyle w:val="95"/>
          <w:b/>
          <w:kern w:val="0"/>
          <w:sz w:val="28"/>
          <w:szCs w:val="28"/>
        </w:rPr>
      </w:pPr>
    </w:p>
    <w:p w14:paraId="1721672B">
      <w:pPr>
        <w:spacing w:line="360" w:lineRule="auto"/>
        <w:jc w:val="center"/>
        <w:rPr>
          <w:rStyle w:val="95"/>
          <w:b/>
          <w:kern w:val="0"/>
          <w:sz w:val="28"/>
          <w:szCs w:val="28"/>
        </w:rPr>
      </w:pPr>
    </w:p>
    <w:p w14:paraId="18D3896A">
      <w:pPr>
        <w:spacing w:line="360" w:lineRule="auto"/>
        <w:jc w:val="center"/>
        <w:rPr>
          <w:rStyle w:val="95"/>
          <w:b/>
          <w:kern w:val="0"/>
          <w:sz w:val="28"/>
          <w:szCs w:val="28"/>
        </w:rPr>
      </w:pPr>
    </w:p>
    <w:p w14:paraId="05EF10CC">
      <w:pPr>
        <w:spacing w:line="360" w:lineRule="auto"/>
        <w:jc w:val="center"/>
        <w:rPr>
          <w:rStyle w:val="95"/>
          <w:b/>
          <w:kern w:val="0"/>
          <w:sz w:val="28"/>
          <w:szCs w:val="28"/>
        </w:rPr>
      </w:pPr>
    </w:p>
    <w:p w14:paraId="3CC57D77">
      <w:pPr>
        <w:spacing w:line="360" w:lineRule="auto"/>
        <w:jc w:val="center"/>
        <w:rPr>
          <w:rStyle w:val="95"/>
          <w:b/>
          <w:kern w:val="0"/>
          <w:sz w:val="28"/>
          <w:szCs w:val="28"/>
        </w:rPr>
      </w:pPr>
    </w:p>
    <w:p w14:paraId="2ED6622A">
      <w:pPr>
        <w:spacing w:line="360" w:lineRule="auto"/>
        <w:jc w:val="center"/>
        <w:rPr>
          <w:rStyle w:val="95"/>
          <w:b/>
          <w:kern w:val="0"/>
          <w:sz w:val="28"/>
          <w:szCs w:val="28"/>
        </w:rPr>
      </w:pPr>
    </w:p>
    <w:p w14:paraId="1F239311">
      <w:pPr>
        <w:spacing w:line="360" w:lineRule="auto"/>
        <w:jc w:val="center"/>
        <w:rPr>
          <w:rStyle w:val="95"/>
          <w:b/>
          <w:kern w:val="0"/>
          <w:sz w:val="28"/>
          <w:szCs w:val="28"/>
        </w:rPr>
      </w:pPr>
    </w:p>
    <w:p w14:paraId="5E4F0C89">
      <w:pPr>
        <w:spacing w:line="360" w:lineRule="auto"/>
        <w:jc w:val="center"/>
        <w:rPr>
          <w:rStyle w:val="95"/>
          <w:b/>
          <w:kern w:val="0"/>
          <w:sz w:val="28"/>
          <w:szCs w:val="28"/>
        </w:rPr>
      </w:pPr>
    </w:p>
    <w:p w14:paraId="4D5305EC">
      <w:pPr>
        <w:spacing w:line="360" w:lineRule="auto"/>
        <w:jc w:val="center"/>
        <w:rPr>
          <w:rStyle w:val="95"/>
          <w:b/>
          <w:kern w:val="0"/>
          <w:sz w:val="28"/>
          <w:szCs w:val="28"/>
        </w:rPr>
      </w:pPr>
    </w:p>
    <w:p w14:paraId="30CBC489">
      <w:pPr>
        <w:spacing w:line="360" w:lineRule="auto"/>
        <w:jc w:val="center"/>
        <w:rPr>
          <w:rStyle w:val="95"/>
          <w:b/>
          <w:kern w:val="0"/>
          <w:sz w:val="28"/>
          <w:szCs w:val="28"/>
        </w:rPr>
      </w:pPr>
    </w:p>
    <w:p w14:paraId="2B1B3E58">
      <w:pPr>
        <w:spacing w:line="360" w:lineRule="auto"/>
        <w:jc w:val="center"/>
        <w:rPr>
          <w:rStyle w:val="95"/>
          <w:b/>
          <w:kern w:val="0"/>
          <w:sz w:val="28"/>
          <w:szCs w:val="28"/>
        </w:rPr>
      </w:pPr>
    </w:p>
    <w:p w14:paraId="57A2D1BC">
      <w:pPr>
        <w:spacing w:line="360" w:lineRule="auto"/>
        <w:jc w:val="center"/>
        <w:rPr>
          <w:rStyle w:val="95"/>
          <w:b/>
          <w:kern w:val="0"/>
          <w:sz w:val="28"/>
          <w:szCs w:val="28"/>
        </w:rPr>
      </w:pPr>
    </w:p>
    <w:p w14:paraId="43827ECB">
      <w:pPr>
        <w:spacing w:line="360" w:lineRule="auto"/>
        <w:jc w:val="center"/>
        <w:rPr>
          <w:rStyle w:val="95"/>
          <w:b/>
          <w:kern w:val="0"/>
          <w:sz w:val="28"/>
          <w:szCs w:val="28"/>
        </w:rPr>
      </w:pPr>
      <w:r>
        <w:rPr>
          <w:rStyle w:val="95"/>
          <w:rFonts w:hint="eastAsia"/>
          <w:b/>
          <w:kern w:val="0"/>
          <w:sz w:val="28"/>
          <w:szCs w:val="28"/>
        </w:rPr>
        <w:t xml:space="preserve">二、设计 </w:t>
      </w:r>
    </w:p>
    <w:p w14:paraId="7135DC2D">
      <w:pPr>
        <w:spacing w:line="360" w:lineRule="auto"/>
        <w:ind w:firstLine="514" w:firstLineChars="245"/>
        <w:rPr>
          <w:rStyle w:val="95"/>
          <w:szCs w:val="21"/>
        </w:rPr>
      </w:pPr>
    </w:p>
    <w:p w14:paraId="4B24D91D">
      <w:pPr>
        <w:spacing w:line="360" w:lineRule="auto"/>
        <w:ind w:firstLine="514" w:firstLineChars="245"/>
        <w:rPr>
          <w:rStyle w:val="95"/>
          <w:szCs w:val="21"/>
        </w:rPr>
      </w:pPr>
      <w:r>
        <w:rPr>
          <w:rStyle w:val="95"/>
          <w:rFonts w:hint="eastAsia"/>
          <w:szCs w:val="21"/>
        </w:rPr>
        <w:t>设计方案应包括但不限于以下内容：</w:t>
      </w:r>
    </w:p>
    <w:p w14:paraId="23A6EA03">
      <w:pPr>
        <w:numPr>
          <w:ilvl w:val="0"/>
          <w:numId w:val="7"/>
        </w:numPr>
        <w:spacing w:line="360" w:lineRule="auto"/>
        <w:ind w:firstLine="514" w:firstLineChars="245"/>
        <w:rPr>
          <w:rStyle w:val="95"/>
          <w:szCs w:val="21"/>
        </w:rPr>
      </w:pPr>
      <w:r>
        <w:rPr>
          <w:rStyle w:val="95"/>
          <w:rFonts w:hint="eastAsia"/>
          <w:szCs w:val="21"/>
        </w:rPr>
        <w:t>对招标项目的理解和总体设计思路；</w:t>
      </w:r>
    </w:p>
    <w:p w14:paraId="55C830E1">
      <w:pPr>
        <w:pStyle w:val="85"/>
        <w:rPr>
          <w:rStyle w:val="95"/>
          <w:rFonts w:ascii="Times New Roman" w:hAnsi="Times New Roman"/>
          <w:sz w:val="21"/>
          <w:szCs w:val="21"/>
        </w:rPr>
      </w:pPr>
      <w:r>
        <w:rPr>
          <w:rStyle w:val="95"/>
          <w:rFonts w:ascii="Times New Roman" w:hAnsi="Times New Roman"/>
          <w:sz w:val="21"/>
          <w:szCs w:val="21"/>
        </w:rPr>
        <w:t xml:space="preserve">     2</w:t>
      </w:r>
      <w:r>
        <w:rPr>
          <w:rStyle w:val="95"/>
          <w:rFonts w:hint="eastAsia" w:ascii="Times New Roman" w:hAnsi="Times New Roman"/>
          <w:sz w:val="21"/>
          <w:szCs w:val="21"/>
        </w:rPr>
        <w:t>、施工图设计</w:t>
      </w:r>
      <w:r>
        <w:rPr>
          <w:rStyle w:val="95"/>
          <w:rFonts w:hint="eastAsia" w:ascii="Times New Roman" w:hAnsi="Times New Roman"/>
          <w:color w:val="auto"/>
          <w:sz w:val="21"/>
          <w:szCs w:val="21"/>
        </w:rPr>
        <w:t>。</w:t>
      </w:r>
    </w:p>
    <w:p w14:paraId="11C10ED6">
      <w:pPr>
        <w:spacing w:line="360" w:lineRule="auto"/>
        <w:ind w:firstLine="514" w:firstLineChars="245"/>
        <w:rPr>
          <w:rStyle w:val="95"/>
          <w:szCs w:val="21"/>
        </w:rPr>
      </w:pPr>
    </w:p>
    <w:p w14:paraId="6A4C83EB">
      <w:pPr>
        <w:spacing w:line="360" w:lineRule="auto"/>
        <w:ind w:firstLine="514" w:firstLineChars="245"/>
        <w:jc w:val="center"/>
        <w:rPr>
          <w:rStyle w:val="95"/>
          <w:szCs w:val="21"/>
        </w:rPr>
      </w:pPr>
      <w:r>
        <w:rPr>
          <w:rStyle w:val="95"/>
          <w:szCs w:val="21"/>
        </w:rPr>
        <w:br w:type="page"/>
      </w:r>
    </w:p>
    <w:p w14:paraId="05D581FE">
      <w:pPr>
        <w:spacing w:line="360" w:lineRule="auto"/>
        <w:ind w:firstLine="514" w:firstLineChars="245"/>
        <w:jc w:val="center"/>
        <w:rPr>
          <w:rStyle w:val="95"/>
          <w:szCs w:val="21"/>
        </w:rPr>
      </w:pPr>
    </w:p>
    <w:p w14:paraId="2F88BF08">
      <w:pPr>
        <w:spacing w:line="360" w:lineRule="auto"/>
        <w:ind w:firstLine="514" w:firstLineChars="245"/>
        <w:jc w:val="center"/>
        <w:rPr>
          <w:rStyle w:val="95"/>
          <w:szCs w:val="21"/>
        </w:rPr>
      </w:pPr>
    </w:p>
    <w:p w14:paraId="73152D21">
      <w:pPr>
        <w:spacing w:line="360" w:lineRule="auto"/>
        <w:ind w:firstLine="689" w:firstLineChars="245"/>
        <w:jc w:val="center"/>
        <w:rPr>
          <w:rStyle w:val="95"/>
          <w:b/>
          <w:kern w:val="0"/>
          <w:sz w:val="28"/>
          <w:szCs w:val="28"/>
        </w:rPr>
      </w:pPr>
    </w:p>
    <w:p w14:paraId="09B89BB9">
      <w:pPr>
        <w:spacing w:line="360" w:lineRule="auto"/>
        <w:ind w:firstLine="689" w:firstLineChars="245"/>
        <w:jc w:val="center"/>
        <w:rPr>
          <w:rStyle w:val="95"/>
          <w:b/>
          <w:kern w:val="0"/>
          <w:sz w:val="28"/>
          <w:szCs w:val="28"/>
        </w:rPr>
      </w:pPr>
      <w:r>
        <w:rPr>
          <w:rStyle w:val="95"/>
          <w:rFonts w:hint="eastAsia"/>
          <w:b/>
          <w:kern w:val="0"/>
          <w:sz w:val="28"/>
          <w:szCs w:val="28"/>
        </w:rPr>
        <w:t>三、工程总承包组织实施方案</w:t>
      </w:r>
      <w:r>
        <w:rPr>
          <w:rStyle w:val="95"/>
          <w:rFonts w:hint="eastAsia"/>
          <w:sz w:val="24"/>
        </w:rPr>
        <w:t>（含分包协议及实施方案）</w:t>
      </w:r>
    </w:p>
    <w:p w14:paraId="368BADFB">
      <w:pPr>
        <w:spacing w:line="360" w:lineRule="auto"/>
        <w:rPr>
          <w:rStyle w:val="95"/>
        </w:rPr>
      </w:pPr>
    </w:p>
    <w:p w14:paraId="0A428B29">
      <w:pPr>
        <w:spacing w:line="360" w:lineRule="auto"/>
        <w:ind w:firstLine="422" w:firstLineChars="200"/>
        <w:rPr>
          <w:rStyle w:val="95"/>
          <w:b/>
        </w:rPr>
      </w:pPr>
      <w:r>
        <w:rPr>
          <w:rStyle w:val="95"/>
          <w:rFonts w:hint="eastAsia"/>
          <w:b/>
        </w:rPr>
        <w:t>（一）、概述</w:t>
      </w:r>
    </w:p>
    <w:p w14:paraId="456EC84E">
      <w:pPr>
        <w:spacing w:line="360" w:lineRule="auto"/>
        <w:ind w:firstLine="420" w:firstLineChars="200"/>
        <w:rPr>
          <w:rStyle w:val="95"/>
        </w:rPr>
      </w:pPr>
      <w:r>
        <w:rPr>
          <w:rStyle w:val="95"/>
        </w:rPr>
        <w:t>1</w:t>
      </w:r>
      <w:r>
        <w:rPr>
          <w:rStyle w:val="95"/>
          <w:rFonts w:hint="eastAsia"/>
        </w:rPr>
        <w:t>、项目简要介绍</w:t>
      </w:r>
    </w:p>
    <w:p w14:paraId="498A40BB">
      <w:pPr>
        <w:spacing w:line="360" w:lineRule="auto"/>
        <w:ind w:firstLine="420" w:firstLineChars="200"/>
        <w:rPr>
          <w:rStyle w:val="95"/>
        </w:rPr>
      </w:pPr>
      <w:r>
        <w:rPr>
          <w:rStyle w:val="95"/>
        </w:rPr>
        <w:t>2</w:t>
      </w:r>
      <w:r>
        <w:rPr>
          <w:rStyle w:val="95"/>
          <w:rFonts w:hint="eastAsia"/>
        </w:rPr>
        <w:t>、项目范围</w:t>
      </w:r>
    </w:p>
    <w:p w14:paraId="25BCDBC7">
      <w:pPr>
        <w:spacing w:line="360" w:lineRule="auto"/>
        <w:ind w:firstLine="420" w:firstLineChars="200"/>
        <w:rPr>
          <w:rStyle w:val="95"/>
        </w:rPr>
      </w:pPr>
      <w:r>
        <w:rPr>
          <w:rStyle w:val="95"/>
        </w:rPr>
        <w:t>3</w:t>
      </w:r>
      <w:r>
        <w:rPr>
          <w:rStyle w:val="95"/>
          <w:rFonts w:hint="eastAsia"/>
        </w:rPr>
        <w:t>、项目特点</w:t>
      </w:r>
    </w:p>
    <w:p w14:paraId="1ACAF7F2">
      <w:pPr>
        <w:spacing w:line="360" w:lineRule="auto"/>
        <w:ind w:firstLine="422" w:firstLineChars="200"/>
        <w:rPr>
          <w:rStyle w:val="95"/>
          <w:b/>
        </w:rPr>
      </w:pPr>
      <w:r>
        <w:rPr>
          <w:rStyle w:val="95"/>
          <w:rFonts w:hint="eastAsia"/>
          <w:b/>
        </w:rPr>
        <w:t>（二）、总体实施方案</w:t>
      </w:r>
    </w:p>
    <w:p w14:paraId="67E06B97">
      <w:pPr>
        <w:spacing w:line="360" w:lineRule="auto"/>
        <w:ind w:firstLine="420" w:firstLineChars="200"/>
        <w:rPr>
          <w:rStyle w:val="95"/>
        </w:rPr>
      </w:pPr>
      <w:r>
        <w:rPr>
          <w:rStyle w:val="95"/>
        </w:rPr>
        <w:t>1</w:t>
      </w:r>
      <w:r>
        <w:rPr>
          <w:rStyle w:val="95"/>
          <w:rFonts w:hint="eastAsia"/>
        </w:rPr>
        <w:t>、项目目标（质量、工期、造价）</w:t>
      </w:r>
    </w:p>
    <w:p w14:paraId="4EB991D6">
      <w:pPr>
        <w:spacing w:line="360" w:lineRule="auto"/>
        <w:ind w:firstLine="420" w:firstLineChars="200"/>
        <w:rPr>
          <w:rStyle w:val="95"/>
        </w:rPr>
      </w:pPr>
      <w:r>
        <w:rPr>
          <w:rStyle w:val="95"/>
        </w:rPr>
        <w:t>2</w:t>
      </w:r>
      <w:r>
        <w:rPr>
          <w:rStyle w:val="95"/>
          <w:rFonts w:hint="eastAsia"/>
        </w:rPr>
        <w:t>、项目实施组织形式</w:t>
      </w:r>
    </w:p>
    <w:p w14:paraId="098197A8">
      <w:pPr>
        <w:spacing w:line="360" w:lineRule="auto"/>
        <w:ind w:firstLine="420" w:firstLineChars="200"/>
        <w:rPr>
          <w:rStyle w:val="95"/>
        </w:rPr>
      </w:pPr>
      <w:r>
        <w:rPr>
          <w:rStyle w:val="95"/>
        </w:rPr>
        <w:t>3</w:t>
      </w:r>
      <w:r>
        <w:rPr>
          <w:rStyle w:val="95"/>
          <w:rFonts w:hint="eastAsia"/>
        </w:rPr>
        <w:t>、项目阶段划分</w:t>
      </w:r>
    </w:p>
    <w:p w14:paraId="3239E025">
      <w:pPr>
        <w:spacing w:line="360" w:lineRule="auto"/>
        <w:ind w:firstLine="420" w:firstLineChars="200"/>
        <w:rPr>
          <w:rStyle w:val="95"/>
        </w:rPr>
      </w:pPr>
      <w:r>
        <w:rPr>
          <w:rStyle w:val="95"/>
        </w:rPr>
        <w:t>4</w:t>
      </w:r>
      <w:r>
        <w:rPr>
          <w:rStyle w:val="95"/>
          <w:rFonts w:hint="eastAsia"/>
        </w:rPr>
        <w:t>、项目工作分解结构</w:t>
      </w:r>
    </w:p>
    <w:p w14:paraId="091427B3">
      <w:pPr>
        <w:spacing w:line="360" w:lineRule="auto"/>
        <w:ind w:firstLine="420" w:firstLineChars="200"/>
        <w:rPr>
          <w:rStyle w:val="95"/>
        </w:rPr>
      </w:pPr>
      <w:r>
        <w:rPr>
          <w:rStyle w:val="95"/>
        </w:rPr>
        <w:t>5</w:t>
      </w:r>
      <w:r>
        <w:rPr>
          <w:rStyle w:val="95"/>
          <w:rFonts w:hint="eastAsia"/>
        </w:rPr>
        <w:t>、对项目各阶段工作及文件的要求</w:t>
      </w:r>
    </w:p>
    <w:p w14:paraId="7C0D3ECC">
      <w:pPr>
        <w:spacing w:line="360" w:lineRule="auto"/>
        <w:ind w:firstLine="420" w:firstLineChars="200"/>
        <w:rPr>
          <w:rStyle w:val="95"/>
        </w:rPr>
      </w:pPr>
      <w:r>
        <w:rPr>
          <w:rStyle w:val="95"/>
        </w:rPr>
        <w:t>6</w:t>
      </w:r>
      <w:r>
        <w:rPr>
          <w:rStyle w:val="95"/>
          <w:rFonts w:hint="eastAsia"/>
        </w:rPr>
        <w:t>、项目分包计划</w:t>
      </w:r>
    </w:p>
    <w:p w14:paraId="667AD2CD">
      <w:pPr>
        <w:spacing w:line="360" w:lineRule="auto"/>
        <w:ind w:firstLine="420" w:firstLineChars="200"/>
        <w:rPr>
          <w:rStyle w:val="95"/>
        </w:rPr>
      </w:pPr>
      <w:r>
        <w:rPr>
          <w:rStyle w:val="95"/>
        </w:rPr>
        <w:t>7</w:t>
      </w:r>
      <w:r>
        <w:rPr>
          <w:rStyle w:val="95"/>
          <w:rFonts w:hint="eastAsia"/>
        </w:rPr>
        <w:t>、项目沟通与协调程序</w:t>
      </w:r>
    </w:p>
    <w:p w14:paraId="12A12F1F">
      <w:pPr>
        <w:spacing w:line="360" w:lineRule="auto"/>
        <w:ind w:firstLine="422" w:firstLineChars="200"/>
        <w:rPr>
          <w:rStyle w:val="95"/>
          <w:b/>
        </w:rPr>
      </w:pPr>
      <w:r>
        <w:rPr>
          <w:rStyle w:val="95"/>
          <w:rFonts w:hint="eastAsia"/>
          <w:b/>
        </w:rPr>
        <w:t>（三）、项目实施要点</w:t>
      </w:r>
    </w:p>
    <w:p w14:paraId="07CF9EA6">
      <w:pPr>
        <w:spacing w:line="360" w:lineRule="auto"/>
        <w:ind w:firstLine="420" w:firstLineChars="200"/>
        <w:rPr>
          <w:rStyle w:val="95"/>
        </w:rPr>
      </w:pPr>
      <w:r>
        <w:rPr>
          <w:rStyle w:val="95"/>
        </w:rPr>
        <w:t>1</w:t>
      </w:r>
      <w:r>
        <w:rPr>
          <w:rStyle w:val="95"/>
          <w:rFonts w:hint="eastAsia"/>
        </w:rPr>
        <w:t>、设计实施要点</w:t>
      </w:r>
    </w:p>
    <w:p w14:paraId="3DCCD5B1">
      <w:pPr>
        <w:spacing w:line="360" w:lineRule="auto"/>
        <w:ind w:firstLine="420" w:firstLineChars="200"/>
        <w:rPr>
          <w:rStyle w:val="95"/>
        </w:rPr>
      </w:pPr>
      <w:r>
        <w:rPr>
          <w:rStyle w:val="95"/>
        </w:rPr>
        <w:t>2</w:t>
      </w:r>
      <w:r>
        <w:rPr>
          <w:rStyle w:val="95"/>
          <w:rFonts w:hint="eastAsia"/>
        </w:rPr>
        <w:t>、采购实施要点</w:t>
      </w:r>
    </w:p>
    <w:p w14:paraId="26B492F1">
      <w:pPr>
        <w:spacing w:line="360" w:lineRule="auto"/>
        <w:ind w:firstLine="420" w:firstLineChars="200"/>
        <w:rPr>
          <w:rStyle w:val="95"/>
        </w:rPr>
      </w:pPr>
      <w:r>
        <w:rPr>
          <w:rStyle w:val="95"/>
        </w:rPr>
        <w:t>3</w:t>
      </w:r>
      <w:r>
        <w:rPr>
          <w:rStyle w:val="95"/>
          <w:rFonts w:hint="eastAsia"/>
        </w:rPr>
        <w:t>、施工实施要点</w:t>
      </w:r>
    </w:p>
    <w:p w14:paraId="471E4554">
      <w:pPr>
        <w:spacing w:line="360" w:lineRule="auto"/>
        <w:ind w:firstLine="420" w:firstLineChars="200"/>
        <w:rPr>
          <w:rStyle w:val="95"/>
        </w:rPr>
      </w:pPr>
      <w:r>
        <w:rPr>
          <w:rStyle w:val="95"/>
        </w:rPr>
        <w:t>4</w:t>
      </w:r>
      <w:r>
        <w:rPr>
          <w:rStyle w:val="95"/>
          <w:rFonts w:hint="eastAsia"/>
        </w:rPr>
        <w:t>、试运行实施要点</w:t>
      </w:r>
    </w:p>
    <w:p w14:paraId="346FDE5F">
      <w:pPr>
        <w:spacing w:line="360" w:lineRule="auto"/>
        <w:ind w:firstLine="422" w:firstLineChars="200"/>
        <w:rPr>
          <w:rStyle w:val="95"/>
          <w:b/>
        </w:rPr>
      </w:pPr>
      <w:r>
        <w:rPr>
          <w:rStyle w:val="95"/>
          <w:rFonts w:hint="eastAsia"/>
          <w:b/>
        </w:rPr>
        <w:t>（四）、项目管理要点</w:t>
      </w:r>
    </w:p>
    <w:p w14:paraId="59E29F81">
      <w:pPr>
        <w:spacing w:line="360" w:lineRule="auto"/>
        <w:ind w:firstLine="420" w:firstLineChars="200"/>
        <w:rPr>
          <w:rStyle w:val="95"/>
        </w:rPr>
      </w:pPr>
    </w:p>
    <w:p w14:paraId="65A44F2B">
      <w:pPr>
        <w:spacing w:before="120" w:after="120" w:line="400" w:lineRule="exact"/>
        <w:jc w:val="center"/>
        <w:rPr>
          <w:rStyle w:val="95"/>
          <w:b/>
          <w:sz w:val="28"/>
          <w:szCs w:val="28"/>
        </w:rPr>
      </w:pPr>
      <w:r>
        <w:rPr>
          <w:rStyle w:val="95"/>
          <w:b/>
          <w:sz w:val="28"/>
          <w:szCs w:val="28"/>
        </w:rPr>
        <w:br w:type="page"/>
      </w:r>
    </w:p>
    <w:p w14:paraId="4B371A8D">
      <w:pPr>
        <w:spacing w:before="120" w:after="120" w:line="400" w:lineRule="exact"/>
        <w:jc w:val="center"/>
        <w:rPr>
          <w:rStyle w:val="95"/>
          <w:b/>
          <w:sz w:val="28"/>
          <w:szCs w:val="28"/>
        </w:rPr>
      </w:pPr>
    </w:p>
    <w:p w14:paraId="5CCE2AEB">
      <w:pPr>
        <w:pStyle w:val="85"/>
        <w:rPr>
          <w:rStyle w:val="95"/>
          <w:rFonts w:ascii="Times New Roman" w:hAnsi="Times New Roman"/>
        </w:rPr>
      </w:pPr>
    </w:p>
    <w:p w14:paraId="2A025505">
      <w:pPr>
        <w:pStyle w:val="85"/>
        <w:rPr>
          <w:rStyle w:val="95"/>
          <w:rFonts w:ascii="Times New Roman" w:hAnsi="Times New Roman"/>
        </w:rPr>
      </w:pPr>
    </w:p>
    <w:p w14:paraId="54C5614E">
      <w:pPr>
        <w:spacing w:before="120" w:after="120" w:line="400" w:lineRule="exact"/>
        <w:jc w:val="center"/>
        <w:rPr>
          <w:rStyle w:val="95"/>
          <w:b/>
          <w:kern w:val="0"/>
          <w:sz w:val="28"/>
          <w:szCs w:val="28"/>
        </w:rPr>
      </w:pPr>
      <w:r>
        <w:rPr>
          <w:rStyle w:val="95"/>
          <w:rFonts w:hint="eastAsia"/>
          <w:b/>
          <w:kern w:val="0"/>
          <w:sz w:val="28"/>
          <w:szCs w:val="28"/>
        </w:rPr>
        <w:t>四、技术偏差表（本项目不允许偏离，所以不适用，空表即可）</w:t>
      </w:r>
    </w:p>
    <w:p w14:paraId="7C22B938">
      <w:pPr>
        <w:pStyle w:val="85"/>
        <w:rPr>
          <w:rStyle w:val="95"/>
          <w:rFonts w:ascii="Times New Roman" w:hAnsi="Times New Roman"/>
        </w:rPr>
      </w:pPr>
    </w:p>
    <w:p w14:paraId="262D4446">
      <w:pPr>
        <w:pStyle w:val="85"/>
        <w:rPr>
          <w:rStyle w:val="95"/>
          <w:rFonts w:ascii="Times New Roman" w:hAnsi="Times New Roman"/>
        </w:rPr>
      </w:pPr>
    </w:p>
    <w:tbl>
      <w:tblPr>
        <w:tblStyle w:val="45"/>
        <w:tblW w:w="8959" w:type="dxa"/>
        <w:tblInd w:w="3" w:type="dxa"/>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Layout w:type="fixed"/>
        <w:tblCellMar>
          <w:top w:w="0" w:type="dxa"/>
          <w:left w:w="0" w:type="dxa"/>
          <w:bottom w:w="0" w:type="dxa"/>
          <w:right w:w="0" w:type="dxa"/>
        </w:tblCellMar>
      </w:tblPr>
      <w:tblGrid>
        <w:gridCol w:w="1791"/>
        <w:gridCol w:w="1792"/>
        <w:gridCol w:w="1792"/>
        <w:gridCol w:w="1792"/>
        <w:gridCol w:w="1792"/>
      </w:tblGrid>
      <w:tr w14:paraId="11D62DC2">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0" w:type="dxa"/>
            <w:bottom w:w="0" w:type="dxa"/>
            <w:right w:w="0" w:type="dxa"/>
          </w:tblCellMar>
        </w:tblPrEx>
        <w:trPr>
          <w:cantSplit/>
          <w:trHeight w:val="682" w:hRule="atLeast"/>
        </w:trPr>
        <w:tc>
          <w:tcPr>
            <w:tcW w:w="1791" w:type="dxa"/>
            <w:tcBorders>
              <w:top w:val="single" w:color="000000" w:sz="2" w:space="0"/>
            </w:tcBorders>
            <w:vAlign w:val="center"/>
          </w:tcPr>
          <w:p w14:paraId="03E44393">
            <w:pPr>
              <w:jc w:val="center"/>
              <w:rPr>
                <w:rStyle w:val="95"/>
              </w:rPr>
            </w:pPr>
            <w:r>
              <w:rPr>
                <w:rStyle w:val="95"/>
                <w:rFonts w:hint="eastAsia"/>
              </w:rPr>
              <w:t>偏离条款</w:t>
            </w:r>
          </w:p>
        </w:tc>
        <w:tc>
          <w:tcPr>
            <w:tcW w:w="1792" w:type="dxa"/>
            <w:tcBorders>
              <w:top w:val="single" w:color="000000" w:sz="2" w:space="0"/>
            </w:tcBorders>
            <w:vAlign w:val="center"/>
          </w:tcPr>
          <w:p w14:paraId="0E097E28">
            <w:pPr>
              <w:jc w:val="center"/>
              <w:rPr>
                <w:rStyle w:val="95"/>
              </w:rPr>
            </w:pPr>
            <w:r>
              <w:rPr>
                <w:rStyle w:val="95"/>
                <w:rFonts w:hint="eastAsia"/>
              </w:rPr>
              <w:t>招标要求</w:t>
            </w:r>
          </w:p>
        </w:tc>
        <w:tc>
          <w:tcPr>
            <w:tcW w:w="1792" w:type="dxa"/>
            <w:tcBorders>
              <w:top w:val="single" w:color="000000" w:sz="2" w:space="0"/>
            </w:tcBorders>
            <w:vAlign w:val="center"/>
          </w:tcPr>
          <w:p w14:paraId="3AE24C6E">
            <w:pPr>
              <w:jc w:val="center"/>
              <w:rPr>
                <w:rStyle w:val="95"/>
              </w:rPr>
            </w:pPr>
            <w:r>
              <w:rPr>
                <w:rStyle w:val="95"/>
                <w:rFonts w:hint="eastAsia"/>
              </w:rPr>
              <w:t>投标指标</w:t>
            </w:r>
          </w:p>
        </w:tc>
        <w:tc>
          <w:tcPr>
            <w:tcW w:w="1792" w:type="dxa"/>
            <w:tcBorders>
              <w:top w:val="single" w:color="000000" w:sz="2" w:space="0"/>
            </w:tcBorders>
            <w:vAlign w:val="center"/>
          </w:tcPr>
          <w:p w14:paraId="18EE89D8">
            <w:pPr>
              <w:jc w:val="center"/>
              <w:rPr>
                <w:rStyle w:val="95"/>
              </w:rPr>
            </w:pPr>
            <w:r>
              <w:rPr>
                <w:rStyle w:val="95"/>
                <w:rFonts w:hint="eastAsia"/>
              </w:rPr>
              <w:t>偏离</w:t>
            </w:r>
          </w:p>
        </w:tc>
        <w:tc>
          <w:tcPr>
            <w:tcW w:w="1792" w:type="dxa"/>
            <w:tcBorders>
              <w:top w:val="single" w:color="000000" w:sz="2" w:space="0"/>
            </w:tcBorders>
            <w:vAlign w:val="center"/>
          </w:tcPr>
          <w:p w14:paraId="7C73080D">
            <w:pPr>
              <w:jc w:val="center"/>
              <w:rPr>
                <w:rStyle w:val="95"/>
              </w:rPr>
            </w:pPr>
            <w:r>
              <w:rPr>
                <w:rStyle w:val="95"/>
                <w:rFonts w:hint="eastAsia"/>
              </w:rPr>
              <w:t>说明</w:t>
            </w:r>
          </w:p>
        </w:tc>
      </w:tr>
      <w:tr w14:paraId="56FED46C">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0" w:type="dxa"/>
            <w:bottom w:w="0" w:type="dxa"/>
            <w:right w:w="0" w:type="dxa"/>
          </w:tblCellMar>
        </w:tblPrEx>
        <w:trPr>
          <w:cantSplit/>
          <w:trHeight w:val="703" w:hRule="atLeast"/>
        </w:trPr>
        <w:tc>
          <w:tcPr>
            <w:tcW w:w="1791" w:type="dxa"/>
            <w:vAlign w:val="center"/>
          </w:tcPr>
          <w:p w14:paraId="34AFEAAF">
            <w:pPr>
              <w:jc w:val="center"/>
              <w:rPr>
                <w:rStyle w:val="95"/>
              </w:rPr>
            </w:pPr>
          </w:p>
        </w:tc>
        <w:tc>
          <w:tcPr>
            <w:tcW w:w="1792" w:type="dxa"/>
            <w:vAlign w:val="center"/>
          </w:tcPr>
          <w:p w14:paraId="775B80FF">
            <w:pPr>
              <w:jc w:val="center"/>
              <w:rPr>
                <w:rStyle w:val="95"/>
              </w:rPr>
            </w:pPr>
          </w:p>
        </w:tc>
        <w:tc>
          <w:tcPr>
            <w:tcW w:w="1792" w:type="dxa"/>
            <w:vAlign w:val="center"/>
          </w:tcPr>
          <w:p w14:paraId="425A57BB">
            <w:pPr>
              <w:jc w:val="center"/>
              <w:rPr>
                <w:rStyle w:val="95"/>
              </w:rPr>
            </w:pPr>
          </w:p>
        </w:tc>
        <w:tc>
          <w:tcPr>
            <w:tcW w:w="1792" w:type="dxa"/>
            <w:vAlign w:val="center"/>
          </w:tcPr>
          <w:p w14:paraId="0F77D14D">
            <w:pPr>
              <w:jc w:val="center"/>
              <w:rPr>
                <w:rStyle w:val="95"/>
              </w:rPr>
            </w:pPr>
          </w:p>
        </w:tc>
        <w:tc>
          <w:tcPr>
            <w:tcW w:w="1792" w:type="dxa"/>
            <w:vAlign w:val="center"/>
          </w:tcPr>
          <w:p w14:paraId="7976CD93">
            <w:pPr>
              <w:jc w:val="center"/>
              <w:rPr>
                <w:rStyle w:val="95"/>
              </w:rPr>
            </w:pPr>
          </w:p>
        </w:tc>
      </w:tr>
      <w:tr w14:paraId="17DE53C5">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0" w:type="dxa"/>
            <w:bottom w:w="0" w:type="dxa"/>
            <w:right w:w="0" w:type="dxa"/>
          </w:tblCellMar>
        </w:tblPrEx>
        <w:trPr>
          <w:cantSplit/>
          <w:trHeight w:val="703" w:hRule="atLeast"/>
        </w:trPr>
        <w:tc>
          <w:tcPr>
            <w:tcW w:w="1791" w:type="dxa"/>
            <w:vAlign w:val="center"/>
          </w:tcPr>
          <w:p w14:paraId="06A6D17C">
            <w:pPr>
              <w:jc w:val="center"/>
              <w:rPr>
                <w:rStyle w:val="95"/>
              </w:rPr>
            </w:pPr>
          </w:p>
        </w:tc>
        <w:tc>
          <w:tcPr>
            <w:tcW w:w="1792" w:type="dxa"/>
            <w:vAlign w:val="center"/>
          </w:tcPr>
          <w:p w14:paraId="3919EB11">
            <w:pPr>
              <w:jc w:val="center"/>
              <w:rPr>
                <w:rStyle w:val="95"/>
              </w:rPr>
            </w:pPr>
          </w:p>
        </w:tc>
        <w:tc>
          <w:tcPr>
            <w:tcW w:w="1792" w:type="dxa"/>
            <w:vAlign w:val="center"/>
          </w:tcPr>
          <w:p w14:paraId="6D4ED2F0">
            <w:pPr>
              <w:jc w:val="center"/>
              <w:rPr>
                <w:rStyle w:val="95"/>
              </w:rPr>
            </w:pPr>
          </w:p>
        </w:tc>
        <w:tc>
          <w:tcPr>
            <w:tcW w:w="1792" w:type="dxa"/>
            <w:vAlign w:val="center"/>
          </w:tcPr>
          <w:p w14:paraId="343240D4">
            <w:pPr>
              <w:jc w:val="center"/>
              <w:rPr>
                <w:rStyle w:val="95"/>
              </w:rPr>
            </w:pPr>
          </w:p>
        </w:tc>
        <w:tc>
          <w:tcPr>
            <w:tcW w:w="1792" w:type="dxa"/>
            <w:vAlign w:val="center"/>
          </w:tcPr>
          <w:p w14:paraId="77A9C7D9">
            <w:pPr>
              <w:jc w:val="center"/>
              <w:rPr>
                <w:rStyle w:val="95"/>
              </w:rPr>
            </w:pPr>
          </w:p>
        </w:tc>
      </w:tr>
      <w:tr w14:paraId="6FC76C7F">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0" w:type="dxa"/>
            <w:bottom w:w="0" w:type="dxa"/>
            <w:right w:w="0" w:type="dxa"/>
          </w:tblCellMar>
        </w:tblPrEx>
        <w:trPr>
          <w:cantSplit/>
          <w:trHeight w:val="703" w:hRule="atLeast"/>
        </w:trPr>
        <w:tc>
          <w:tcPr>
            <w:tcW w:w="1791" w:type="dxa"/>
            <w:vAlign w:val="center"/>
          </w:tcPr>
          <w:p w14:paraId="4AE14231">
            <w:pPr>
              <w:jc w:val="center"/>
              <w:rPr>
                <w:rStyle w:val="95"/>
              </w:rPr>
            </w:pPr>
          </w:p>
        </w:tc>
        <w:tc>
          <w:tcPr>
            <w:tcW w:w="1792" w:type="dxa"/>
            <w:vAlign w:val="center"/>
          </w:tcPr>
          <w:p w14:paraId="0B8D2D8C">
            <w:pPr>
              <w:jc w:val="center"/>
              <w:rPr>
                <w:rStyle w:val="95"/>
              </w:rPr>
            </w:pPr>
          </w:p>
        </w:tc>
        <w:tc>
          <w:tcPr>
            <w:tcW w:w="1792" w:type="dxa"/>
            <w:vAlign w:val="center"/>
          </w:tcPr>
          <w:p w14:paraId="6CC34704">
            <w:pPr>
              <w:jc w:val="center"/>
              <w:rPr>
                <w:rStyle w:val="95"/>
              </w:rPr>
            </w:pPr>
          </w:p>
        </w:tc>
        <w:tc>
          <w:tcPr>
            <w:tcW w:w="1792" w:type="dxa"/>
            <w:vAlign w:val="center"/>
          </w:tcPr>
          <w:p w14:paraId="0BD0863E">
            <w:pPr>
              <w:jc w:val="center"/>
              <w:rPr>
                <w:rStyle w:val="95"/>
              </w:rPr>
            </w:pPr>
          </w:p>
        </w:tc>
        <w:tc>
          <w:tcPr>
            <w:tcW w:w="1792" w:type="dxa"/>
            <w:vAlign w:val="center"/>
          </w:tcPr>
          <w:p w14:paraId="4C400B69">
            <w:pPr>
              <w:jc w:val="center"/>
              <w:rPr>
                <w:rStyle w:val="95"/>
              </w:rPr>
            </w:pPr>
          </w:p>
        </w:tc>
      </w:tr>
      <w:tr w14:paraId="345D6F3C">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0" w:type="dxa"/>
            <w:bottom w:w="0" w:type="dxa"/>
            <w:right w:w="0" w:type="dxa"/>
          </w:tblCellMar>
        </w:tblPrEx>
        <w:trPr>
          <w:cantSplit/>
          <w:trHeight w:val="703" w:hRule="atLeast"/>
        </w:trPr>
        <w:tc>
          <w:tcPr>
            <w:tcW w:w="1791" w:type="dxa"/>
            <w:vAlign w:val="center"/>
          </w:tcPr>
          <w:p w14:paraId="528DA59E">
            <w:pPr>
              <w:jc w:val="center"/>
              <w:rPr>
                <w:rStyle w:val="95"/>
              </w:rPr>
            </w:pPr>
          </w:p>
        </w:tc>
        <w:tc>
          <w:tcPr>
            <w:tcW w:w="1792" w:type="dxa"/>
            <w:vAlign w:val="center"/>
          </w:tcPr>
          <w:p w14:paraId="5EEE033A">
            <w:pPr>
              <w:jc w:val="center"/>
              <w:rPr>
                <w:rStyle w:val="95"/>
              </w:rPr>
            </w:pPr>
          </w:p>
        </w:tc>
        <w:tc>
          <w:tcPr>
            <w:tcW w:w="1792" w:type="dxa"/>
            <w:vAlign w:val="center"/>
          </w:tcPr>
          <w:p w14:paraId="1ABCFE4A">
            <w:pPr>
              <w:jc w:val="center"/>
              <w:rPr>
                <w:rStyle w:val="95"/>
              </w:rPr>
            </w:pPr>
          </w:p>
        </w:tc>
        <w:tc>
          <w:tcPr>
            <w:tcW w:w="1792" w:type="dxa"/>
            <w:vAlign w:val="center"/>
          </w:tcPr>
          <w:p w14:paraId="06DD39D7">
            <w:pPr>
              <w:jc w:val="center"/>
              <w:rPr>
                <w:rStyle w:val="95"/>
              </w:rPr>
            </w:pPr>
          </w:p>
        </w:tc>
        <w:tc>
          <w:tcPr>
            <w:tcW w:w="1792" w:type="dxa"/>
            <w:vAlign w:val="center"/>
          </w:tcPr>
          <w:p w14:paraId="67BED21F">
            <w:pPr>
              <w:jc w:val="center"/>
              <w:rPr>
                <w:rStyle w:val="95"/>
              </w:rPr>
            </w:pPr>
          </w:p>
        </w:tc>
      </w:tr>
      <w:tr w14:paraId="075D5706">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0" w:type="dxa"/>
            <w:bottom w:w="0" w:type="dxa"/>
            <w:right w:w="0" w:type="dxa"/>
          </w:tblCellMar>
        </w:tblPrEx>
        <w:trPr>
          <w:cantSplit/>
          <w:trHeight w:val="703" w:hRule="atLeast"/>
        </w:trPr>
        <w:tc>
          <w:tcPr>
            <w:tcW w:w="1791" w:type="dxa"/>
            <w:vAlign w:val="center"/>
          </w:tcPr>
          <w:p w14:paraId="161D6151">
            <w:pPr>
              <w:jc w:val="center"/>
              <w:rPr>
                <w:rStyle w:val="95"/>
              </w:rPr>
            </w:pPr>
          </w:p>
        </w:tc>
        <w:tc>
          <w:tcPr>
            <w:tcW w:w="1792" w:type="dxa"/>
            <w:vAlign w:val="center"/>
          </w:tcPr>
          <w:p w14:paraId="1AEB1FAF">
            <w:pPr>
              <w:jc w:val="center"/>
              <w:rPr>
                <w:rStyle w:val="95"/>
              </w:rPr>
            </w:pPr>
          </w:p>
        </w:tc>
        <w:tc>
          <w:tcPr>
            <w:tcW w:w="1792" w:type="dxa"/>
            <w:vAlign w:val="center"/>
          </w:tcPr>
          <w:p w14:paraId="4F64AFC5">
            <w:pPr>
              <w:jc w:val="center"/>
              <w:rPr>
                <w:rStyle w:val="95"/>
              </w:rPr>
            </w:pPr>
          </w:p>
        </w:tc>
        <w:tc>
          <w:tcPr>
            <w:tcW w:w="1792" w:type="dxa"/>
            <w:vAlign w:val="center"/>
          </w:tcPr>
          <w:p w14:paraId="2E006637">
            <w:pPr>
              <w:jc w:val="center"/>
              <w:rPr>
                <w:rStyle w:val="95"/>
              </w:rPr>
            </w:pPr>
          </w:p>
        </w:tc>
        <w:tc>
          <w:tcPr>
            <w:tcW w:w="1792" w:type="dxa"/>
            <w:vAlign w:val="center"/>
          </w:tcPr>
          <w:p w14:paraId="61184D51">
            <w:pPr>
              <w:jc w:val="center"/>
              <w:rPr>
                <w:rStyle w:val="95"/>
              </w:rPr>
            </w:pPr>
          </w:p>
        </w:tc>
      </w:tr>
      <w:tr w14:paraId="11DB70FB">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0" w:type="dxa"/>
            <w:bottom w:w="0" w:type="dxa"/>
            <w:right w:w="0" w:type="dxa"/>
          </w:tblCellMar>
        </w:tblPrEx>
        <w:trPr>
          <w:cantSplit/>
          <w:trHeight w:val="713" w:hRule="atLeast"/>
        </w:trPr>
        <w:tc>
          <w:tcPr>
            <w:tcW w:w="1791" w:type="dxa"/>
            <w:tcBorders>
              <w:bottom w:val="single" w:color="000000" w:sz="2" w:space="0"/>
            </w:tcBorders>
            <w:vAlign w:val="center"/>
          </w:tcPr>
          <w:p w14:paraId="6BAC88B3">
            <w:pPr>
              <w:jc w:val="center"/>
              <w:rPr>
                <w:rStyle w:val="95"/>
              </w:rPr>
            </w:pPr>
          </w:p>
        </w:tc>
        <w:tc>
          <w:tcPr>
            <w:tcW w:w="1792" w:type="dxa"/>
            <w:tcBorders>
              <w:bottom w:val="single" w:color="000000" w:sz="2" w:space="0"/>
            </w:tcBorders>
            <w:vAlign w:val="center"/>
          </w:tcPr>
          <w:p w14:paraId="6D4BB791">
            <w:pPr>
              <w:jc w:val="center"/>
              <w:rPr>
                <w:rStyle w:val="95"/>
              </w:rPr>
            </w:pPr>
          </w:p>
        </w:tc>
        <w:tc>
          <w:tcPr>
            <w:tcW w:w="1792" w:type="dxa"/>
            <w:tcBorders>
              <w:bottom w:val="single" w:color="000000" w:sz="2" w:space="0"/>
            </w:tcBorders>
            <w:vAlign w:val="center"/>
          </w:tcPr>
          <w:p w14:paraId="189AAA4D">
            <w:pPr>
              <w:jc w:val="center"/>
              <w:rPr>
                <w:rStyle w:val="95"/>
              </w:rPr>
            </w:pPr>
          </w:p>
        </w:tc>
        <w:tc>
          <w:tcPr>
            <w:tcW w:w="1792" w:type="dxa"/>
            <w:tcBorders>
              <w:bottom w:val="single" w:color="000000" w:sz="2" w:space="0"/>
            </w:tcBorders>
            <w:vAlign w:val="center"/>
          </w:tcPr>
          <w:p w14:paraId="6ACEC317">
            <w:pPr>
              <w:jc w:val="center"/>
              <w:rPr>
                <w:rStyle w:val="95"/>
              </w:rPr>
            </w:pPr>
          </w:p>
        </w:tc>
        <w:tc>
          <w:tcPr>
            <w:tcW w:w="1792" w:type="dxa"/>
            <w:tcBorders>
              <w:bottom w:val="single" w:color="000000" w:sz="2" w:space="0"/>
            </w:tcBorders>
            <w:vAlign w:val="center"/>
          </w:tcPr>
          <w:p w14:paraId="3D862088">
            <w:pPr>
              <w:jc w:val="center"/>
              <w:rPr>
                <w:rStyle w:val="95"/>
              </w:rPr>
            </w:pPr>
          </w:p>
        </w:tc>
      </w:tr>
    </w:tbl>
    <w:p w14:paraId="23F27F3E">
      <w:pPr>
        <w:spacing w:line="360" w:lineRule="auto"/>
        <w:rPr>
          <w:rStyle w:val="95"/>
        </w:rPr>
      </w:pPr>
    </w:p>
    <w:p w14:paraId="175317FD">
      <w:pPr>
        <w:spacing w:line="360" w:lineRule="auto"/>
        <w:rPr>
          <w:rStyle w:val="95"/>
        </w:rPr>
      </w:pPr>
      <w:r>
        <w:rPr>
          <w:rStyle w:val="95"/>
          <w:rFonts w:hint="eastAsia"/>
        </w:rPr>
        <w:t>声明：除本表所列的偏离外，其它所有条款完全响应</w:t>
      </w:r>
      <w:r>
        <w:rPr>
          <w:rStyle w:val="95"/>
        </w:rPr>
        <w:t>“</w:t>
      </w:r>
      <w:r>
        <w:rPr>
          <w:rStyle w:val="95"/>
          <w:rFonts w:hint="eastAsia"/>
        </w:rPr>
        <w:t>招标文件</w:t>
      </w:r>
      <w:r>
        <w:rPr>
          <w:rStyle w:val="95"/>
        </w:rPr>
        <w:t>”</w:t>
      </w:r>
      <w:r>
        <w:rPr>
          <w:rStyle w:val="95"/>
          <w:rFonts w:hint="eastAsia"/>
        </w:rPr>
        <w:t>中的要求。</w:t>
      </w:r>
    </w:p>
    <w:p w14:paraId="60C1EB3C">
      <w:pPr>
        <w:spacing w:line="360" w:lineRule="auto"/>
        <w:rPr>
          <w:rStyle w:val="95"/>
        </w:rPr>
      </w:pPr>
    </w:p>
    <w:p w14:paraId="12D1C62D">
      <w:pPr>
        <w:spacing w:line="400" w:lineRule="exact"/>
        <w:rPr>
          <w:rStyle w:val="95"/>
        </w:rPr>
      </w:pPr>
      <w:r>
        <w:rPr>
          <w:rStyle w:val="95"/>
          <w:rFonts w:hint="eastAsia"/>
        </w:rPr>
        <w:t>投标人（盖章）：</w:t>
      </w:r>
    </w:p>
    <w:p w14:paraId="22DC72E1">
      <w:pPr>
        <w:spacing w:line="400" w:lineRule="exact"/>
        <w:rPr>
          <w:rStyle w:val="95"/>
        </w:rPr>
      </w:pPr>
      <w:r>
        <w:rPr>
          <w:rStyle w:val="95"/>
          <w:rFonts w:hint="eastAsia"/>
        </w:rPr>
        <w:t>法定代表人或授权代理人（签字）：</w:t>
      </w:r>
    </w:p>
    <w:p w14:paraId="3E88A10B">
      <w:pPr>
        <w:pStyle w:val="85"/>
        <w:rPr>
          <w:rStyle w:val="95"/>
          <w:rFonts w:ascii="Times New Roman" w:hAnsi="Times New Roman"/>
          <w:b/>
          <w:sz w:val="28"/>
          <w:szCs w:val="28"/>
        </w:rPr>
      </w:pPr>
      <w:r>
        <w:rPr>
          <w:rStyle w:val="95"/>
          <w:rFonts w:ascii="Times New Roman" w:hAnsi="Times New Roman"/>
          <w:b/>
          <w:sz w:val="28"/>
          <w:szCs w:val="28"/>
        </w:rPr>
        <w:br w:type="page"/>
      </w:r>
    </w:p>
    <w:p w14:paraId="2EB8DE67">
      <w:pPr>
        <w:rPr>
          <w:rStyle w:val="95"/>
          <w:sz w:val="10"/>
        </w:rPr>
      </w:pPr>
    </w:p>
    <w:p w14:paraId="48CA6DC0">
      <w:pPr>
        <w:rPr>
          <w:rStyle w:val="95"/>
          <w:sz w:val="10"/>
        </w:rPr>
      </w:pPr>
    </w:p>
    <w:p w14:paraId="2FE66A06">
      <w:pPr>
        <w:rPr>
          <w:rStyle w:val="95"/>
          <w:sz w:val="48"/>
          <w:szCs w:val="48"/>
        </w:rPr>
      </w:pPr>
    </w:p>
    <w:p w14:paraId="79370746">
      <w:pPr>
        <w:pStyle w:val="85"/>
        <w:rPr>
          <w:rStyle w:val="95"/>
          <w:rFonts w:ascii="Times New Roman" w:hAnsi="Times New Roman"/>
        </w:rPr>
      </w:pPr>
    </w:p>
    <w:p w14:paraId="29706CB8">
      <w:pPr>
        <w:pStyle w:val="85"/>
        <w:rPr>
          <w:rStyle w:val="95"/>
          <w:rFonts w:ascii="Times New Roman" w:hAnsi="Times New Roman"/>
        </w:rPr>
      </w:pPr>
    </w:p>
    <w:p w14:paraId="372C70F5">
      <w:pPr>
        <w:pStyle w:val="42"/>
        <w:rPr>
          <w:rStyle w:val="95"/>
          <w:rFonts w:ascii="Times New Roman" w:hAnsi="Times New Roman" w:cs="Times New Roman"/>
          <w:sz w:val="52"/>
          <w:szCs w:val="52"/>
        </w:rPr>
      </w:pPr>
    </w:p>
    <w:p w14:paraId="67DB1A9A">
      <w:pPr>
        <w:pStyle w:val="42"/>
        <w:rPr>
          <w:rStyle w:val="95"/>
          <w:rFonts w:ascii="Times New Roman" w:hAnsi="Times New Roman" w:cs="Times New Roman"/>
          <w:sz w:val="52"/>
          <w:szCs w:val="52"/>
        </w:rPr>
      </w:pPr>
    </w:p>
    <w:p w14:paraId="775F620B">
      <w:pPr>
        <w:pStyle w:val="42"/>
        <w:rPr>
          <w:rStyle w:val="95"/>
          <w:rFonts w:ascii="Times New Roman" w:hAnsi="Times New Roman" w:cs="Times New Roman"/>
          <w:sz w:val="52"/>
          <w:szCs w:val="52"/>
        </w:rPr>
      </w:pPr>
    </w:p>
    <w:p w14:paraId="747851B0">
      <w:pPr>
        <w:pStyle w:val="42"/>
        <w:rPr>
          <w:rStyle w:val="95"/>
          <w:rFonts w:ascii="Times New Roman" w:hAnsi="Times New Roman" w:cs="Times New Roman"/>
          <w:sz w:val="52"/>
          <w:szCs w:val="52"/>
        </w:rPr>
      </w:pPr>
    </w:p>
    <w:p w14:paraId="39665030">
      <w:pPr>
        <w:rPr>
          <w:rStyle w:val="95"/>
        </w:rPr>
      </w:pPr>
    </w:p>
    <w:p w14:paraId="4D61A37D">
      <w:pPr>
        <w:pStyle w:val="42"/>
        <w:rPr>
          <w:rStyle w:val="95"/>
          <w:rFonts w:ascii="Times New Roman" w:hAnsi="Times New Roman" w:cs="Times New Roman"/>
          <w:sz w:val="52"/>
          <w:szCs w:val="52"/>
        </w:rPr>
      </w:pPr>
      <w:r>
        <w:rPr>
          <w:rStyle w:val="95"/>
          <w:rFonts w:hint="eastAsia" w:ascii="Times New Roman" w:hAnsi="Times New Roman" w:cs="Times New Roman"/>
          <w:sz w:val="52"/>
          <w:szCs w:val="52"/>
        </w:rPr>
        <w:t>第二卷</w:t>
      </w:r>
      <w:r>
        <w:rPr>
          <w:rStyle w:val="95"/>
          <w:rFonts w:ascii="Times New Roman" w:hAnsi="Times New Roman" w:cs="Times New Roman"/>
          <w:sz w:val="52"/>
          <w:szCs w:val="52"/>
        </w:rPr>
        <w:t xml:space="preserve">  </w:t>
      </w:r>
      <w:r>
        <w:rPr>
          <w:rStyle w:val="95"/>
          <w:rFonts w:hint="eastAsia" w:ascii="Times New Roman" w:hAnsi="Times New Roman" w:cs="Times New Roman"/>
          <w:sz w:val="52"/>
          <w:szCs w:val="52"/>
        </w:rPr>
        <w:t>技术文件</w:t>
      </w:r>
    </w:p>
    <w:p w14:paraId="4E2AE58B">
      <w:pPr>
        <w:ind w:right="-483" w:rightChars="-230"/>
        <w:jc w:val="center"/>
        <w:rPr>
          <w:rStyle w:val="95"/>
        </w:rPr>
      </w:pPr>
      <w:r>
        <w:rPr>
          <w:rStyle w:val="95"/>
        </w:rPr>
        <w:br w:type="page"/>
      </w:r>
    </w:p>
    <w:p w14:paraId="07C8A845">
      <w:pPr>
        <w:pStyle w:val="183"/>
        <w:rPr>
          <w:rStyle w:val="95"/>
          <w:rFonts w:ascii="Times New Roman" w:hAnsi="Times New Roman"/>
        </w:rPr>
      </w:pPr>
    </w:p>
    <w:p w14:paraId="18D38B70">
      <w:pPr>
        <w:pStyle w:val="183"/>
        <w:rPr>
          <w:rStyle w:val="95"/>
          <w:rFonts w:ascii="Times New Roman" w:hAnsi="Times New Roman"/>
        </w:rPr>
      </w:pPr>
    </w:p>
    <w:p w14:paraId="40A79FC1">
      <w:pPr>
        <w:pStyle w:val="183"/>
        <w:rPr>
          <w:rStyle w:val="95"/>
          <w:rFonts w:ascii="Times New Roman" w:hAnsi="Times New Roman"/>
        </w:rPr>
      </w:pPr>
    </w:p>
    <w:p w14:paraId="46DC1895">
      <w:pPr>
        <w:pStyle w:val="183"/>
        <w:rPr>
          <w:rStyle w:val="95"/>
          <w:rFonts w:ascii="Times New Roman" w:hAnsi="Times New Roman"/>
        </w:rPr>
      </w:pPr>
    </w:p>
    <w:p w14:paraId="7EE70713">
      <w:pPr>
        <w:pStyle w:val="183"/>
        <w:rPr>
          <w:rStyle w:val="95"/>
          <w:rFonts w:ascii="Times New Roman" w:hAnsi="Times New Roman"/>
        </w:rPr>
      </w:pPr>
    </w:p>
    <w:p w14:paraId="79ED791D">
      <w:pPr>
        <w:pStyle w:val="183"/>
        <w:rPr>
          <w:rStyle w:val="95"/>
          <w:rFonts w:ascii="Times New Roman" w:hAnsi="Times New Roman"/>
        </w:rPr>
      </w:pPr>
    </w:p>
    <w:p w14:paraId="0D793622">
      <w:pPr>
        <w:pStyle w:val="183"/>
        <w:rPr>
          <w:rStyle w:val="95"/>
          <w:rFonts w:ascii="Times New Roman" w:hAnsi="Times New Roman"/>
        </w:rPr>
      </w:pPr>
    </w:p>
    <w:p w14:paraId="3E509222">
      <w:pPr>
        <w:pStyle w:val="183"/>
        <w:rPr>
          <w:rStyle w:val="95"/>
          <w:rFonts w:ascii="Times New Roman" w:hAnsi="Times New Roman"/>
        </w:rPr>
      </w:pPr>
    </w:p>
    <w:p w14:paraId="466FA6C4">
      <w:pPr>
        <w:pStyle w:val="183"/>
        <w:rPr>
          <w:rStyle w:val="95"/>
          <w:rFonts w:ascii="Times New Roman" w:hAnsi="Times New Roman"/>
        </w:rPr>
      </w:pPr>
    </w:p>
    <w:p w14:paraId="1E85823D">
      <w:pPr>
        <w:pStyle w:val="183"/>
        <w:rPr>
          <w:rStyle w:val="95"/>
          <w:rFonts w:ascii="Times New Roman" w:hAnsi="Times New Roman"/>
        </w:rPr>
      </w:pPr>
    </w:p>
    <w:p w14:paraId="7025EFDE">
      <w:pPr>
        <w:pStyle w:val="183"/>
        <w:rPr>
          <w:rStyle w:val="95"/>
          <w:rFonts w:ascii="Times New Roman" w:hAnsi="Times New Roman"/>
        </w:rPr>
      </w:pPr>
    </w:p>
    <w:p w14:paraId="03FFC07D">
      <w:pPr>
        <w:pStyle w:val="183"/>
        <w:rPr>
          <w:rStyle w:val="95"/>
          <w:rFonts w:ascii="Times New Roman" w:hAnsi="Times New Roman"/>
        </w:rPr>
      </w:pPr>
    </w:p>
    <w:p w14:paraId="51D696D0">
      <w:pPr>
        <w:pStyle w:val="183"/>
        <w:rPr>
          <w:rStyle w:val="95"/>
          <w:rFonts w:ascii="Times New Roman" w:hAnsi="Times New Roman"/>
        </w:rPr>
      </w:pPr>
    </w:p>
    <w:p w14:paraId="0F1BAAAA">
      <w:pPr>
        <w:pStyle w:val="183"/>
        <w:jc w:val="center"/>
        <w:rPr>
          <w:rStyle w:val="95"/>
          <w:rFonts w:ascii="Times New Roman" w:hAnsi="Times New Roman"/>
          <w:b/>
          <w:bCs/>
          <w:sz w:val="44"/>
          <w:szCs w:val="44"/>
        </w:rPr>
      </w:pPr>
    </w:p>
    <w:p w14:paraId="0B4AFC16">
      <w:pPr>
        <w:pStyle w:val="183"/>
        <w:jc w:val="center"/>
        <w:rPr>
          <w:rStyle w:val="95"/>
          <w:rFonts w:ascii="Times New Roman" w:hAnsi="Times New Roman"/>
          <w:b/>
          <w:bCs/>
          <w:sz w:val="44"/>
          <w:szCs w:val="44"/>
        </w:rPr>
      </w:pPr>
    </w:p>
    <w:p w14:paraId="7C271AC5">
      <w:pPr>
        <w:pStyle w:val="183"/>
        <w:jc w:val="center"/>
        <w:rPr>
          <w:rStyle w:val="95"/>
          <w:rFonts w:ascii="Times New Roman" w:hAnsi="Times New Roman"/>
          <w:b/>
          <w:bCs/>
          <w:sz w:val="44"/>
          <w:szCs w:val="44"/>
        </w:rPr>
      </w:pPr>
    </w:p>
    <w:p w14:paraId="0C4B7A45">
      <w:pPr>
        <w:pStyle w:val="183"/>
        <w:jc w:val="center"/>
        <w:rPr>
          <w:rStyle w:val="95"/>
          <w:rFonts w:ascii="Times New Roman" w:hAnsi="Times New Roman"/>
          <w:b/>
          <w:bCs/>
          <w:sz w:val="44"/>
          <w:szCs w:val="44"/>
        </w:rPr>
      </w:pPr>
    </w:p>
    <w:p w14:paraId="47CD6A90">
      <w:pPr>
        <w:pStyle w:val="183"/>
        <w:jc w:val="center"/>
        <w:rPr>
          <w:rStyle w:val="95"/>
          <w:rFonts w:ascii="Times New Roman" w:hAnsi="Times New Roman"/>
          <w:b/>
          <w:bCs/>
          <w:sz w:val="44"/>
          <w:szCs w:val="44"/>
        </w:rPr>
      </w:pPr>
      <w:r>
        <w:rPr>
          <w:rStyle w:val="95"/>
          <w:rFonts w:hint="eastAsia" w:ascii="Times New Roman" w:hAnsi="Times New Roman"/>
          <w:b/>
          <w:bCs/>
          <w:sz w:val="44"/>
          <w:szCs w:val="44"/>
        </w:rPr>
        <w:t>第一章</w:t>
      </w:r>
      <w:r>
        <w:rPr>
          <w:rStyle w:val="95"/>
          <w:rFonts w:ascii="Times New Roman" w:hAnsi="Times New Roman"/>
          <w:b/>
          <w:bCs/>
          <w:sz w:val="44"/>
          <w:szCs w:val="44"/>
        </w:rPr>
        <w:t xml:space="preserve">  </w:t>
      </w:r>
      <w:r>
        <w:rPr>
          <w:rStyle w:val="95"/>
          <w:rFonts w:hint="eastAsia" w:ascii="Times New Roman" w:hAnsi="Times New Roman"/>
          <w:b/>
          <w:bCs/>
          <w:sz w:val="44"/>
          <w:szCs w:val="44"/>
        </w:rPr>
        <w:t>发包人要求</w:t>
      </w:r>
    </w:p>
    <w:p w14:paraId="2935BEEA">
      <w:pPr>
        <w:pStyle w:val="417"/>
        <w:tabs>
          <w:tab w:val="left" w:pos="420"/>
          <w:tab w:val="left" w:pos="1290"/>
        </w:tabs>
        <w:ind w:left="0"/>
        <w:jc w:val="both"/>
        <w:rPr>
          <w:rStyle w:val="95"/>
        </w:rPr>
      </w:pPr>
    </w:p>
    <w:p w14:paraId="57D4493B"/>
    <w:p w14:paraId="0BBBEE1C">
      <w:pPr>
        <w:pStyle w:val="85"/>
        <w:rPr>
          <w:rFonts w:ascii="Times New Roman" w:hAnsi="Times New Roman"/>
        </w:rPr>
      </w:pPr>
    </w:p>
    <w:p w14:paraId="1D17FB44">
      <w:pPr>
        <w:pStyle w:val="85"/>
        <w:rPr>
          <w:rFonts w:ascii="Times New Roman" w:hAnsi="Times New Roman"/>
        </w:rPr>
      </w:pPr>
    </w:p>
    <w:p w14:paraId="4BCEAB79">
      <w:pPr>
        <w:pStyle w:val="85"/>
        <w:rPr>
          <w:rFonts w:ascii="Times New Roman" w:hAnsi="Times New Roman"/>
        </w:rPr>
      </w:pPr>
    </w:p>
    <w:p w14:paraId="04A982EC">
      <w:pPr>
        <w:pStyle w:val="85"/>
        <w:rPr>
          <w:rFonts w:ascii="Times New Roman" w:hAnsi="Times New Roman"/>
        </w:rPr>
      </w:pPr>
    </w:p>
    <w:p w14:paraId="763DA493">
      <w:pPr>
        <w:pStyle w:val="85"/>
        <w:rPr>
          <w:rFonts w:ascii="Times New Roman" w:hAnsi="Times New Roman"/>
        </w:rPr>
      </w:pPr>
    </w:p>
    <w:p w14:paraId="5B14D79F">
      <w:pPr>
        <w:pStyle w:val="85"/>
        <w:rPr>
          <w:rFonts w:ascii="Times New Roman" w:hAnsi="Times New Roman"/>
        </w:rPr>
      </w:pPr>
    </w:p>
    <w:p w14:paraId="540CBAE5">
      <w:pPr>
        <w:pStyle w:val="85"/>
        <w:rPr>
          <w:rFonts w:ascii="Times New Roman" w:hAnsi="Times New Roman"/>
        </w:rPr>
      </w:pPr>
    </w:p>
    <w:p w14:paraId="5C76BFD2">
      <w:pPr>
        <w:pStyle w:val="85"/>
        <w:rPr>
          <w:rFonts w:ascii="Times New Roman" w:hAnsi="Times New Roman"/>
        </w:rPr>
      </w:pPr>
    </w:p>
    <w:p w14:paraId="504E0E30">
      <w:pPr>
        <w:pStyle w:val="85"/>
        <w:rPr>
          <w:rFonts w:ascii="Times New Roman" w:hAnsi="Times New Roman"/>
        </w:rPr>
      </w:pPr>
    </w:p>
    <w:p w14:paraId="0FB9B11A">
      <w:pPr>
        <w:pStyle w:val="85"/>
        <w:rPr>
          <w:rFonts w:ascii="Times New Roman" w:hAnsi="Times New Roman"/>
        </w:rPr>
      </w:pPr>
    </w:p>
    <w:p w14:paraId="66605533">
      <w:pPr>
        <w:pStyle w:val="85"/>
        <w:rPr>
          <w:rFonts w:ascii="Times New Roman" w:hAnsi="Times New Roman"/>
        </w:rPr>
      </w:pPr>
    </w:p>
    <w:p w14:paraId="32BDBC3B">
      <w:pPr>
        <w:pStyle w:val="85"/>
        <w:rPr>
          <w:rFonts w:ascii="Times New Roman" w:hAnsi="Times New Roman"/>
        </w:rPr>
      </w:pPr>
    </w:p>
    <w:p w14:paraId="688E7B08">
      <w:pPr>
        <w:pStyle w:val="639"/>
        <w:ind w:firstLine="602" w:firstLineChars="200"/>
        <w:jc w:val="both"/>
        <w:rPr>
          <w:rStyle w:val="95"/>
          <w:rFonts w:ascii="Times New Roman" w:hAnsi="Times New Roman" w:eastAsia="宋体"/>
          <w:b/>
          <w:bCs/>
          <w:sz w:val="30"/>
          <w:szCs w:val="30"/>
          <w:u w:val="single"/>
        </w:rPr>
      </w:pPr>
    </w:p>
    <w:p w14:paraId="6AC0BD32">
      <w:pPr>
        <w:pStyle w:val="639"/>
        <w:ind w:firstLine="602" w:firstLineChars="200"/>
        <w:jc w:val="both"/>
        <w:rPr>
          <w:rStyle w:val="95"/>
          <w:rFonts w:ascii="Times New Roman" w:hAnsi="Times New Roman" w:eastAsia="宋体"/>
          <w:b/>
          <w:bCs/>
          <w:sz w:val="30"/>
          <w:szCs w:val="30"/>
          <w:u w:val="single"/>
        </w:rPr>
      </w:pPr>
    </w:p>
    <w:p w14:paraId="04EC58F5">
      <w:pPr>
        <w:pStyle w:val="639"/>
        <w:ind w:firstLine="602" w:firstLineChars="200"/>
        <w:jc w:val="both"/>
        <w:rPr>
          <w:rStyle w:val="95"/>
          <w:rFonts w:ascii="Times New Roman" w:hAnsi="Times New Roman" w:eastAsia="宋体"/>
          <w:b/>
          <w:bCs/>
          <w:sz w:val="30"/>
          <w:szCs w:val="30"/>
          <w:u w:val="single"/>
        </w:rPr>
      </w:pPr>
      <w:r>
        <w:rPr>
          <w:rStyle w:val="95"/>
          <w:rFonts w:hint="eastAsia" w:ascii="Times New Roman" w:hAnsi="Times New Roman" w:eastAsia="宋体"/>
          <w:b/>
          <w:bCs/>
          <w:sz w:val="30"/>
          <w:szCs w:val="30"/>
          <w:u w:val="single"/>
        </w:rPr>
        <w:t>要求：列明项目的目标、范围、设计和其他技术标准，包括对项目的内容、范围、规模、标准、功能、质量、安全、节约能源、生态环境保护、工期、验收等的明确要求。</w:t>
      </w:r>
    </w:p>
    <w:p w14:paraId="14283C42">
      <w:pPr>
        <w:pStyle w:val="639"/>
        <w:jc w:val="center"/>
        <w:rPr>
          <w:rStyle w:val="95"/>
          <w:rFonts w:ascii="Times New Roman" w:hAnsi="Times New Roman" w:eastAsia="宋体"/>
          <w:b/>
          <w:bCs/>
          <w:sz w:val="30"/>
          <w:szCs w:val="30"/>
          <w:u w:val="single"/>
        </w:rPr>
      </w:pPr>
    </w:p>
    <w:p w14:paraId="24CD8B39">
      <w:pPr>
        <w:pStyle w:val="639"/>
        <w:jc w:val="center"/>
        <w:rPr>
          <w:rStyle w:val="95"/>
          <w:rFonts w:ascii="Times New Roman" w:hAnsi="Times New Roman" w:eastAsia="宋体"/>
          <w:b/>
          <w:bCs/>
          <w:sz w:val="30"/>
          <w:szCs w:val="30"/>
          <w:u w:val="single"/>
        </w:rPr>
      </w:pPr>
    </w:p>
    <w:p w14:paraId="3E625748">
      <w:pPr>
        <w:pStyle w:val="639"/>
        <w:jc w:val="center"/>
        <w:rPr>
          <w:rStyle w:val="95"/>
          <w:rFonts w:ascii="Times New Roman" w:hAnsi="Times New Roman" w:eastAsia="宋体"/>
          <w:b/>
          <w:bCs/>
          <w:sz w:val="30"/>
          <w:szCs w:val="30"/>
          <w:u w:val="single"/>
        </w:rPr>
      </w:pPr>
    </w:p>
    <w:p w14:paraId="5E8D8A60">
      <w:pPr>
        <w:pStyle w:val="639"/>
        <w:jc w:val="center"/>
        <w:rPr>
          <w:rStyle w:val="95"/>
          <w:rFonts w:ascii="Times New Roman" w:hAnsi="Times New Roman" w:eastAsia="宋体"/>
          <w:b/>
          <w:bCs/>
          <w:sz w:val="30"/>
          <w:szCs w:val="30"/>
          <w:u w:val="single"/>
        </w:rPr>
      </w:pPr>
    </w:p>
    <w:p w14:paraId="2E8634F1">
      <w:pPr>
        <w:pStyle w:val="639"/>
        <w:jc w:val="center"/>
        <w:rPr>
          <w:rStyle w:val="95"/>
          <w:rFonts w:ascii="Times New Roman" w:hAnsi="Times New Roman" w:eastAsia="宋体"/>
          <w:b/>
          <w:bCs/>
          <w:sz w:val="30"/>
          <w:szCs w:val="30"/>
          <w:u w:val="single"/>
        </w:rPr>
      </w:pPr>
    </w:p>
    <w:p w14:paraId="01B5FFE1">
      <w:pPr>
        <w:pStyle w:val="639"/>
        <w:jc w:val="center"/>
        <w:rPr>
          <w:rStyle w:val="95"/>
          <w:rFonts w:ascii="Times New Roman" w:hAnsi="Times New Roman" w:eastAsia="宋体"/>
          <w:b/>
          <w:bCs/>
          <w:sz w:val="30"/>
          <w:szCs w:val="30"/>
          <w:u w:val="single"/>
        </w:rPr>
      </w:pPr>
    </w:p>
    <w:p w14:paraId="4A204505">
      <w:pPr>
        <w:pStyle w:val="639"/>
        <w:jc w:val="center"/>
        <w:rPr>
          <w:rStyle w:val="95"/>
          <w:rFonts w:ascii="Times New Roman" w:hAnsi="Times New Roman" w:eastAsia="宋体"/>
          <w:b/>
          <w:bCs/>
          <w:sz w:val="30"/>
          <w:szCs w:val="30"/>
          <w:u w:val="single"/>
        </w:rPr>
      </w:pPr>
    </w:p>
    <w:p w14:paraId="3DA96D78">
      <w:pPr>
        <w:pStyle w:val="639"/>
        <w:jc w:val="center"/>
        <w:rPr>
          <w:rStyle w:val="95"/>
          <w:rFonts w:ascii="Times New Roman" w:hAnsi="Times New Roman" w:eastAsia="宋体"/>
          <w:b/>
          <w:bCs/>
          <w:sz w:val="30"/>
          <w:szCs w:val="30"/>
          <w:u w:val="single"/>
        </w:rPr>
      </w:pPr>
    </w:p>
    <w:p w14:paraId="46EC9C2B">
      <w:pPr>
        <w:pStyle w:val="639"/>
        <w:jc w:val="center"/>
        <w:rPr>
          <w:rStyle w:val="95"/>
          <w:rFonts w:ascii="Times New Roman" w:hAnsi="Times New Roman" w:eastAsia="宋体"/>
          <w:b/>
          <w:bCs/>
          <w:sz w:val="30"/>
          <w:szCs w:val="30"/>
          <w:u w:val="single"/>
        </w:rPr>
      </w:pPr>
    </w:p>
    <w:p w14:paraId="150B42B7">
      <w:pPr>
        <w:pStyle w:val="639"/>
        <w:jc w:val="center"/>
        <w:rPr>
          <w:rStyle w:val="95"/>
          <w:rFonts w:ascii="Times New Roman" w:hAnsi="Times New Roman" w:eastAsia="宋体"/>
          <w:b/>
          <w:bCs/>
          <w:sz w:val="30"/>
          <w:szCs w:val="30"/>
          <w:u w:val="single"/>
        </w:rPr>
      </w:pPr>
    </w:p>
    <w:p w14:paraId="1B3C0178">
      <w:pPr>
        <w:pStyle w:val="639"/>
        <w:jc w:val="center"/>
        <w:rPr>
          <w:rStyle w:val="95"/>
          <w:rFonts w:ascii="Times New Roman" w:hAnsi="Times New Roman" w:eastAsia="宋体"/>
          <w:b/>
          <w:bCs/>
          <w:sz w:val="30"/>
          <w:szCs w:val="30"/>
          <w:u w:val="single"/>
        </w:rPr>
      </w:pPr>
    </w:p>
    <w:p w14:paraId="51EF5221">
      <w:pPr>
        <w:pStyle w:val="639"/>
        <w:jc w:val="center"/>
        <w:rPr>
          <w:rStyle w:val="95"/>
          <w:rFonts w:ascii="Times New Roman" w:hAnsi="Times New Roman" w:eastAsia="宋体"/>
          <w:b/>
          <w:bCs/>
          <w:sz w:val="30"/>
          <w:szCs w:val="30"/>
          <w:u w:val="single"/>
        </w:rPr>
      </w:pPr>
    </w:p>
    <w:p w14:paraId="3074EF7A">
      <w:pPr>
        <w:pStyle w:val="639"/>
        <w:jc w:val="center"/>
        <w:rPr>
          <w:rStyle w:val="95"/>
          <w:rFonts w:ascii="Times New Roman" w:hAnsi="Times New Roman" w:eastAsia="宋体"/>
          <w:b/>
          <w:bCs/>
          <w:sz w:val="30"/>
          <w:szCs w:val="30"/>
          <w:u w:val="single"/>
        </w:rPr>
      </w:pPr>
    </w:p>
    <w:p w14:paraId="6C8ECE90">
      <w:pPr>
        <w:pStyle w:val="639"/>
        <w:jc w:val="center"/>
        <w:rPr>
          <w:rStyle w:val="95"/>
          <w:rFonts w:ascii="Times New Roman" w:hAnsi="Times New Roman" w:eastAsia="宋体"/>
          <w:b/>
          <w:bCs/>
          <w:sz w:val="30"/>
          <w:szCs w:val="30"/>
          <w:u w:val="single"/>
        </w:rPr>
      </w:pPr>
    </w:p>
    <w:p w14:paraId="3976DB3B">
      <w:pPr>
        <w:pStyle w:val="639"/>
        <w:jc w:val="center"/>
        <w:rPr>
          <w:rStyle w:val="95"/>
          <w:rFonts w:ascii="Times New Roman" w:hAnsi="Times New Roman" w:eastAsia="宋体"/>
          <w:b/>
          <w:bCs/>
          <w:sz w:val="30"/>
          <w:szCs w:val="30"/>
          <w:u w:val="single"/>
        </w:rPr>
      </w:pPr>
    </w:p>
    <w:p w14:paraId="3451A27D">
      <w:pPr>
        <w:pStyle w:val="639"/>
        <w:jc w:val="center"/>
        <w:rPr>
          <w:rStyle w:val="95"/>
          <w:rFonts w:ascii="Times New Roman" w:hAnsi="Times New Roman" w:eastAsia="宋体"/>
          <w:b/>
          <w:bCs/>
          <w:sz w:val="30"/>
          <w:szCs w:val="30"/>
          <w:u w:val="single"/>
        </w:rPr>
      </w:pPr>
    </w:p>
    <w:p w14:paraId="566B7CFB">
      <w:pPr>
        <w:pStyle w:val="639"/>
        <w:jc w:val="center"/>
        <w:rPr>
          <w:rStyle w:val="95"/>
          <w:rFonts w:ascii="Times New Roman" w:hAnsi="Times New Roman" w:eastAsia="宋体"/>
          <w:b/>
          <w:bCs/>
          <w:sz w:val="30"/>
          <w:szCs w:val="30"/>
          <w:u w:val="single"/>
        </w:rPr>
      </w:pPr>
    </w:p>
    <w:p w14:paraId="7694DF11">
      <w:pPr>
        <w:pStyle w:val="639"/>
        <w:jc w:val="center"/>
        <w:rPr>
          <w:rStyle w:val="95"/>
          <w:rFonts w:ascii="Times New Roman" w:hAnsi="Times New Roman" w:eastAsia="宋体"/>
          <w:b/>
          <w:sz w:val="30"/>
          <w:szCs w:val="30"/>
          <w:highlight w:val="yellow"/>
        </w:rPr>
      </w:pPr>
      <w:r>
        <w:rPr>
          <w:rStyle w:val="95"/>
          <w:rFonts w:hint="eastAsia" w:ascii="Times New Roman" w:hAnsi="Times New Roman" w:eastAsia="宋体"/>
          <w:b/>
          <w:sz w:val="30"/>
          <w:szCs w:val="30"/>
          <w:highlight w:val="yellow"/>
        </w:rPr>
        <w:t>设计任务书</w:t>
      </w:r>
    </w:p>
    <w:p w14:paraId="27A7B46A">
      <w:pPr>
        <w:pStyle w:val="639"/>
        <w:rPr>
          <w:rStyle w:val="95"/>
          <w:rFonts w:ascii="Times New Roman" w:hAnsi="Times New Roman" w:eastAsia="宋体"/>
          <w:sz w:val="21"/>
          <w:szCs w:val="21"/>
        </w:rPr>
      </w:pPr>
    </w:p>
    <w:p w14:paraId="3A4AD1B7">
      <w:pPr>
        <w:pStyle w:val="639"/>
        <w:spacing w:line="360" w:lineRule="auto"/>
        <w:rPr>
          <w:rStyle w:val="95"/>
          <w:rFonts w:ascii="Times New Roman" w:hAnsi="Times New Roman" w:eastAsia="宋体"/>
          <w:sz w:val="21"/>
          <w:szCs w:val="21"/>
        </w:rPr>
      </w:pPr>
    </w:p>
    <w:p w14:paraId="599C5675">
      <w:pPr>
        <w:widowControl w:val="0"/>
        <w:spacing w:line="240" w:lineRule="atLeast"/>
        <w:outlineLvl w:val="0"/>
        <w:rPr>
          <w:rStyle w:val="95"/>
          <w:b/>
          <w:bCs/>
          <w:kern w:val="0"/>
          <w:szCs w:val="21"/>
        </w:rPr>
      </w:pPr>
    </w:p>
    <w:p w14:paraId="2B1BAEC6">
      <w:pPr>
        <w:widowControl w:val="0"/>
        <w:spacing w:line="240" w:lineRule="atLeast"/>
        <w:outlineLvl w:val="0"/>
        <w:rPr>
          <w:rStyle w:val="95"/>
          <w:b/>
          <w:bCs/>
          <w:kern w:val="0"/>
          <w:szCs w:val="21"/>
        </w:rPr>
      </w:pPr>
    </w:p>
    <w:p w14:paraId="7C5BC51B">
      <w:pPr>
        <w:widowControl w:val="0"/>
        <w:spacing w:line="240" w:lineRule="atLeast"/>
        <w:outlineLvl w:val="0"/>
        <w:rPr>
          <w:rStyle w:val="95"/>
          <w:b/>
          <w:bCs/>
          <w:kern w:val="0"/>
          <w:szCs w:val="21"/>
        </w:rPr>
      </w:pPr>
    </w:p>
    <w:p w14:paraId="55CD977E">
      <w:pPr>
        <w:widowControl w:val="0"/>
        <w:spacing w:line="240" w:lineRule="atLeast"/>
        <w:outlineLvl w:val="0"/>
        <w:rPr>
          <w:rStyle w:val="95"/>
          <w:b/>
          <w:bCs/>
          <w:kern w:val="0"/>
          <w:szCs w:val="21"/>
        </w:rPr>
      </w:pPr>
    </w:p>
    <w:p w14:paraId="469A2310">
      <w:pPr>
        <w:widowControl w:val="0"/>
        <w:spacing w:line="240" w:lineRule="atLeast"/>
        <w:outlineLvl w:val="0"/>
        <w:rPr>
          <w:rStyle w:val="95"/>
          <w:b/>
          <w:bCs/>
          <w:kern w:val="0"/>
          <w:szCs w:val="21"/>
        </w:rPr>
      </w:pPr>
    </w:p>
    <w:p w14:paraId="454B8E21">
      <w:pPr>
        <w:widowControl w:val="0"/>
        <w:spacing w:line="240" w:lineRule="atLeast"/>
        <w:outlineLvl w:val="0"/>
        <w:rPr>
          <w:rStyle w:val="95"/>
          <w:b/>
          <w:bCs/>
          <w:kern w:val="0"/>
          <w:szCs w:val="21"/>
        </w:rPr>
      </w:pPr>
    </w:p>
    <w:p w14:paraId="33A3720F">
      <w:pPr>
        <w:widowControl w:val="0"/>
        <w:spacing w:line="240" w:lineRule="atLeast"/>
        <w:outlineLvl w:val="0"/>
        <w:rPr>
          <w:rStyle w:val="95"/>
          <w:b/>
          <w:bCs/>
          <w:kern w:val="0"/>
          <w:szCs w:val="21"/>
        </w:rPr>
      </w:pPr>
    </w:p>
    <w:p w14:paraId="39878338">
      <w:pPr>
        <w:widowControl w:val="0"/>
        <w:spacing w:line="240" w:lineRule="atLeast"/>
        <w:outlineLvl w:val="0"/>
        <w:rPr>
          <w:rStyle w:val="95"/>
          <w:b/>
          <w:bCs/>
          <w:kern w:val="0"/>
          <w:szCs w:val="21"/>
        </w:rPr>
      </w:pPr>
    </w:p>
    <w:p w14:paraId="1E9E1018">
      <w:pPr>
        <w:widowControl w:val="0"/>
        <w:spacing w:line="240" w:lineRule="atLeast"/>
        <w:outlineLvl w:val="0"/>
        <w:rPr>
          <w:rStyle w:val="95"/>
          <w:b/>
          <w:bCs/>
          <w:kern w:val="0"/>
          <w:szCs w:val="21"/>
        </w:rPr>
      </w:pPr>
    </w:p>
    <w:p w14:paraId="2098AF18">
      <w:pPr>
        <w:widowControl w:val="0"/>
        <w:spacing w:line="240" w:lineRule="atLeast"/>
        <w:outlineLvl w:val="0"/>
        <w:rPr>
          <w:rStyle w:val="95"/>
          <w:b/>
          <w:bCs/>
          <w:kern w:val="0"/>
          <w:szCs w:val="21"/>
        </w:rPr>
      </w:pPr>
    </w:p>
    <w:p w14:paraId="71B1BA47">
      <w:pPr>
        <w:widowControl w:val="0"/>
        <w:spacing w:line="240" w:lineRule="atLeast"/>
        <w:outlineLvl w:val="0"/>
        <w:rPr>
          <w:rStyle w:val="95"/>
          <w:b/>
          <w:bCs/>
          <w:kern w:val="0"/>
          <w:szCs w:val="21"/>
        </w:rPr>
      </w:pPr>
    </w:p>
    <w:p w14:paraId="340AAD64">
      <w:pPr>
        <w:widowControl w:val="0"/>
        <w:spacing w:line="240" w:lineRule="atLeast"/>
        <w:outlineLvl w:val="0"/>
        <w:rPr>
          <w:rStyle w:val="95"/>
          <w:b/>
          <w:bCs/>
          <w:kern w:val="0"/>
          <w:szCs w:val="21"/>
        </w:rPr>
      </w:pPr>
    </w:p>
    <w:p w14:paraId="72F3E522">
      <w:pPr>
        <w:widowControl w:val="0"/>
        <w:spacing w:line="240" w:lineRule="atLeast"/>
        <w:outlineLvl w:val="0"/>
        <w:rPr>
          <w:rStyle w:val="95"/>
          <w:b/>
          <w:bCs/>
          <w:kern w:val="0"/>
          <w:szCs w:val="21"/>
        </w:rPr>
      </w:pPr>
    </w:p>
    <w:p w14:paraId="44E77FA5">
      <w:pPr>
        <w:widowControl w:val="0"/>
        <w:spacing w:line="240" w:lineRule="atLeast"/>
        <w:outlineLvl w:val="0"/>
        <w:rPr>
          <w:rStyle w:val="95"/>
          <w:b/>
          <w:bCs/>
          <w:kern w:val="0"/>
          <w:szCs w:val="21"/>
        </w:rPr>
      </w:pPr>
    </w:p>
    <w:p w14:paraId="654BA1C1">
      <w:pPr>
        <w:widowControl w:val="0"/>
        <w:spacing w:line="240" w:lineRule="atLeast"/>
        <w:outlineLvl w:val="0"/>
        <w:rPr>
          <w:rStyle w:val="95"/>
          <w:b/>
          <w:bCs/>
          <w:kern w:val="0"/>
          <w:szCs w:val="21"/>
        </w:rPr>
      </w:pPr>
    </w:p>
    <w:p w14:paraId="77A4F13C">
      <w:pPr>
        <w:widowControl w:val="0"/>
        <w:spacing w:line="240" w:lineRule="atLeast"/>
        <w:outlineLvl w:val="0"/>
        <w:rPr>
          <w:rStyle w:val="95"/>
          <w:b/>
          <w:bCs/>
          <w:kern w:val="0"/>
          <w:szCs w:val="21"/>
        </w:rPr>
      </w:pPr>
    </w:p>
    <w:p w14:paraId="479D55E4">
      <w:pPr>
        <w:widowControl w:val="0"/>
        <w:spacing w:line="240" w:lineRule="atLeast"/>
        <w:outlineLvl w:val="0"/>
        <w:rPr>
          <w:rStyle w:val="95"/>
          <w:b/>
          <w:bCs/>
          <w:kern w:val="0"/>
          <w:szCs w:val="21"/>
        </w:rPr>
      </w:pPr>
    </w:p>
    <w:p w14:paraId="75A8940D">
      <w:pPr>
        <w:widowControl w:val="0"/>
        <w:spacing w:line="240" w:lineRule="atLeast"/>
        <w:outlineLvl w:val="0"/>
        <w:rPr>
          <w:rStyle w:val="95"/>
          <w:b/>
          <w:bCs/>
          <w:kern w:val="0"/>
          <w:szCs w:val="21"/>
        </w:rPr>
      </w:pPr>
    </w:p>
    <w:p w14:paraId="3F771383">
      <w:pPr>
        <w:widowControl w:val="0"/>
        <w:spacing w:line="240" w:lineRule="atLeast"/>
        <w:outlineLvl w:val="0"/>
        <w:rPr>
          <w:rStyle w:val="95"/>
          <w:b/>
          <w:bCs/>
          <w:kern w:val="0"/>
          <w:szCs w:val="21"/>
        </w:rPr>
      </w:pPr>
    </w:p>
    <w:p w14:paraId="0D542130">
      <w:pPr>
        <w:widowControl w:val="0"/>
        <w:spacing w:line="240" w:lineRule="atLeast"/>
        <w:outlineLvl w:val="0"/>
        <w:rPr>
          <w:rStyle w:val="95"/>
          <w:b/>
          <w:bCs/>
          <w:kern w:val="0"/>
          <w:szCs w:val="21"/>
        </w:rPr>
      </w:pPr>
    </w:p>
    <w:p w14:paraId="4047E24D">
      <w:pPr>
        <w:widowControl w:val="0"/>
        <w:spacing w:line="240" w:lineRule="atLeast"/>
        <w:outlineLvl w:val="0"/>
        <w:rPr>
          <w:rStyle w:val="95"/>
          <w:b/>
          <w:bCs/>
          <w:kern w:val="0"/>
          <w:szCs w:val="21"/>
        </w:rPr>
      </w:pPr>
    </w:p>
    <w:p w14:paraId="7BF33C46">
      <w:pPr>
        <w:widowControl w:val="0"/>
        <w:spacing w:line="240" w:lineRule="atLeast"/>
        <w:outlineLvl w:val="0"/>
        <w:rPr>
          <w:rStyle w:val="95"/>
          <w:b/>
          <w:bCs/>
          <w:kern w:val="0"/>
          <w:szCs w:val="21"/>
        </w:rPr>
      </w:pPr>
    </w:p>
    <w:p w14:paraId="6E9C62AF">
      <w:pPr>
        <w:widowControl w:val="0"/>
        <w:spacing w:line="240" w:lineRule="atLeast"/>
        <w:outlineLvl w:val="0"/>
        <w:rPr>
          <w:rStyle w:val="95"/>
          <w:b/>
          <w:bCs/>
          <w:kern w:val="0"/>
          <w:szCs w:val="21"/>
        </w:rPr>
      </w:pPr>
    </w:p>
    <w:p w14:paraId="1A254339">
      <w:pPr>
        <w:widowControl w:val="0"/>
        <w:spacing w:line="240" w:lineRule="atLeast"/>
        <w:outlineLvl w:val="0"/>
        <w:rPr>
          <w:rStyle w:val="95"/>
          <w:b/>
          <w:bCs/>
          <w:kern w:val="0"/>
          <w:szCs w:val="21"/>
        </w:rPr>
      </w:pPr>
    </w:p>
    <w:p w14:paraId="79EDB3AD">
      <w:pPr>
        <w:widowControl w:val="0"/>
        <w:spacing w:line="240" w:lineRule="atLeast"/>
        <w:outlineLvl w:val="0"/>
        <w:rPr>
          <w:rStyle w:val="95"/>
          <w:b/>
          <w:bCs/>
          <w:kern w:val="0"/>
          <w:szCs w:val="21"/>
        </w:rPr>
      </w:pPr>
    </w:p>
    <w:p w14:paraId="3572D63B">
      <w:pPr>
        <w:widowControl w:val="0"/>
        <w:spacing w:line="240" w:lineRule="atLeast"/>
        <w:outlineLvl w:val="0"/>
        <w:rPr>
          <w:rStyle w:val="95"/>
          <w:b/>
          <w:bCs/>
          <w:kern w:val="0"/>
          <w:szCs w:val="21"/>
        </w:rPr>
      </w:pPr>
    </w:p>
    <w:p w14:paraId="79C2B9DA">
      <w:pPr>
        <w:widowControl w:val="0"/>
        <w:spacing w:line="240" w:lineRule="atLeast"/>
        <w:outlineLvl w:val="0"/>
        <w:rPr>
          <w:rStyle w:val="95"/>
          <w:b/>
          <w:bCs/>
          <w:kern w:val="0"/>
          <w:szCs w:val="21"/>
        </w:rPr>
      </w:pPr>
    </w:p>
    <w:p w14:paraId="644CA68A">
      <w:pPr>
        <w:widowControl w:val="0"/>
        <w:spacing w:line="240" w:lineRule="atLeast"/>
        <w:outlineLvl w:val="0"/>
        <w:rPr>
          <w:rStyle w:val="95"/>
          <w:b/>
          <w:bCs/>
          <w:kern w:val="0"/>
          <w:szCs w:val="21"/>
        </w:rPr>
      </w:pPr>
    </w:p>
    <w:p w14:paraId="44167334">
      <w:pPr>
        <w:widowControl w:val="0"/>
        <w:spacing w:line="240" w:lineRule="atLeast"/>
        <w:outlineLvl w:val="0"/>
        <w:rPr>
          <w:rStyle w:val="95"/>
          <w:b/>
          <w:bCs/>
          <w:kern w:val="0"/>
          <w:szCs w:val="21"/>
        </w:rPr>
      </w:pPr>
    </w:p>
    <w:p w14:paraId="37D6B332">
      <w:pPr>
        <w:widowControl w:val="0"/>
        <w:spacing w:line="240" w:lineRule="atLeast"/>
        <w:outlineLvl w:val="0"/>
        <w:rPr>
          <w:rStyle w:val="95"/>
          <w:b/>
          <w:bCs/>
          <w:kern w:val="0"/>
          <w:szCs w:val="21"/>
        </w:rPr>
      </w:pPr>
    </w:p>
    <w:p w14:paraId="41ABB948">
      <w:pPr>
        <w:widowControl w:val="0"/>
        <w:spacing w:line="240" w:lineRule="atLeast"/>
        <w:outlineLvl w:val="0"/>
        <w:rPr>
          <w:rStyle w:val="95"/>
          <w:b/>
          <w:bCs/>
          <w:kern w:val="0"/>
          <w:szCs w:val="21"/>
        </w:rPr>
      </w:pPr>
    </w:p>
    <w:p w14:paraId="3C2AFE39">
      <w:pPr>
        <w:widowControl w:val="0"/>
        <w:spacing w:line="240" w:lineRule="atLeast"/>
        <w:outlineLvl w:val="0"/>
        <w:rPr>
          <w:rStyle w:val="95"/>
          <w:b/>
          <w:bCs/>
          <w:kern w:val="0"/>
          <w:szCs w:val="21"/>
        </w:rPr>
      </w:pPr>
    </w:p>
    <w:p w14:paraId="3C85D0EB">
      <w:pPr>
        <w:widowControl w:val="0"/>
        <w:spacing w:line="240" w:lineRule="atLeast"/>
        <w:outlineLvl w:val="0"/>
        <w:rPr>
          <w:rStyle w:val="95"/>
          <w:b/>
          <w:bCs/>
          <w:kern w:val="0"/>
          <w:szCs w:val="21"/>
        </w:rPr>
      </w:pPr>
    </w:p>
    <w:p w14:paraId="552CFEB7">
      <w:pPr>
        <w:widowControl w:val="0"/>
        <w:spacing w:line="240" w:lineRule="atLeast"/>
        <w:outlineLvl w:val="0"/>
        <w:rPr>
          <w:rStyle w:val="95"/>
          <w:b/>
          <w:bCs/>
          <w:kern w:val="0"/>
          <w:szCs w:val="21"/>
        </w:rPr>
      </w:pPr>
    </w:p>
    <w:p w14:paraId="0DB02B29">
      <w:pPr>
        <w:widowControl w:val="0"/>
        <w:spacing w:line="240" w:lineRule="atLeast"/>
        <w:outlineLvl w:val="0"/>
        <w:rPr>
          <w:rStyle w:val="95"/>
          <w:b/>
          <w:bCs/>
          <w:kern w:val="0"/>
          <w:szCs w:val="21"/>
        </w:rPr>
      </w:pPr>
    </w:p>
    <w:p w14:paraId="02978413">
      <w:pPr>
        <w:widowControl w:val="0"/>
        <w:spacing w:line="240" w:lineRule="atLeast"/>
        <w:outlineLvl w:val="0"/>
        <w:rPr>
          <w:rStyle w:val="95"/>
          <w:b/>
          <w:bCs/>
          <w:kern w:val="0"/>
          <w:szCs w:val="21"/>
        </w:rPr>
      </w:pPr>
    </w:p>
    <w:p w14:paraId="053105F8">
      <w:pPr>
        <w:widowControl w:val="0"/>
        <w:spacing w:line="240" w:lineRule="atLeast"/>
        <w:outlineLvl w:val="0"/>
        <w:rPr>
          <w:rStyle w:val="95"/>
          <w:b/>
          <w:bCs/>
          <w:kern w:val="0"/>
          <w:szCs w:val="21"/>
        </w:rPr>
      </w:pPr>
    </w:p>
    <w:p w14:paraId="32357DAD">
      <w:pPr>
        <w:widowControl w:val="0"/>
        <w:spacing w:line="240" w:lineRule="atLeast"/>
        <w:outlineLvl w:val="0"/>
        <w:rPr>
          <w:rStyle w:val="95"/>
          <w:b/>
          <w:bCs/>
          <w:kern w:val="0"/>
          <w:szCs w:val="21"/>
        </w:rPr>
      </w:pPr>
    </w:p>
    <w:p w14:paraId="42F6B5D8">
      <w:pPr>
        <w:widowControl w:val="0"/>
        <w:spacing w:line="240" w:lineRule="atLeast"/>
        <w:outlineLvl w:val="0"/>
        <w:rPr>
          <w:rStyle w:val="95"/>
          <w:b/>
          <w:bCs/>
          <w:kern w:val="0"/>
          <w:szCs w:val="21"/>
        </w:rPr>
      </w:pPr>
    </w:p>
    <w:p w14:paraId="73C5B133">
      <w:pPr>
        <w:widowControl w:val="0"/>
        <w:spacing w:line="240" w:lineRule="atLeast"/>
        <w:outlineLvl w:val="0"/>
        <w:rPr>
          <w:rStyle w:val="95"/>
          <w:b/>
          <w:bCs/>
          <w:kern w:val="0"/>
          <w:szCs w:val="21"/>
        </w:rPr>
      </w:pPr>
    </w:p>
    <w:p w14:paraId="0A9373E3">
      <w:pPr>
        <w:widowControl w:val="0"/>
        <w:spacing w:line="240" w:lineRule="atLeast"/>
        <w:outlineLvl w:val="0"/>
        <w:rPr>
          <w:rStyle w:val="95"/>
          <w:b/>
          <w:bCs/>
          <w:kern w:val="0"/>
          <w:szCs w:val="21"/>
        </w:rPr>
      </w:pPr>
    </w:p>
    <w:p w14:paraId="4A7D8E83">
      <w:pPr>
        <w:widowControl w:val="0"/>
        <w:spacing w:line="240" w:lineRule="atLeast"/>
        <w:jc w:val="center"/>
        <w:outlineLvl w:val="0"/>
        <w:rPr>
          <w:rStyle w:val="95"/>
          <w:b/>
          <w:bCs/>
          <w:sz w:val="44"/>
          <w:szCs w:val="44"/>
        </w:rPr>
      </w:pPr>
    </w:p>
    <w:p w14:paraId="176A449F">
      <w:pPr>
        <w:widowControl w:val="0"/>
        <w:spacing w:line="240" w:lineRule="atLeast"/>
        <w:jc w:val="center"/>
        <w:outlineLvl w:val="0"/>
        <w:rPr>
          <w:rStyle w:val="95"/>
          <w:b/>
          <w:bCs/>
          <w:sz w:val="44"/>
          <w:szCs w:val="44"/>
        </w:rPr>
      </w:pPr>
    </w:p>
    <w:p w14:paraId="68644B33">
      <w:pPr>
        <w:widowControl w:val="0"/>
        <w:spacing w:line="240" w:lineRule="atLeast"/>
        <w:jc w:val="center"/>
        <w:outlineLvl w:val="0"/>
        <w:rPr>
          <w:rStyle w:val="95"/>
          <w:b/>
          <w:bCs/>
          <w:sz w:val="44"/>
          <w:szCs w:val="44"/>
        </w:rPr>
      </w:pPr>
    </w:p>
    <w:p w14:paraId="352760AA">
      <w:pPr>
        <w:widowControl w:val="0"/>
        <w:spacing w:line="240" w:lineRule="atLeast"/>
        <w:jc w:val="center"/>
        <w:outlineLvl w:val="0"/>
        <w:rPr>
          <w:rStyle w:val="95"/>
          <w:b/>
          <w:bCs/>
          <w:sz w:val="44"/>
          <w:szCs w:val="44"/>
        </w:rPr>
      </w:pPr>
    </w:p>
    <w:p w14:paraId="0E74923C">
      <w:pPr>
        <w:pStyle w:val="183"/>
        <w:rPr>
          <w:rStyle w:val="95"/>
          <w:rFonts w:ascii="Times New Roman" w:hAnsi="Times New Roman"/>
        </w:rPr>
      </w:pPr>
    </w:p>
    <w:p w14:paraId="4D913019">
      <w:pPr>
        <w:pStyle w:val="183"/>
        <w:rPr>
          <w:rStyle w:val="95"/>
          <w:rFonts w:ascii="Times New Roman" w:hAnsi="Times New Roman"/>
        </w:rPr>
      </w:pPr>
    </w:p>
    <w:p w14:paraId="46DF6AF2">
      <w:pPr>
        <w:pStyle w:val="183"/>
        <w:rPr>
          <w:rStyle w:val="95"/>
          <w:rFonts w:ascii="Times New Roman" w:hAnsi="Times New Roman"/>
        </w:rPr>
      </w:pPr>
    </w:p>
    <w:p w14:paraId="34E06833">
      <w:pPr>
        <w:pStyle w:val="183"/>
        <w:rPr>
          <w:rStyle w:val="95"/>
          <w:rFonts w:ascii="Times New Roman" w:hAnsi="Times New Roman"/>
        </w:rPr>
      </w:pPr>
    </w:p>
    <w:p w14:paraId="216969C5">
      <w:pPr>
        <w:pStyle w:val="183"/>
        <w:rPr>
          <w:rStyle w:val="95"/>
          <w:rFonts w:ascii="Times New Roman" w:hAnsi="Times New Roman"/>
        </w:rPr>
      </w:pPr>
    </w:p>
    <w:p w14:paraId="71059C72">
      <w:pPr>
        <w:pStyle w:val="183"/>
        <w:rPr>
          <w:rStyle w:val="95"/>
          <w:rFonts w:ascii="Times New Roman" w:hAnsi="Times New Roman"/>
        </w:rPr>
      </w:pPr>
    </w:p>
    <w:p w14:paraId="39812D03">
      <w:pPr>
        <w:pStyle w:val="183"/>
        <w:jc w:val="center"/>
        <w:rPr>
          <w:rStyle w:val="95"/>
          <w:rFonts w:ascii="Times New Roman" w:hAnsi="Times New Roman"/>
          <w:b/>
          <w:bCs/>
          <w:sz w:val="44"/>
          <w:szCs w:val="44"/>
        </w:rPr>
      </w:pPr>
    </w:p>
    <w:p w14:paraId="217E6FE4">
      <w:pPr>
        <w:pStyle w:val="2"/>
        <w:ind w:left="449" w:leftChars="10" w:hanging="428" w:hangingChars="97"/>
        <w:rPr>
          <w:rFonts w:ascii="Times New Roman" w:hAnsi="Times New Roman" w:eastAsia="楷体_GB2312" w:cs="Times New Roman"/>
          <w:color w:val="FF0000"/>
          <w:sz w:val="48"/>
          <w:szCs w:val="48"/>
        </w:rPr>
      </w:pPr>
      <w:r>
        <w:rPr>
          <w:rStyle w:val="95"/>
          <w:rFonts w:hint="eastAsia" w:ascii="Times New Roman" w:hAnsi="Times New Roman" w:eastAsia="宋体" w:cs="Times New Roman"/>
          <w:b/>
          <w:bCs/>
          <w:kern w:val="2"/>
          <w:sz w:val="44"/>
          <w:szCs w:val="44"/>
        </w:rPr>
        <w:t>第二章</w:t>
      </w:r>
      <w:r>
        <w:rPr>
          <w:rStyle w:val="95"/>
          <w:rFonts w:ascii="Times New Roman" w:hAnsi="Times New Roman" w:eastAsia="宋体" w:cs="Times New Roman"/>
          <w:b/>
          <w:bCs/>
          <w:kern w:val="2"/>
          <w:sz w:val="44"/>
          <w:szCs w:val="44"/>
        </w:rPr>
        <w:t xml:space="preserve">  </w:t>
      </w:r>
      <w:r>
        <w:rPr>
          <w:rStyle w:val="95"/>
          <w:rFonts w:hint="eastAsia" w:ascii="Times New Roman" w:hAnsi="Times New Roman" w:eastAsia="宋体" w:cs="Times New Roman"/>
          <w:b/>
          <w:bCs/>
          <w:kern w:val="2"/>
          <w:sz w:val="44"/>
          <w:szCs w:val="44"/>
        </w:rPr>
        <w:t>建设单位提供的资料和条件</w:t>
      </w:r>
    </w:p>
    <w:p w14:paraId="71F4AFDC">
      <w:pPr>
        <w:pStyle w:val="3"/>
        <w:rPr>
          <w:rFonts w:ascii="Times New Roman" w:hAnsi="Times New Roman" w:eastAsia="楷体_GB2312"/>
          <w:b w:val="0"/>
          <w:bCs w:val="0"/>
          <w:sz w:val="48"/>
          <w:szCs w:val="48"/>
        </w:rPr>
      </w:pPr>
    </w:p>
    <w:p w14:paraId="49189FA2">
      <w:pPr>
        <w:pStyle w:val="3"/>
        <w:rPr>
          <w:rFonts w:ascii="Times New Roman" w:hAnsi="Times New Roman" w:eastAsia="楷体_GB2312"/>
          <w:b w:val="0"/>
          <w:bCs w:val="0"/>
          <w:sz w:val="48"/>
          <w:szCs w:val="48"/>
        </w:rPr>
      </w:pPr>
    </w:p>
    <w:p w14:paraId="19A53FB4">
      <w:pPr>
        <w:pStyle w:val="3"/>
        <w:rPr>
          <w:rFonts w:ascii="Times New Roman" w:hAnsi="Times New Roman" w:eastAsia="楷体_GB2312"/>
          <w:b w:val="0"/>
          <w:bCs w:val="0"/>
          <w:sz w:val="48"/>
          <w:szCs w:val="48"/>
        </w:rPr>
      </w:pPr>
    </w:p>
    <w:p w14:paraId="6667C5EA">
      <w:pPr>
        <w:spacing w:line="360" w:lineRule="auto"/>
        <w:jc w:val="left"/>
        <w:outlineLvl w:val="0"/>
        <w:rPr>
          <w:b/>
          <w:bCs/>
          <w:sz w:val="28"/>
          <w:szCs w:val="28"/>
        </w:rPr>
      </w:pPr>
    </w:p>
    <w:p w14:paraId="3F4CB479">
      <w:pPr>
        <w:spacing w:line="360" w:lineRule="auto"/>
        <w:jc w:val="left"/>
        <w:outlineLvl w:val="0"/>
        <w:rPr>
          <w:b/>
          <w:bCs/>
          <w:sz w:val="28"/>
          <w:szCs w:val="28"/>
        </w:rPr>
      </w:pPr>
    </w:p>
    <w:p w14:paraId="768D8DAD">
      <w:pPr>
        <w:spacing w:line="360" w:lineRule="auto"/>
        <w:jc w:val="left"/>
        <w:outlineLvl w:val="0"/>
        <w:rPr>
          <w:rStyle w:val="95"/>
          <w:b/>
          <w:bCs/>
          <w:sz w:val="44"/>
          <w:szCs w:val="44"/>
        </w:rPr>
      </w:pPr>
    </w:p>
    <w:p w14:paraId="623629EA">
      <w:pPr>
        <w:spacing w:line="360" w:lineRule="auto"/>
        <w:jc w:val="left"/>
        <w:outlineLvl w:val="0"/>
        <w:rPr>
          <w:rStyle w:val="95"/>
          <w:b/>
          <w:bCs/>
          <w:sz w:val="44"/>
          <w:szCs w:val="44"/>
        </w:rPr>
      </w:pPr>
    </w:p>
    <w:p w14:paraId="372ECAD2">
      <w:pPr>
        <w:spacing w:line="360" w:lineRule="auto"/>
        <w:jc w:val="left"/>
        <w:outlineLvl w:val="0"/>
        <w:rPr>
          <w:rStyle w:val="95"/>
          <w:b/>
          <w:bCs/>
          <w:sz w:val="44"/>
          <w:szCs w:val="44"/>
        </w:rPr>
      </w:pPr>
    </w:p>
    <w:p w14:paraId="5520D349">
      <w:pPr>
        <w:pStyle w:val="639"/>
        <w:ind w:firstLine="602" w:firstLineChars="200"/>
        <w:jc w:val="both"/>
        <w:rPr>
          <w:rStyle w:val="95"/>
          <w:rFonts w:ascii="Times New Roman" w:hAnsi="Times New Roman" w:eastAsia="宋体"/>
          <w:b/>
          <w:bCs/>
          <w:sz w:val="30"/>
          <w:szCs w:val="30"/>
          <w:u w:val="single"/>
        </w:rPr>
      </w:pPr>
    </w:p>
    <w:p w14:paraId="5DADB60B">
      <w:pPr>
        <w:pStyle w:val="639"/>
        <w:ind w:firstLine="602" w:firstLineChars="200"/>
        <w:jc w:val="both"/>
        <w:rPr>
          <w:rStyle w:val="95"/>
          <w:rFonts w:ascii="Times New Roman" w:hAnsi="Times New Roman" w:eastAsia="宋体"/>
          <w:b/>
          <w:bCs/>
          <w:sz w:val="30"/>
          <w:szCs w:val="30"/>
          <w:u w:val="single"/>
        </w:rPr>
      </w:pPr>
    </w:p>
    <w:p w14:paraId="064C711E">
      <w:pPr>
        <w:pStyle w:val="639"/>
        <w:ind w:firstLine="602" w:firstLineChars="200"/>
        <w:jc w:val="both"/>
        <w:rPr>
          <w:rStyle w:val="95"/>
          <w:rFonts w:ascii="Times New Roman" w:hAnsi="Times New Roman" w:eastAsia="宋体"/>
          <w:b/>
          <w:bCs/>
          <w:sz w:val="30"/>
          <w:szCs w:val="30"/>
          <w:u w:val="single"/>
        </w:rPr>
      </w:pPr>
    </w:p>
    <w:p w14:paraId="2E3EF238">
      <w:pPr>
        <w:pStyle w:val="639"/>
        <w:ind w:firstLine="602" w:firstLineChars="200"/>
        <w:jc w:val="both"/>
        <w:rPr>
          <w:rStyle w:val="95"/>
          <w:rFonts w:ascii="Times New Roman" w:hAnsi="Times New Roman"/>
          <w:b/>
          <w:bCs/>
          <w:sz w:val="44"/>
          <w:szCs w:val="44"/>
        </w:rPr>
      </w:pPr>
      <w:r>
        <w:rPr>
          <w:rStyle w:val="95"/>
          <w:rFonts w:hint="eastAsia" w:ascii="Times New Roman" w:hAnsi="Times New Roman" w:eastAsia="宋体"/>
          <w:b/>
          <w:bCs/>
          <w:sz w:val="30"/>
          <w:szCs w:val="30"/>
          <w:u w:val="single"/>
        </w:rPr>
        <w:t>要求：包括发包前完成的水文地质、工程地质、地形等勘察资料，以及可行性研究报告、方案设计文件或者初步设计文件等。</w:t>
      </w:r>
    </w:p>
    <w:p w14:paraId="3C2456AD">
      <w:pPr>
        <w:spacing w:line="360" w:lineRule="auto"/>
        <w:jc w:val="left"/>
        <w:outlineLvl w:val="0"/>
        <w:rPr>
          <w:rStyle w:val="95"/>
          <w:b/>
          <w:bCs/>
          <w:sz w:val="44"/>
          <w:szCs w:val="44"/>
        </w:rPr>
      </w:pPr>
    </w:p>
    <w:p w14:paraId="7493DCBA">
      <w:pPr>
        <w:spacing w:line="360" w:lineRule="auto"/>
        <w:jc w:val="left"/>
        <w:outlineLvl w:val="0"/>
        <w:rPr>
          <w:rStyle w:val="95"/>
          <w:b/>
          <w:bCs/>
          <w:sz w:val="44"/>
          <w:szCs w:val="44"/>
        </w:rPr>
      </w:pPr>
    </w:p>
    <w:p w14:paraId="75185FF4">
      <w:pPr>
        <w:spacing w:line="360" w:lineRule="auto"/>
        <w:jc w:val="left"/>
        <w:outlineLvl w:val="0"/>
        <w:rPr>
          <w:rStyle w:val="95"/>
          <w:b/>
          <w:bCs/>
          <w:sz w:val="44"/>
          <w:szCs w:val="44"/>
        </w:rPr>
      </w:pPr>
    </w:p>
    <w:p w14:paraId="34F6F365">
      <w:pPr>
        <w:spacing w:line="360" w:lineRule="auto"/>
        <w:jc w:val="left"/>
        <w:outlineLvl w:val="0"/>
        <w:rPr>
          <w:rStyle w:val="95"/>
          <w:b/>
          <w:bCs/>
          <w:sz w:val="44"/>
          <w:szCs w:val="44"/>
        </w:rPr>
      </w:pPr>
    </w:p>
    <w:p w14:paraId="4BE270CB">
      <w:pPr>
        <w:spacing w:line="360" w:lineRule="auto"/>
        <w:jc w:val="left"/>
        <w:outlineLvl w:val="0"/>
        <w:rPr>
          <w:rStyle w:val="95"/>
          <w:b/>
          <w:bCs/>
          <w:sz w:val="44"/>
          <w:szCs w:val="44"/>
        </w:rPr>
      </w:pPr>
    </w:p>
    <w:p w14:paraId="315B3C73">
      <w:pPr>
        <w:spacing w:line="360" w:lineRule="auto"/>
        <w:jc w:val="left"/>
        <w:outlineLvl w:val="0"/>
        <w:rPr>
          <w:rStyle w:val="95"/>
          <w:b/>
          <w:bCs/>
          <w:sz w:val="44"/>
          <w:szCs w:val="44"/>
        </w:rPr>
      </w:pPr>
    </w:p>
    <w:p w14:paraId="234BC20E">
      <w:pPr>
        <w:spacing w:line="360" w:lineRule="auto"/>
        <w:jc w:val="left"/>
        <w:outlineLvl w:val="0"/>
        <w:rPr>
          <w:rStyle w:val="95"/>
          <w:b/>
          <w:bCs/>
          <w:sz w:val="44"/>
          <w:szCs w:val="44"/>
        </w:rPr>
      </w:pPr>
    </w:p>
    <w:p w14:paraId="40F45272">
      <w:pPr>
        <w:spacing w:line="360" w:lineRule="auto"/>
        <w:jc w:val="left"/>
        <w:outlineLvl w:val="0"/>
        <w:rPr>
          <w:rStyle w:val="95"/>
          <w:b/>
          <w:bCs/>
          <w:sz w:val="44"/>
          <w:szCs w:val="44"/>
        </w:rPr>
      </w:pPr>
    </w:p>
    <w:p w14:paraId="50FCD74C">
      <w:pPr>
        <w:spacing w:line="360" w:lineRule="auto"/>
        <w:jc w:val="left"/>
        <w:outlineLvl w:val="0"/>
        <w:rPr>
          <w:rStyle w:val="95"/>
          <w:b/>
          <w:bCs/>
          <w:sz w:val="44"/>
          <w:szCs w:val="44"/>
        </w:rPr>
      </w:pPr>
    </w:p>
    <w:p w14:paraId="71E6E881">
      <w:pPr>
        <w:spacing w:line="360" w:lineRule="auto"/>
        <w:jc w:val="left"/>
        <w:outlineLvl w:val="0"/>
        <w:rPr>
          <w:rStyle w:val="95"/>
          <w:b/>
          <w:bCs/>
          <w:sz w:val="44"/>
          <w:szCs w:val="44"/>
        </w:rPr>
      </w:pPr>
    </w:p>
    <w:p w14:paraId="106CA526">
      <w:pPr>
        <w:spacing w:line="360" w:lineRule="auto"/>
        <w:jc w:val="left"/>
        <w:outlineLvl w:val="0"/>
        <w:rPr>
          <w:rStyle w:val="95"/>
          <w:b/>
          <w:bCs/>
          <w:sz w:val="44"/>
          <w:szCs w:val="44"/>
        </w:rPr>
      </w:pPr>
    </w:p>
    <w:p w14:paraId="4803CE35">
      <w:pPr>
        <w:spacing w:line="360" w:lineRule="auto"/>
        <w:jc w:val="left"/>
        <w:outlineLvl w:val="0"/>
        <w:rPr>
          <w:rStyle w:val="95"/>
          <w:b/>
          <w:bCs/>
          <w:sz w:val="44"/>
          <w:szCs w:val="44"/>
        </w:rPr>
      </w:pPr>
    </w:p>
    <w:p w14:paraId="1B3F890B">
      <w:pPr>
        <w:spacing w:line="360" w:lineRule="auto"/>
        <w:jc w:val="left"/>
        <w:outlineLvl w:val="0"/>
        <w:rPr>
          <w:rStyle w:val="95"/>
          <w:b/>
          <w:bCs/>
          <w:sz w:val="44"/>
          <w:szCs w:val="44"/>
        </w:rPr>
      </w:pPr>
    </w:p>
    <w:p w14:paraId="2F39378E">
      <w:pPr>
        <w:spacing w:line="360" w:lineRule="auto"/>
        <w:jc w:val="left"/>
        <w:outlineLvl w:val="0"/>
        <w:rPr>
          <w:rStyle w:val="95"/>
          <w:b/>
          <w:bCs/>
          <w:sz w:val="44"/>
          <w:szCs w:val="44"/>
        </w:rPr>
      </w:pPr>
    </w:p>
    <w:p w14:paraId="2A730C79">
      <w:pPr>
        <w:spacing w:line="360" w:lineRule="auto"/>
        <w:jc w:val="left"/>
        <w:outlineLvl w:val="0"/>
        <w:rPr>
          <w:rStyle w:val="95"/>
          <w:b/>
          <w:bCs/>
          <w:sz w:val="44"/>
          <w:szCs w:val="44"/>
        </w:rPr>
      </w:pPr>
    </w:p>
    <w:p w14:paraId="4B75D1C2">
      <w:pPr>
        <w:spacing w:line="360" w:lineRule="auto"/>
        <w:jc w:val="left"/>
        <w:outlineLvl w:val="0"/>
        <w:rPr>
          <w:rStyle w:val="95"/>
          <w:b/>
          <w:bCs/>
          <w:sz w:val="44"/>
          <w:szCs w:val="44"/>
        </w:rPr>
      </w:pPr>
    </w:p>
    <w:p w14:paraId="49A5E87E">
      <w:pPr>
        <w:spacing w:line="360" w:lineRule="auto"/>
        <w:jc w:val="left"/>
        <w:outlineLvl w:val="0"/>
        <w:rPr>
          <w:rStyle w:val="95"/>
          <w:b/>
          <w:bCs/>
          <w:sz w:val="44"/>
          <w:szCs w:val="44"/>
        </w:rPr>
      </w:pPr>
    </w:p>
    <w:p w14:paraId="70270EC4">
      <w:pPr>
        <w:pStyle w:val="19"/>
      </w:pPr>
    </w:p>
    <w:p w14:paraId="371F7CB0">
      <w:pPr>
        <w:pStyle w:val="19"/>
      </w:pPr>
    </w:p>
    <w:p w14:paraId="16D166CF">
      <w:pPr>
        <w:pStyle w:val="19"/>
      </w:pPr>
    </w:p>
    <w:p w14:paraId="6EFF6169">
      <w:pPr>
        <w:pStyle w:val="19"/>
      </w:pPr>
    </w:p>
    <w:p w14:paraId="6AD2487B">
      <w:pPr>
        <w:pStyle w:val="19"/>
      </w:pPr>
    </w:p>
    <w:p w14:paraId="26F2A70E">
      <w:pPr>
        <w:pStyle w:val="19"/>
      </w:pPr>
    </w:p>
    <w:p w14:paraId="7D8B4840">
      <w:pPr>
        <w:pStyle w:val="19"/>
      </w:pPr>
    </w:p>
    <w:p w14:paraId="6B3F2568">
      <w:pPr>
        <w:pStyle w:val="19"/>
      </w:pPr>
    </w:p>
    <w:p w14:paraId="6CE19A83">
      <w:pPr>
        <w:pStyle w:val="19"/>
      </w:pPr>
    </w:p>
    <w:p w14:paraId="337FEFAC">
      <w:pPr>
        <w:pStyle w:val="19"/>
      </w:pPr>
    </w:p>
    <w:p w14:paraId="595B35FB">
      <w:pPr>
        <w:pStyle w:val="19"/>
      </w:pPr>
    </w:p>
    <w:p w14:paraId="28A6892B">
      <w:pPr>
        <w:pStyle w:val="19"/>
      </w:pPr>
    </w:p>
    <w:p w14:paraId="2192E15A">
      <w:pPr>
        <w:pStyle w:val="19"/>
      </w:pPr>
    </w:p>
    <w:p w14:paraId="31F15494">
      <w:pPr>
        <w:pStyle w:val="19"/>
      </w:pPr>
    </w:p>
    <w:p w14:paraId="63476350">
      <w:pPr>
        <w:pStyle w:val="19"/>
      </w:pPr>
    </w:p>
    <w:p w14:paraId="36830D63">
      <w:pPr>
        <w:pStyle w:val="19"/>
      </w:pPr>
    </w:p>
    <w:p w14:paraId="0CC0C43E">
      <w:pPr>
        <w:pStyle w:val="19"/>
        <w:jc w:val="center"/>
      </w:pPr>
    </w:p>
    <w:p w14:paraId="0895163E">
      <w:pPr>
        <w:spacing w:line="360" w:lineRule="auto"/>
        <w:jc w:val="center"/>
        <w:outlineLvl w:val="0"/>
        <w:rPr>
          <w:b/>
          <w:bCs/>
          <w:sz w:val="28"/>
          <w:szCs w:val="28"/>
        </w:rPr>
      </w:pPr>
      <w:r>
        <w:rPr>
          <w:rStyle w:val="95"/>
          <w:rFonts w:hint="eastAsia"/>
          <w:b/>
          <w:bCs/>
          <w:sz w:val="44"/>
          <w:szCs w:val="44"/>
        </w:rPr>
        <w:t>第三章</w:t>
      </w:r>
      <w:r>
        <w:rPr>
          <w:rStyle w:val="95"/>
          <w:b/>
          <w:bCs/>
          <w:sz w:val="44"/>
          <w:szCs w:val="44"/>
        </w:rPr>
        <w:t xml:space="preserve">  </w:t>
      </w:r>
      <w:r>
        <w:rPr>
          <w:rStyle w:val="95"/>
          <w:rFonts w:hint="eastAsia"/>
          <w:b/>
          <w:bCs/>
          <w:sz w:val="44"/>
          <w:szCs w:val="44"/>
        </w:rPr>
        <w:t>招标工程量清单</w:t>
      </w:r>
    </w:p>
    <w:p w14:paraId="522DC1EB">
      <w:pPr>
        <w:spacing w:line="360" w:lineRule="auto"/>
        <w:jc w:val="left"/>
        <w:outlineLvl w:val="0"/>
        <w:rPr>
          <w:b/>
          <w:bCs/>
          <w:sz w:val="28"/>
          <w:szCs w:val="28"/>
        </w:rPr>
      </w:pPr>
    </w:p>
    <w:p w14:paraId="003A0664">
      <w:pPr>
        <w:spacing w:line="360" w:lineRule="auto"/>
        <w:jc w:val="left"/>
        <w:outlineLvl w:val="0"/>
        <w:rPr>
          <w:b/>
          <w:bCs/>
          <w:sz w:val="28"/>
          <w:szCs w:val="28"/>
        </w:rPr>
      </w:pPr>
    </w:p>
    <w:p w14:paraId="749BD4F9">
      <w:pPr>
        <w:spacing w:line="360" w:lineRule="auto"/>
        <w:jc w:val="left"/>
        <w:outlineLvl w:val="0"/>
        <w:rPr>
          <w:b/>
          <w:bCs/>
          <w:sz w:val="28"/>
          <w:szCs w:val="28"/>
        </w:rPr>
      </w:pPr>
    </w:p>
    <w:p w14:paraId="172FC9F3">
      <w:pPr>
        <w:pStyle w:val="19"/>
      </w:pPr>
    </w:p>
    <w:p w14:paraId="63FD833D">
      <w:pPr>
        <w:pStyle w:val="19"/>
      </w:pPr>
    </w:p>
    <w:p w14:paraId="5810E2BD">
      <w:pPr>
        <w:pStyle w:val="19"/>
      </w:pPr>
    </w:p>
    <w:p w14:paraId="19108087">
      <w:pPr>
        <w:pStyle w:val="19"/>
      </w:pPr>
    </w:p>
    <w:p w14:paraId="4311AADF">
      <w:pPr>
        <w:pStyle w:val="19"/>
      </w:pPr>
    </w:p>
    <w:p w14:paraId="46B768C3">
      <w:pPr>
        <w:pStyle w:val="19"/>
      </w:pPr>
    </w:p>
    <w:p w14:paraId="0696C7B2">
      <w:pPr>
        <w:pStyle w:val="19"/>
      </w:pPr>
    </w:p>
    <w:p w14:paraId="37E1B6CD">
      <w:pPr>
        <w:pStyle w:val="19"/>
      </w:pPr>
    </w:p>
    <w:p w14:paraId="1E56B27E">
      <w:pPr>
        <w:pStyle w:val="19"/>
      </w:pPr>
    </w:p>
    <w:p w14:paraId="04D58FA2">
      <w:pPr>
        <w:pStyle w:val="19"/>
      </w:pPr>
    </w:p>
    <w:p w14:paraId="207F76A6">
      <w:pPr>
        <w:pStyle w:val="19"/>
      </w:pPr>
    </w:p>
    <w:p w14:paraId="56E26189">
      <w:pPr>
        <w:pStyle w:val="19"/>
      </w:pPr>
    </w:p>
    <w:p w14:paraId="06683846">
      <w:pPr>
        <w:widowControl w:val="0"/>
        <w:spacing w:line="360" w:lineRule="auto"/>
        <w:textAlignment w:val="auto"/>
        <w:rPr>
          <w:rFonts w:eastAsia="黑体"/>
          <w:sz w:val="36"/>
          <w:szCs w:val="36"/>
        </w:rPr>
      </w:pPr>
      <w:bookmarkStart w:id="772" w:name="_Toc4521"/>
      <w:r>
        <w:rPr>
          <w:rFonts w:hint="eastAsia" w:eastAsia="黑体"/>
          <w:sz w:val="36"/>
          <w:szCs w:val="36"/>
        </w:rPr>
        <w:t>一、一般规定</w:t>
      </w:r>
      <w:bookmarkEnd w:id="772"/>
    </w:p>
    <w:p w14:paraId="4705D876">
      <w:pPr>
        <w:widowControl w:val="0"/>
        <w:spacing w:line="310" w:lineRule="exact"/>
        <w:textAlignment w:val="auto"/>
        <w:rPr>
          <w:sz w:val="24"/>
        </w:rPr>
      </w:pPr>
      <w:r>
        <w:rPr>
          <w:sz w:val="24"/>
        </w:rPr>
        <w:t>1.1</w:t>
      </w:r>
      <w:r>
        <w:rPr>
          <w:rFonts w:hint="eastAsia"/>
          <w:sz w:val="24"/>
        </w:rPr>
        <w:t>招标工程量清单应由具有编制能力的招标人或受其委托，具有相应资质的工程造价咨询人编制。</w:t>
      </w:r>
    </w:p>
    <w:p w14:paraId="39FB7C0A">
      <w:pPr>
        <w:widowControl w:val="0"/>
        <w:spacing w:line="310" w:lineRule="exact"/>
        <w:textAlignment w:val="auto"/>
        <w:rPr>
          <w:sz w:val="24"/>
        </w:rPr>
      </w:pPr>
      <w:r>
        <w:rPr>
          <w:sz w:val="24"/>
        </w:rPr>
        <w:t>1.2</w:t>
      </w:r>
      <w:r>
        <w:rPr>
          <w:rFonts w:hint="eastAsia"/>
          <w:sz w:val="24"/>
        </w:rPr>
        <w:t>招标工程量清单必须作为招标文件的组成部分，其准确性和完整性由招标人负责。</w:t>
      </w:r>
    </w:p>
    <w:p w14:paraId="4AFD5925">
      <w:pPr>
        <w:widowControl w:val="0"/>
        <w:spacing w:line="310" w:lineRule="exact"/>
        <w:textAlignment w:val="auto"/>
        <w:rPr>
          <w:sz w:val="24"/>
        </w:rPr>
      </w:pPr>
      <w:r>
        <w:rPr>
          <w:sz w:val="24"/>
        </w:rPr>
        <w:t>1.3</w:t>
      </w:r>
      <w:r>
        <w:rPr>
          <w:rFonts w:hint="eastAsia"/>
          <w:sz w:val="24"/>
        </w:rPr>
        <w:t>招标工程量清单是工程量清单计价的基础，应作为编制招标控制价、投标报价、计算或调整工程量、索赔等的依据之一。</w:t>
      </w:r>
    </w:p>
    <w:p w14:paraId="1BE8FDBF">
      <w:pPr>
        <w:widowControl w:val="0"/>
        <w:spacing w:line="310" w:lineRule="exact"/>
        <w:textAlignment w:val="auto"/>
        <w:rPr>
          <w:sz w:val="24"/>
        </w:rPr>
      </w:pPr>
      <w:r>
        <w:rPr>
          <w:sz w:val="24"/>
        </w:rPr>
        <w:t>1.4</w:t>
      </w:r>
      <w:r>
        <w:rPr>
          <w:rFonts w:hint="eastAsia"/>
          <w:sz w:val="24"/>
        </w:rPr>
        <w:t>招标工程量清单应以单位项工程为单位编制，应由分部分项工程项目清单、措施项目清单、其他项目清单、税金项目清单组成。单位工程工程量清单，是单项工程工程量清单的组成部分，单项工程工程量清单是建设项目工程量清单的组成部分。</w:t>
      </w:r>
    </w:p>
    <w:p w14:paraId="589ED6D2">
      <w:pPr>
        <w:widowControl w:val="0"/>
        <w:spacing w:line="310" w:lineRule="exact"/>
        <w:textAlignment w:val="auto"/>
        <w:rPr>
          <w:sz w:val="24"/>
        </w:rPr>
      </w:pPr>
      <w:r>
        <w:rPr>
          <w:sz w:val="24"/>
        </w:rPr>
        <w:t>1.5</w:t>
      </w:r>
      <w:r>
        <w:rPr>
          <w:rFonts w:hint="eastAsia"/>
          <w:sz w:val="24"/>
        </w:rPr>
        <w:t>编制招标工程量清单应依据：</w:t>
      </w:r>
    </w:p>
    <w:p w14:paraId="5851001C">
      <w:pPr>
        <w:widowControl w:val="0"/>
        <w:spacing w:line="310" w:lineRule="exact"/>
        <w:textAlignment w:val="auto"/>
        <w:rPr>
          <w:sz w:val="24"/>
        </w:rPr>
      </w:pPr>
      <w:r>
        <w:rPr>
          <w:sz w:val="24"/>
        </w:rPr>
        <w:t>1.5.1</w:t>
      </w:r>
      <w:r>
        <w:rPr>
          <w:rFonts w:hint="eastAsia"/>
          <w:sz w:val="24"/>
        </w:rPr>
        <w:t>《建设工程工程量清单计价规范》</w:t>
      </w:r>
      <w:r>
        <w:rPr>
          <w:sz w:val="24"/>
        </w:rPr>
        <w:t>(GB50500-2013)</w:t>
      </w:r>
      <w:r>
        <w:rPr>
          <w:rFonts w:hint="eastAsia"/>
          <w:sz w:val="24"/>
        </w:rPr>
        <w:t>等相关工程的国家计量规范；</w:t>
      </w:r>
    </w:p>
    <w:p w14:paraId="40F1C0AD">
      <w:pPr>
        <w:widowControl w:val="0"/>
        <w:spacing w:line="310" w:lineRule="exact"/>
        <w:textAlignment w:val="auto"/>
        <w:rPr>
          <w:sz w:val="24"/>
        </w:rPr>
      </w:pPr>
      <w:r>
        <w:rPr>
          <w:sz w:val="24"/>
        </w:rPr>
        <w:t>1.5.2</w:t>
      </w:r>
      <w:r>
        <w:rPr>
          <w:rFonts w:hint="eastAsia"/>
          <w:sz w:val="24"/>
        </w:rPr>
        <w:t>国家或省级、行业建设主管部门颁发的计价办法；</w:t>
      </w:r>
    </w:p>
    <w:p w14:paraId="1503036B">
      <w:pPr>
        <w:widowControl w:val="0"/>
        <w:spacing w:line="310" w:lineRule="exact"/>
        <w:textAlignment w:val="auto"/>
        <w:rPr>
          <w:sz w:val="24"/>
        </w:rPr>
      </w:pPr>
      <w:r>
        <w:rPr>
          <w:sz w:val="24"/>
        </w:rPr>
        <w:t>1.5.3</w:t>
      </w:r>
      <w:r>
        <w:rPr>
          <w:rFonts w:hint="eastAsia"/>
          <w:sz w:val="24"/>
        </w:rPr>
        <w:t>建设工程设计文件及相关资料；</w:t>
      </w:r>
    </w:p>
    <w:p w14:paraId="62A5D6BE">
      <w:pPr>
        <w:widowControl w:val="0"/>
        <w:spacing w:line="310" w:lineRule="exact"/>
        <w:textAlignment w:val="auto"/>
        <w:rPr>
          <w:sz w:val="24"/>
        </w:rPr>
      </w:pPr>
      <w:r>
        <w:rPr>
          <w:sz w:val="24"/>
        </w:rPr>
        <w:t>1.5.4</w:t>
      </w:r>
      <w:r>
        <w:rPr>
          <w:rFonts w:hint="eastAsia"/>
          <w:sz w:val="24"/>
        </w:rPr>
        <w:t>与建设工程有关的标准、规范、技术资料；</w:t>
      </w:r>
    </w:p>
    <w:p w14:paraId="508E5D5F">
      <w:pPr>
        <w:widowControl w:val="0"/>
        <w:spacing w:line="310" w:lineRule="exact"/>
        <w:textAlignment w:val="auto"/>
        <w:rPr>
          <w:sz w:val="24"/>
        </w:rPr>
      </w:pPr>
      <w:r>
        <w:rPr>
          <w:sz w:val="24"/>
        </w:rPr>
        <w:t>1.5.5</w:t>
      </w:r>
      <w:r>
        <w:rPr>
          <w:rFonts w:hint="eastAsia"/>
          <w:sz w:val="24"/>
        </w:rPr>
        <w:t>拟定的招标文件；</w:t>
      </w:r>
    </w:p>
    <w:p w14:paraId="6D3F38D5">
      <w:pPr>
        <w:widowControl w:val="0"/>
        <w:spacing w:line="310" w:lineRule="exact"/>
        <w:textAlignment w:val="auto"/>
        <w:rPr>
          <w:sz w:val="24"/>
        </w:rPr>
      </w:pPr>
      <w:r>
        <w:rPr>
          <w:sz w:val="24"/>
        </w:rPr>
        <w:t>1.5.6</w:t>
      </w:r>
      <w:r>
        <w:rPr>
          <w:rFonts w:hint="eastAsia"/>
          <w:sz w:val="24"/>
        </w:rPr>
        <w:t>施工现场情况、地质水文资料、工程特点及常规施工方案；</w:t>
      </w:r>
    </w:p>
    <w:p w14:paraId="30E7E43E">
      <w:pPr>
        <w:widowControl w:val="0"/>
        <w:spacing w:line="310" w:lineRule="exact"/>
        <w:textAlignment w:val="auto"/>
        <w:rPr>
          <w:sz w:val="24"/>
        </w:rPr>
      </w:pPr>
      <w:r>
        <w:rPr>
          <w:sz w:val="24"/>
        </w:rPr>
        <w:t>1.5.7</w:t>
      </w:r>
      <w:r>
        <w:rPr>
          <w:rFonts w:hint="eastAsia"/>
          <w:sz w:val="24"/>
        </w:rPr>
        <w:t>其他相关资料。</w:t>
      </w:r>
    </w:p>
    <w:p w14:paraId="10F8168F">
      <w:pPr>
        <w:widowControl w:val="0"/>
        <w:spacing w:line="360" w:lineRule="auto"/>
        <w:textAlignment w:val="auto"/>
        <w:rPr>
          <w:rFonts w:eastAsia="黑体"/>
          <w:sz w:val="36"/>
          <w:szCs w:val="36"/>
        </w:rPr>
      </w:pPr>
      <w:bookmarkStart w:id="773" w:name="_Toc22467"/>
      <w:r>
        <w:rPr>
          <w:rFonts w:hint="eastAsia" w:eastAsia="黑体"/>
          <w:sz w:val="36"/>
          <w:szCs w:val="36"/>
        </w:rPr>
        <w:t>二、发包人提供材料和工程设备</w:t>
      </w:r>
      <w:bookmarkEnd w:id="773"/>
    </w:p>
    <w:p w14:paraId="2C5D20AA">
      <w:pPr>
        <w:widowControl w:val="0"/>
        <w:spacing w:line="310" w:lineRule="exact"/>
        <w:textAlignment w:val="auto"/>
        <w:rPr>
          <w:sz w:val="24"/>
        </w:rPr>
      </w:pPr>
      <w:r>
        <w:rPr>
          <w:sz w:val="24"/>
        </w:rPr>
        <w:t>2.1</w:t>
      </w:r>
      <w:r>
        <w:rPr>
          <w:rFonts w:hint="eastAsia"/>
          <w:sz w:val="24"/>
        </w:rPr>
        <w:t>发包人提供的材料和工程设备（以下简称甲供材料），应填写《发包人提供材料和工程设备一览表》，写明甲供材料的名称、规格、数量、单价、交货方式、交货地点等。</w:t>
      </w:r>
    </w:p>
    <w:p w14:paraId="495A4687">
      <w:pPr>
        <w:widowControl w:val="0"/>
        <w:spacing w:line="310" w:lineRule="exact"/>
        <w:textAlignment w:val="auto"/>
        <w:rPr>
          <w:sz w:val="24"/>
        </w:rPr>
      </w:pPr>
      <w:r>
        <w:rPr>
          <w:rFonts w:hint="eastAsia"/>
          <w:sz w:val="24"/>
        </w:rPr>
        <w:t>承包人投标时，甲供材料单价应计入相应项目的综合单价中，签约后，发包人应按合同约定和扣除甲供材料款，不予支付。</w:t>
      </w:r>
    </w:p>
    <w:p w14:paraId="3F1FBA8F">
      <w:pPr>
        <w:widowControl w:val="0"/>
        <w:spacing w:line="310" w:lineRule="exact"/>
        <w:textAlignment w:val="auto"/>
        <w:rPr>
          <w:sz w:val="24"/>
        </w:rPr>
      </w:pPr>
      <w:r>
        <w:rPr>
          <w:sz w:val="24"/>
        </w:rPr>
        <w:t>2.2</w:t>
      </w:r>
      <w:r>
        <w:rPr>
          <w:rFonts w:hint="eastAsia"/>
          <w:sz w:val="24"/>
        </w:rPr>
        <w:t>承包人应根据合同工程进度计划的安排，向发包人提交甲供材料交货的日期计划。发包人应按计划提供。</w:t>
      </w:r>
    </w:p>
    <w:p w14:paraId="3E9EA660">
      <w:pPr>
        <w:widowControl w:val="0"/>
        <w:spacing w:line="310" w:lineRule="exact"/>
        <w:textAlignment w:val="auto"/>
        <w:rPr>
          <w:sz w:val="24"/>
        </w:rPr>
      </w:pPr>
      <w:r>
        <w:rPr>
          <w:sz w:val="24"/>
        </w:rPr>
        <w:t>2.3</w:t>
      </w:r>
      <w:r>
        <w:rPr>
          <w:rFonts w:hint="eastAsia"/>
          <w:sz w:val="24"/>
        </w:rPr>
        <w:t>发包人提供的甲供材料如规格、数量或质量不符合合同要求，或由于发包人原因发生交货日期延误、交货地点及交货方式变更等情况的，发包人应承担由此增加的费用和（或）工期延误，并应向承包人支付合理利润。</w:t>
      </w:r>
    </w:p>
    <w:p w14:paraId="1D97216A">
      <w:pPr>
        <w:widowControl w:val="0"/>
        <w:spacing w:line="310" w:lineRule="exact"/>
        <w:textAlignment w:val="auto"/>
        <w:rPr>
          <w:sz w:val="24"/>
        </w:rPr>
      </w:pPr>
      <w:r>
        <w:rPr>
          <w:sz w:val="24"/>
        </w:rPr>
        <w:t>2.4</w:t>
      </w:r>
      <w:r>
        <w:rPr>
          <w:rFonts w:hint="eastAsia"/>
          <w:sz w:val="24"/>
        </w:rPr>
        <w:t>发承包双方对甲供材料的数量发生争议不能达成一致的，应按照相关工程的计价定额同类项目规定的材料消耗量计算。</w:t>
      </w:r>
    </w:p>
    <w:p w14:paraId="321B88D5">
      <w:pPr>
        <w:widowControl w:val="0"/>
        <w:spacing w:line="310" w:lineRule="exact"/>
        <w:textAlignment w:val="auto"/>
        <w:rPr>
          <w:sz w:val="24"/>
        </w:rPr>
      </w:pPr>
      <w:r>
        <w:rPr>
          <w:sz w:val="24"/>
        </w:rPr>
        <w:t>2.5</w:t>
      </w:r>
      <w:r>
        <w:rPr>
          <w:rFonts w:hint="eastAsia"/>
          <w:sz w:val="24"/>
        </w:rPr>
        <w:t>若发包人要求承包人采购已在招标文件中确定为甲供材料的，材料价格应由发承包双方根据市场调查确定，并应另行签订补充协议。</w:t>
      </w:r>
    </w:p>
    <w:p w14:paraId="475EC916">
      <w:pPr>
        <w:widowControl w:val="0"/>
        <w:spacing w:line="360" w:lineRule="auto"/>
        <w:textAlignment w:val="auto"/>
        <w:rPr>
          <w:rFonts w:eastAsia="黑体"/>
          <w:sz w:val="36"/>
          <w:szCs w:val="36"/>
        </w:rPr>
      </w:pPr>
      <w:r>
        <w:rPr>
          <w:rFonts w:hint="eastAsia" w:eastAsia="黑体"/>
          <w:sz w:val="36"/>
          <w:szCs w:val="36"/>
        </w:rPr>
        <w:t>三、工程量清单的编制应符合下列规定</w:t>
      </w:r>
    </w:p>
    <w:p w14:paraId="35C73A46">
      <w:pPr>
        <w:widowControl w:val="0"/>
        <w:spacing w:line="310" w:lineRule="exact"/>
        <w:textAlignment w:val="auto"/>
        <w:rPr>
          <w:sz w:val="24"/>
        </w:rPr>
      </w:pPr>
      <w:r>
        <w:rPr>
          <w:sz w:val="24"/>
        </w:rPr>
        <w:t>3.1</w:t>
      </w:r>
      <w:r>
        <w:rPr>
          <w:rFonts w:hint="eastAsia"/>
          <w:sz w:val="24"/>
        </w:rPr>
        <w:t>工程量编制使用表格包括：封</w:t>
      </w:r>
      <w:r>
        <w:rPr>
          <w:sz w:val="24"/>
        </w:rPr>
        <w:t>-1</w:t>
      </w:r>
      <w:r>
        <w:rPr>
          <w:rFonts w:hint="eastAsia"/>
          <w:sz w:val="24"/>
        </w:rPr>
        <w:t>、扉</w:t>
      </w:r>
      <w:r>
        <w:rPr>
          <w:sz w:val="24"/>
        </w:rPr>
        <w:t>-1</w:t>
      </w:r>
      <w:r>
        <w:rPr>
          <w:rFonts w:hint="eastAsia"/>
          <w:sz w:val="24"/>
        </w:rPr>
        <w:t>、表</w:t>
      </w:r>
      <w:r>
        <w:rPr>
          <w:sz w:val="24"/>
        </w:rPr>
        <w:t>-01</w:t>
      </w:r>
      <w:r>
        <w:rPr>
          <w:rFonts w:hint="eastAsia"/>
          <w:sz w:val="24"/>
        </w:rPr>
        <w:t>、表</w:t>
      </w:r>
      <w:r>
        <w:rPr>
          <w:sz w:val="24"/>
        </w:rPr>
        <w:t>-08</w:t>
      </w:r>
      <w:r>
        <w:rPr>
          <w:rFonts w:hint="eastAsia"/>
          <w:sz w:val="24"/>
        </w:rPr>
        <w:t>、表</w:t>
      </w:r>
      <w:r>
        <w:rPr>
          <w:sz w:val="24"/>
        </w:rPr>
        <w:t>-11</w:t>
      </w:r>
      <w:r>
        <w:rPr>
          <w:rFonts w:hint="eastAsia"/>
          <w:sz w:val="24"/>
        </w:rPr>
        <w:t>、表</w:t>
      </w:r>
      <w:r>
        <w:rPr>
          <w:sz w:val="24"/>
        </w:rPr>
        <w:t>-12</w:t>
      </w:r>
      <w:r>
        <w:rPr>
          <w:rFonts w:hint="eastAsia"/>
          <w:sz w:val="24"/>
        </w:rPr>
        <w:t>（不含表</w:t>
      </w:r>
      <w:r>
        <w:rPr>
          <w:sz w:val="24"/>
        </w:rPr>
        <w:t>-12-6~</w:t>
      </w:r>
      <w:r>
        <w:rPr>
          <w:rFonts w:hint="eastAsia"/>
          <w:sz w:val="24"/>
        </w:rPr>
        <w:t>表</w:t>
      </w:r>
      <w:r>
        <w:rPr>
          <w:sz w:val="24"/>
        </w:rPr>
        <w:t>-12-8</w:t>
      </w:r>
      <w:r>
        <w:rPr>
          <w:rFonts w:hint="eastAsia"/>
          <w:sz w:val="24"/>
        </w:rPr>
        <w:t>）、表</w:t>
      </w:r>
      <w:r>
        <w:rPr>
          <w:sz w:val="24"/>
        </w:rPr>
        <w:t>-13</w:t>
      </w:r>
      <w:r>
        <w:rPr>
          <w:rFonts w:hint="eastAsia"/>
          <w:sz w:val="24"/>
        </w:rPr>
        <w:t>、表</w:t>
      </w:r>
      <w:r>
        <w:rPr>
          <w:sz w:val="24"/>
        </w:rPr>
        <w:t>-20</w:t>
      </w:r>
      <w:r>
        <w:rPr>
          <w:rFonts w:hint="eastAsia"/>
          <w:sz w:val="24"/>
        </w:rPr>
        <w:t>。</w:t>
      </w:r>
    </w:p>
    <w:p w14:paraId="28235BEB">
      <w:pPr>
        <w:widowControl w:val="0"/>
        <w:spacing w:line="310" w:lineRule="exact"/>
        <w:textAlignment w:val="auto"/>
        <w:rPr>
          <w:sz w:val="24"/>
        </w:rPr>
      </w:pPr>
      <w:r>
        <w:rPr>
          <w:sz w:val="24"/>
        </w:rPr>
        <w:t>3.2</w:t>
      </w:r>
      <w:r>
        <w:rPr>
          <w:rFonts w:hint="eastAsia"/>
          <w:sz w:val="24"/>
        </w:rPr>
        <w:t>扉页应按规定的内容填写、签字、盖章，由造价员编制的工程量清单应有负责审核的造价工程师签字、盖章。受委托编制的工程量清单，应有造价工程师签字、盖章以及工程造价咨询人盖章。</w:t>
      </w:r>
      <w:r>
        <w:rPr>
          <w:sz w:val="24"/>
        </w:rPr>
        <w:t xml:space="preserve"> </w:t>
      </w:r>
    </w:p>
    <w:p w14:paraId="1AA41C68">
      <w:pPr>
        <w:widowControl w:val="0"/>
        <w:spacing w:line="310" w:lineRule="exact"/>
        <w:textAlignment w:val="auto"/>
        <w:rPr>
          <w:sz w:val="24"/>
        </w:rPr>
      </w:pPr>
      <w:r>
        <w:rPr>
          <w:sz w:val="24"/>
        </w:rPr>
        <w:t>3.3</w:t>
      </w:r>
      <w:r>
        <w:rPr>
          <w:rFonts w:hint="eastAsia"/>
          <w:sz w:val="24"/>
        </w:rPr>
        <w:t>总说明应按下列内容填写：</w:t>
      </w:r>
    </w:p>
    <w:p w14:paraId="7D489379">
      <w:pPr>
        <w:widowControl w:val="0"/>
        <w:spacing w:line="310" w:lineRule="exact"/>
        <w:textAlignment w:val="auto"/>
        <w:rPr>
          <w:sz w:val="24"/>
        </w:rPr>
      </w:pPr>
      <w:r>
        <w:rPr>
          <w:sz w:val="24"/>
        </w:rPr>
        <w:t>3.3.1</w:t>
      </w:r>
      <w:r>
        <w:rPr>
          <w:rFonts w:hint="eastAsia"/>
          <w:sz w:val="24"/>
        </w:rPr>
        <w:t>工程概况：建设规模、工程特征、计划工期、施工现场实际情况、自然地理条件、环境保护要求等；</w:t>
      </w:r>
    </w:p>
    <w:p w14:paraId="7D809CC0">
      <w:pPr>
        <w:widowControl w:val="0"/>
        <w:spacing w:line="310" w:lineRule="exact"/>
        <w:textAlignment w:val="auto"/>
        <w:rPr>
          <w:sz w:val="24"/>
        </w:rPr>
      </w:pPr>
      <w:r>
        <w:rPr>
          <w:sz w:val="24"/>
        </w:rPr>
        <w:t>3.3.2</w:t>
      </w:r>
      <w:r>
        <w:rPr>
          <w:rFonts w:hint="eastAsia"/>
          <w:sz w:val="24"/>
        </w:rPr>
        <w:t>工程招标和专业工程发包范围；</w:t>
      </w:r>
    </w:p>
    <w:p w14:paraId="5DE4FB9E">
      <w:pPr>
        <w:widowControl w:val="0"/>
        <w:spacing w:line="310" w:lineRule="exact"/>
        <w:textAlignment w:val="auto"/>
        <w:rPr>
          <w:sz w:val="24"/>
        </w:rPr>
      </w:pPr>
      <w:r>
        <w:rPr>
          <w:sz w:val="24"/>
        </w:rPr>
        <w:t>3.3.3</w:t>
      </w:r>
      <w:r>
        <w:rPr>
          <w:rFonts w:hint="eastAsia"/>
          <w:sz w:val="24"/>
        </w:rPr>
        <w:t>工程量清单编制依据；</w:t>
      </w:r>
    </w:p>
    <w:p w14:paraId="401582E4">
      <w:pPr>
        <w:widowControl w:val="0"/>
        <w:spacing w:line="310" w:lineRule="exact"/>
        <w:textAlignment w:val="auto"/>
        <w:rPr>
          <w:sz w:val="24"/>
        </w:rPr>
      </w:pPr>
      <w:r>
        <w:rPr>
          <w:sz w:val="24"/>
        </w:rPr>
        <w:t>3.3.4</w:t>
      </w:r>
      <w:r>
        <w:rPr>
          <w:rFonts w:hint="eastAsia"/>
          <w:sz w:val="24"/>
        </w:rPr>
        <w:t>工程质量、材料、施工等的特殊要求；</w:t>
      </w:r>
    </w:p>
    <w:p w14:paraId="305B260E">
      <w:pPr>
        <w:widowControl w:val="0"/>
        <w:spacing w:line="310" w:lineRule="exact"/>
        <w:textAlignment w:val="auto"/>
        <w:rPr>
          <w:sz w:val="24"/>
        </w:rPr>
      </w:pPr>
      <w:r>
        <w:rPr>
          <w:sz w:val="24"/>
        </w:rPr>
        <w:t>3.3.5</w:t>
      </w:r>
      <w:r>
        <w:rPr>
          <w:rFonts w:hint="eastAsia"/>
          <w:sz w:val="24"/>
        </w:rPr>
        <w:t>其他需要说明的问题。</w:t>
      </w:r>
    </w:p>
    <w:p w14:paraId="6FB0F05A">
      <w:pPr>
        <w:pStyle w:val="183"/>
        <w:rPr>
          <w:rStyle w:val="95"/>
          <w:rFonts w:ascii="Times New Roman" w:hAnsi="Times New Roman"/>
        </w:rPr>
      </w:pPr>
    </w:p>
    <w:p w14:paraId="3B152B00">
      <w:pPr>
        <w:pStyle w:val="183"/>
        <w:rPr>
          <w:rStyle w:val="95"/>
          <w:rFonts w:ascii="Times New Roman" w:hAnsi="Times New Roman"/>
        </w:rPr>
      </w:pPr>
    </w:p>
    <w:p w14:paraId="1910AAB0">
      <w:pPr>
        <w:pStyle w:val="183"/>
        <w:rPr>
          <w:rStyle w:val="95"/>
          <w:rFonts w:ascii="Times New Roman" w:hAnsi="Times New Roman"/>
        </w:rPr>
      </w:pPr>
    </w:p>
    <w:p w14:paraId="7D8849F6">
      <w:pPr>
        <w:pStyle w:val="183"/>
        <w:rPr>
          <w:rStyle w:val="95"/>
          <w:rFonts w:ascii="Times New Roman" w:hAnsi="Times New Roman"/>
        </w:rPr>
      </w:pPr>
    </w:p>
    <w:p w14:paraId="4FAB7C37">
      <w:pPr>
        <w:pStyle w:val="183"/>
        <w:rPr>
          <w:rStyle w:val="95"/>
          <w:rFonts w:ascii="Times New Roman" w:hAnsi="Times New Roman"/>
        </w:rPr>
      </w:pPr>
    </w:p>
    <w:p w14:paraId="16DA14CA">
      <w:pPr>
        <w:pStyle w:val="183"/>
        <w:rPr>
          <w:rStyle w:val="95"/>
          <w:rFonts w:ascii="Times New Roman" w:hAnsi="Times New Roman"/>
        </w:rPr>
      </w:pPr>
    </w:p>
    <w:p w14:paraId="3C38EC92">
      <w:pPr>
        <w:pStyle w:val="183"/>
        <w:rPr>
          <w:rStyle w:val="95"/>
          <w:rFonts w:ascii="Times New Roman" w:hAnsi="Times New Roman"/>
        </w:rPr>
      </w:pPr>
    </w:p>
    <w:p w14:paraId="5C9ACEC7">
      <w:pPr>
        <w:pStyle w:val="183"/>
        <w:rPr>
          <w:rStyle w:val="95"/>
          <w:rFonts w:ascii="Times New Roman" w:hAnsi="Times New Roman"/>
        </w:rPr>
      </w:pPr>
    </w:p>
    <w:p w14:paraId="1144B5C0">
      <w:pPr>
        <w:pStyle w:val="183"/>
        <w:rPr>
          <w:rStyle w:val="95"/>
          <w:rFonts w:ascii="Times New Roman" w:hAnsi="Times New Roman"/>
        </w:rPr>
      </w:pPr>
    </w:p>
    <w:p w14:paraId="14F1297F">
      <w:pPr>
        <w:pStyle w:val="183"/>
        <w:rPr>
          <w:rStyle w:val="95"/>
          <w:rFonts w:ascii="Times New Roman" w:hAnsi="Times New Roman"/>
        </w:rPr>
      </w:pPr>
    </w:p>
    <w:p w14:paraId="5B736083">
      <w:pPr>
        <w:pStyle w:val="183"/>
        <w:rPr>
          <w:rStyle w:val="95"/>
          <w:rFonts w:ascii="Times New Roman" w:hAnsi="Times New Roman"/>
        </w:rPr>
      </w:pPr>
    </w:p>
    <w:p w14:paraId="14A4E21C">
      <w:pPr>
        <w:pStyle w:val="183"/>
        <w:rPr>
          <w:rStyle w:val="95"/>
          <w:rFonts w:ascii="Times New Roman" w:hAnsi="Times New Roman"/>
        </w:rPr>
      </w:pPr>
    </w:p>
    <w:p w14:paraId="5DE04945">
      <w:pPr>
        <w:pStyle w:val="183"/>
        <w:jc w:val="center"/>
        <w:rPr>
          <w:rStyle w:val="95"/>
          <w:rFonts w:ascii="Times New Roman" w:hAnsi="Times New Roman"/>
          <w:b/>
          <w:bCs/>
          <w:sz w:val="44"/>
          <w:szCs w:val="44"/>
        </w:rPr>
      </w:pPr>
    </w:p>
    <w:p w14:paraId="3FB85B5D">
      <w:pPr>
        <w:pStyle w:val="183"/>
        <w:jc w:val="center"/>
        <w:rPr>
          <w:rStyle w:val="95"/>
          <w:rFonts w:ascii="Times New Roman" w:hAnsi="Times New Roman"/>
          <w:b/>
          <w:bCs/>
          <w:sz w:val="44"/>
          <w:szCs w:val="44"/>
        </w:rPr>
      </w:pPr>
    </w:p>
    <w:p w14:paraId="75AF231D">
      <w:pPr>
        <w:pStyle w:val="183"/>
        <w:jc w:val="center"/>
        <w:rPr>
          <w:rStyle w:val="95"/>
          <w:rFonts w:ascii="Times New Roman" w:hAnsi="Times New Roman"/>
          <w:b/>
          <w:bCs/>
          <w:sz w:val="44"/>
          <w:szCs w:val="44"/>
        </w:rPr>
      </w:pPr>
    </w:p>
    <w:p w14:paraId="3FCBE5C8">
      <w:pPr>
        <w:pStyle w:val="183"/>
        <w:jc w:val="center"/>
        <w:rPr>
          <w:rStyle w:val="95"/>
          <w:rFonts w:ascii="Times New Roman" w:hAnsi="Times New Roman"/>
          <w:b/>
          <w:bCs/>
          <w:sz w:val="44"/>
          <w:szCs w:val="44"/>
        </w:rPr>
      </w:pPr>
    </w:p>
    <w:p w14:paraId="5352C656">
      <w:pPr>
        <w:widowControl w:val="0"/>
        <w:spacing w:line="240" w:lineRule="atLeast"/>
        <w:jc w:val="center"/>
        <w:outlineLvl w:val="0"/>
        <w:rPr>
          <w:rStyle w:val="95"/>
          <w:b/>
          <w:bCs/>
          <w:sz w:val="44"/>
          <w:szCs w:val="44"/>
        </w:rPr>
      </w:pPr>
    </w:p>
    <w:p w14:paraId="615C4E05">
      <w:pPr>
        <w:widowControl w:val="0"/>
        <w:spacing w:line="240" w:lineRule="atLeast"/>
        <w:jc w:val="center"/>
        <w:outlineLvl w:val="0"/>
        <w:rPr>
          <w:rStyle w:val="95"/>
          <w:b/>
          <w:bCs/>
          <w:sz w:val="44"/>
          <w:szCs w:val="44"/>
        </w:rPr>
      </w:pPr>
    </w:p>
    <w:p w14:paraId="43B9A430">
      <w:pPr>
        <w:widowControl w:val="0"/>
        <w:spacing w:line="240" w:lineRule="atLeast"/>
        <w:jc w:val="center"/>
        <w:outlineLvl w:val="0"/>
        <w:rPr>
          <w:rStyle w:val="95"/>
          <w:b/>
          <w:bCs/>
          <w:sz w:val="44"/>
          <w:szCs w:val="44"/>
        </w:rPr>
      </w:pPr>
    </w:p>
    <w:p w14:paraId="1DE95F23">
      <w:pPr>
        <w:widowControl w:val="0"/>
        <w:spacing w:line="240" w:lineRule="atLeast"/>
        <w:jc w:val="center"/>
        <w:outlineLvl w:val="0"/>
        <w:rPr>
          <w:rStyle w:val="95"/>
          <w:b/>
          <w:bCs/>
          <w:sz w:val="44"/>
          <w:szCs w:val="44"/>
        </w:rPr>
      </w:pPr>
    </w:p>
    <w:p w14:paraId="54F89BB7">
      <w:pPr>
        <w:widowControl w:val="0"/>
        <w:spacing w:line="240" w:lineRule="atLeast"/>
        <w:jc w:val="center"/>
        <w:outlineLvl w:val="0"/>
        <w:rPr>
          <w:rStyle w:val="95"/>
          <w:b/>
          <w:bCs/>
          <w:sz w:val="44"/>
          <w:szCs w:val="44"/>
        </w:rPr>
      </w:pPr>
    </w:p>
    <w:p w14:paraId="5ADEEEFD">
      <w:pPr>
        <w:widowControl w:val="0"/>
        <w:spacing w:line="240" w:lineRule="atLeast"/>
        <w:jc w:val="center"/>
        <w:outlineLvl w:val="0"/>
        <w:rPr>
          <w:rStyle w:val="95"/>
          <w:b/>
          <w:bCs/>
          <w:sz w:val="44"/>
          <w:szCs w:val="44"/>
        </w:rPr>
      </w:pPr>
    </w:p>
    <w:p w14:paraId="1C83D650">
      <w:pPr>
        <w:widowControl w:val="0"/>
        <w:spacing w:line="240" w:lineRule="atLeast"/>
        <w:jc w:val="center"/>
        <w:outlineLvl w:val="0"/>
        <w:rPr>
          <w:rStyle w:val="95"/>
          <w:b/>
          <w:bCs/>
          <w:sz w:val="44"/>
          <w:szCs w:val="44"/>
        </w:rPr>
      </w:pPr>
    </w:p>
    <w:p w14:paraId="67E99023">
      <w:pPr>
        <w:widowControl w:val="0"/>
        <w:spacing w:line="240" w:lineRule="atLeast"/>
        <w:jc w:val="center"/>
        <w:outlineLvl w:val="0"/>
        <w:rPr>
          <w:rStyle w:val="95"/>
          <w:b/>
          <w:bCs/>
          <w:sz w:val="44"/>
          <w:szCs w:val="44"/>
        </w:rPr>
      </w:pPr>
    </w:p>
    <w:p w14:paraId="4B2BD55A">
      <w:pPr>
        <w:widowControl w:val="0"/>
        <w:spacing w:line="240" w:lineRule="atLeast"/>
        <w:jc w:val="center"/>
        <w:outlineLvl w:val="0"/>
        <w:rPr>
          <w:rStyle w:val="95"/>
          <w:b/>
          <w:bCs/>
          <w:sz w:val="44"/>
          <w:szCs w:val="44"/>
        </w:rPr>
      </w:pPr>
    </w:p>
    <w:p w14:paraId="58A3BF57">
      <w:pPr>
        <w:widowControl w:val="0"/>
        <w:spacing w:line="240" w:lineRule="atLeast"/>
        <w:jc w:val="center"/>
        <w:outlineLvl w:val="0"/>
        <w:rPr>
          <w:rStyle w:val="95"/>
          <w:b/>
          <w:bCs/>
          <w:sz w:val="44"/>
          <w:szCs w:val="44"/>
        </w:rPr>
      </w:pPr>
    </w:p>
    <w:p w14:paraId="16570384">
      <w:pPr>
        <w:widowControl w:val="0"/>
        <w:spacing w:line="240" w:lineRule="atLeast"/>
        <w:jc w:val="center"/>
        <w:outlineLvl w:val="0"/>
        <w:rPr>
          <w:rStyle w:val="95"/>
          <w:b/>
          <w:bCs/>
          <w:sz w:val="44"/>
          <w:szCs w:val="44"/>
        </w:rPr>
      </w:pPr>
    </w:p>
    <w:p w14:paraId="503F2C24">
      <w:pPr>
        <w:widowControl w:val="0"/>
        <w:spacing w:line="240" w:lineRule="atLeast"/>
        <w:jc w:val="center"/>
        <w:outlineLvl w:val="0"/>
        <w:rPr>
          <w:rStyle w:val="95"/>
          <w:b/>
          <w:bCs/>
          <w:sz w:val="44"/>
          <w:szCs w:val="44"/>
        </w:rPr>
      </w:pPr>
    </w:p>
    <w:p w14:paraId="09BE335C">
      <w:pPr>
        <w:pStyle w:val="183"/>
        <w:rPr>
          <w:rStyle w:val="95"/>
          <w:rFonts w:ascii="Times New Roman" w:hAnsi="Times New Roman"/>
        </w:rPr>
      </w:pPr>
    </w:p>
    <w:p w14:paraId="1A168169">
      <w:pPr>
        <w:pStyle w:val="183"/>
        <w:rPr>
          <w:rStyle w:val="95"/>
          <w:rFonts w:ascii="Times New Roman" w:hAnsi="Times New Roman"/>
        </w:rPr>
      </w:pPr>
    </w:p>
    <w:p w14:paraId="5B8E810F">
      <w:pPr>
        <w:pStyle w:val="183"/>
        <w:rPr>
          <w:rStyle w:val="95"/>
          <w:rFonts w:ascii="Times New Roman" w:hAnsi="Times New Roman"/>
        </w:rPr>
      </w:pPr>
    </w:p>
    <w:p w14:paraId="01BC51F3">
      <w:pPr>
        <w:pStyle w:val="183"/>
        <w:rPr>
          <w:rStyle w:val="95"/>
          <w:rFonts w:ascii="Times New Roman" w:hAnsi="Times New Roman"/>
        </w:rPr>
      </w:pPr>
    </w:p>
    <w:p w14:paraId="10CE34FA">
      <w:pPr>
        <w:pStyle w:val="183"/>
        <w:rPr>
          <w:rStyle w:val="95"/>
          <w:rFonts w:ascii="Times New Roman" w:hAnsi="Times New Roman"/>
        </w:rPr>
      </w:pPr>
    </w:p>
    <w:p w14:paraId="70732B10">
      <w:pPr>
        <w:pStyle w:val="183"/>
        <w:rPr>
          <w:rStyle w:val="95"/>
          <w:rFonts w:ascii="Times New Roman" w:hAnsi="Times New Roman"/>
        </w:rPr>
      </w:pPr>
    </w:p>
    <w:p w14:paraId="074D9500">
      <w:pPr>
        <w:pStyle w:val="183"/>
        <w:rPr>
          <w:rStyle w:val="95"/>
          <w:rFonts w:ascii="Times New Roman" w:hAnsi="Times New Roman"/>
        </w:rPr>
      </w:pPr>
    </w:p>
    <w:p w14:paraId="61A634CE">
      <w:pPr>
        <w:pStyle w:val="183"/>
        <w:rPr>
          <w:rStyle w:val="95"/>
          <w:rFonts w:ascii="Times New Roman" w:hAnsi="Times New Roman"/>
        </w:rPr>
      </w:pPr>
    </w:p>
    <w:p w14:paraId="15E1A344">
      <w:pPr>
        <w:pStyle w:val="183"/>
        <w:rPr>
          <w:rStyle w:val="95"/>
          <w:rFonts w:ascii="Times New Roman" w:hAnsi="Times New Roman"/>
        </w:rPr>
      </w:pPr>
    </w:p>
    <w:p w14:paraId="4B2C1070">
      <w:pPr>
        <w:pStyle w:val="183"/>
        <w:rPr>
          <w:rStyle w:val="95"/>
          <w:rFonts w:ascii="Times New Roman" w:hAnsi="Times New Roman"/>
        </w:rPr>
      </w:pPr>
    </w:p>
    <w:p w14:paraId="0903709A">
      <w:pPr>
        <w:pStyle w:val="183"/>
        <w:rPr>
          <w:rStyle w:val="95"/>
          <w:rFonts w:ascii="Times New Roman" w:hAnsi="Times New Roman"/>
        </w:rPr>
      </w:pPr>
    </w:p>
    <w:p w14:paraId="6C980C15">
      <w:pPr>
        <w:pStyle w:val="183"/>
        <w:rPr>
          <w:rStyle w:val="95"/>
          <w:rFonts w:ascii="Times New Roman" w:hAnsi="Times New Roman"/>
        </w:rPr>
      </w:pPr>
    </w:p>
    <w:p w14:paraId="0408D458">
      <w:pPr>
        <w:pStyle w:val="183"/>
        <w:rPr>
          <w:rStyle w:val="95"/>
          <w:rFonts w:ascii="Times New Roman" w:hAnsi="Times New Roman"/>
        </w:rPr>
      </w:pPr>
    </w:p>
    <w:p w14:paraId="239701B0">
      <w:pPr>
        <w:pStyle w:val="183"/>
        <w:jc w:val="center"/>
        <w:rPr>
          <w:rStyle w:val="95"/>
          <w:rFonts w:ascii="Times New Roman" w:hAnsi="Times New Roman"/>
          <w:b/>
          <w:bCs/>
          <w:sz w:val="44"/>
          <w:szCs w:val="44"/>
        </w:rPr>
      </w:pPr>
    </w:p>
    <w:p w14:paraId="3ABD02B1">
      <w:pPr>
        <w:pStyle w:val="183"/>
        <w:jc w:val="center"/>
        <w:rPr>
          <w:rStyle w:val="95"/>
          <w:rFonts w:ascii="Times New Roman" w:hAnsi="Times New Roman"/>
          <w:b/>
          <w:bCs/>
          <w:sz w:val="44"/>
          <w:szCs w:val="44"/>
        </w:rPr>
      </w:pPr>
    </w:p>
    <w:p w14:paraId="7548D42D">
      <w:pPr>
        <w:pStyle w:val="183"/>
        <w:jc w:val="center"/>
        <w:rPr>
          <w:rStyle w:val="95"/>
          <w:rFonts w:ascii="Times New Roman" w:hAnsi="Times New Roman"/>
          <w:b/>
          <w:bCs/>
          <w:sz w:val="44"/>
          <w:szCs w:val="44"/>
        </w:rPr>
      </w:pPr>
    </w:p>
    <w:p w14:paraId="75FD9A19">
      <w:pPr>
        <w:pStyle w:val="183"/>
        <w:jc w:val="center"/>
        <w:rPr>
          <w:rStyle w:val="95"/>
          <w:rFonts w:ascii="Times New Roman" w:hAnsi="Times New Roman"/>
          <w:b/>
          <w:bCs/>
          <w:sz w:val="44"/>
          <w:szCs w:val="44"/>
        </w:rPr>
      </w:pPr>
    </w:p>
    <w:p w14:paraId="66DBB65E">
      <w:pPr>
        <w:widowControl w:val="0"/>
        <w:spacing w:line="240" w:lineRule="atLeast"/>
        <w:jc w:val="center"/>
        <w:outlineLvl w:val="0"/>
        <w:rPr>
          <w:rFonts w:eastAsia="楷体_GB2312"/>
          <w:sz w:val="48"/>
          <w:szCs w:val="48"/>
        </w:rPr>
      </w:pPr>
      <w:r>
        <w:rPr>
          <w:rStyle w:val="95"/>
          <w:rFonts w:hint="eastAsia"/>
          <w:b/>
          <w:bCs/>
          <w:sz w:val="44"/>
          <w:szCs w:val="44"/>
        </w:rPr>
        <w:t>第四章</w:t>
      </w:r>
      <w:r>
        <w:rPr>
          <w:rStyle w:val="95"/>
          <w:b/>
          <w:bCs/>
          <w:sz w:val="44"/>
          <w:szCs w:val="44"/>
        </w:rPr>
        <w:t xml:space="preserve">  </w:t>
      </w:r>
      <w:r>
        <w:rPr>
          <w:rFonts w:hint="eastAsia"/>
          <w:b/>
          <w:bCs/>
          <w:sz w:val="44"/>
          <w:szCs w:val="44"/>
        </w:rPr>
        <w:t>招标控制价（最高投标限价）</w:t>
      </w:r>
    </w:p>
    <w:p w14:paraId="11F3D494">
      <w:pPr>
        <w:widowControl w:val="0"/>
        <w:spacing w:line="360" w:lineRule="auto"/>
        <w:textAlignment w:val="auto"/>
        <w:rPr>
          <w:rFonts w:eastAsia="黑体"/>
          <w:sz w:val="36"/>
          <w:szCs w:val="36"/>
        </w:rPr>
      </w:pPr>
    </w:p>
    <w:p w14:paraId="07C5AB4B">
      <w:pPr>
        <w:widowControl w:val="0"/>
        <w:spacing w:line="360" w:lineRule="auto"/>
        <w:textAlignment w:val="auto"/>
        <w:rPr>
          <w:rFonts w:eastAsia="黑体"/>
          <w:sz w:val="36"/>
          <w:szCs w:val="36"/>
        </w:rPr>
      </w:pPr>
    </w:p>
    <w:p w14:paraId="19A3D2F8">
      <w:pPr>
        <w:widowControl w:val="0"/>
        <w:spacing w:line="360" w:lineRule="auto"/>
        <w:textAlignment w:val="auto"/>
        <w:rPr>
          <w:rFonts w:eastAsia="黑体"/>
          <w:sz w:val="36"/>
          <w:szCs w:val="36"/>
        </w:rPr>
      </w:pPr>
    </w:p>
    <w:p w14:paraId="7E176C18">
      <w:pPr>
        <w:widowControl w:val="0"/>
        <w:spacing w:line="360" w:lineRule="auto"/>
        <w:textAlignment w:val="auto"/>
        <w:rPr>
          <w:rFonts w:eastAsia="黑体"/>
          <w:sz w:val="36"/>
          <w:szCs w:val="36"/>
        </w:rPr>
      </w:pPr>
    </w:p>
    <w:p w14:paraId="5A561322">
      <w:pPr>
        <w:widowControl w:val="0"/>
        <w:spacing w:line="360" w:lineRule="auto"/>
        <w:textAlignment w:val="auto"/>
        <w:rPr>
          <w:rFonts w:eastAsia="黑体"/>
          <w:sz w:val="36"/>
          <w:szCs w:val="36"/>
        </w:rPr>
      </w:pPr>
    </w:p>
    <w:p w14:paraId="3DBEF865">
      <w:pPr>
        <w:widowControl w:val="0"/>
        <w:spacing w:line="360" w:lineRule="auto"/>
        <w:textAlignment w:val="auto"/>
        <w:rPr>
          <w:rFonts w:eastAsia="黑体"/>
          <w:sz w:val="36"/>
          <w:szCs w:val="36"/>
        </w:rPr>
      </w:pPr>
    </w:p>
    <w:p w14:paraId="16872186">
      <w:pPr>
        <w:widowControl w:val="0"/>
        <w:spacing w:line="360" w:lineRule="auto"/>
        <w:textAlignment w:val="auto"/>
        <w:rPr>
          <w:rFonts w:eastAsia="黑体"/>
          <w:sz w:val="36"/>
          <w:szCs w:val="36"/>
        </w:rPr>
      </w:pPr>
    </w:p>
    <w:p w14:paraId="3CE7D16A">
      <w:pPr>
        <w:widowControl w:val="0"/>
        <w:spacing w:line="360" w:lineRule="auto"/>
        <w:textAlignment w:val="auto"/>
        <w:rPr>
          <w:rFonts w:eastAsia="黑体"/>
          <w:sz w:val="36"/>
          <w:szCs w:val="36"/>
        </w:rPr>
      </w:pPr>
    </w:p>
    <w:p w14:paraId="2886273F">
      <w:pPr>
        <w:widowControl w:val="0"/>
        <w:spacing w:line="360" w:lineRule="auto"/>
        <w:textAlignment w:val="auto"/>
        <w:rPr>
          <w:rFonts w:eastAsia="黑体"/>
          <w:sz w:val="36"/>
          <w:szCs w:val="36"/>
        </w:rPr>
      </w:pPr>
    </w:p>
    <w:p w14:paraId="217EA010">
      <w:pPr>
        <w:widowControl w:val="0"/>
        <w:spacing w:line="360" w:lineRule="auto"/>
        <w:textAlignment w:val="auto"/>
        <w:rPr>
          <w:rFonts w:eastAsia="黑体"/>
          <w:sz w:val="36"/>
          <w:szCs w:val="36"/>
          <w:highlight w:val="green"/>
        </w:rPr>
      </w:pPr>
    </w:p>
    <w:p w14:paraId="6B56735A">
      <w:pPr>
        <w:widowControl w:val="0"/>
        <w:spacing w:line="360" w:lineRule="auto"/>
        <w:textAlignment w:val="auto"/>
        <w:rPr>
          <w:rFonts w:eastAsia="黑体"/>
          <w:sz w:val="36"/>
          <w:szCs w:val="36"/>
          <w:highlight w:val="green"/>
        </w:rPr>
      </w:pPr>
    </w:p>
    <w:p w14:paraId="67B0BE95">
      <w:pPr>
        <w:widowControl w:val="0"/>
        <w:spacing w:line="360" w:lineRule="auto"/>
        <w:textAlignment w:val="auto"/>
        <w:rPr>
          <w:rFonts w:eastAsia="黑体"/>
          <w:sz w:val="36"/>
          <w:szCs w:val="36"/>
        </w:rPr>
      </w:pPr>
      <w:r>
        <w:rPr>
          <w:rFonts w:hint="eastAsia" w:eastAsia="黑体"/>
          <w:sz w:val="36"/>
          <w:szCs w:val="36"/>
        </w:rPr>
        <w:t>一、一般规定</w:t>
      </w:r>
    </w:p>
    <w:p w14:paraId="5ABE9D43">
      <w:pPr>
        <w:widowControl w:val="0"/>
        <w:spacing w:line="310" w:lineRule="exact"/>
        <w:textAlignment w:val="auto"/>
        <w:rPr>
          <w:sz w:val="24"/>
        </w:rPr>
      </w:pPr>
      <w:r>
        <w:rPr>
          <w:sz w:val="24"/>
        </w:rPr>
        <w:t>1.1</w:t>
      </w:r>
      <w:r>
        <w:rPr>
          <w:rFonts w:hint="eastAsia"/>
          <w:sz w:val="24"/>
        </w:rPr>
        <w:t>国有资金投资的建设工程招标，招标人必须编制招标控制价。</w:t>
      </w:r>
    </w:p>
    <w:p w14:paraId="42AB8D24">
      <w:pPr>
        <w:widowControl w:val="0"/>
        <w:spacing w:line="310" w:lineRule="exact"/>
        <w:textAlignment w:val="auto"/>
        <w:rPr>
          <w:sz w:val="24"/>
        </w:rPr>
      </w:pPr>
      <w:r>
        <w:rPr>
          <w:sz w:val="24"/>
        </w:rPr>
        <w:t>1.2</w:t>
      </w:r>
      <w:r>
        <w:rPr>
          <w:rFonts w:hint="eastAsia"/>
          <w:sz w:val="24"/>
        </w:rPr>
        <w:t>招标控制价应由具有编制能力的招标人或受其委托具有相应资质的工程造价咨询人编制和复核。</w:t>
      </w:r>
    </w:p>
    <w:p w14:paraId="08F9EF63">
      <w:pPr>
        <w:widowControl w:val="0"/>
        <w:spacing w:line="310" w:lineRule="exact"/>
        <w:textAlignment w:val="auto"/>
        <w:rPr>
          <w:sz w:val="24"/>
        </w:rPr>
      </w:pPr>
      <w:r>
        <w:rPr>
          <w:sz w:val="24"/>
        </w:rPr>
        <w:t>1.3</w:t>
      </w:r>
      <w:r>
        <w:rPr>
          <w:rFonts w:hint="eastAsia"/>
          <w:sz w:val="24"/>
        </w:rPr>
        <w:t>工程造价咨询人接受招标人委托编制招标控制价，不得再就同一工程接受投标人委托编制投标报价。</w:t>
      </w:r>
    </w:p>
    <w:p w14:paraId="0F08C241">
      <w:pPr>
        <w:widowControl w:val="0"/>
        <w:spacing w:line="310" w:lineRule="exact"/>
        <w:textAlignment w:val="auto"/>
        <w:rPr>
          <w:sz w:val="24"/>
        </w:rPr>
      </w:pPr>
      <w:r>
        <w:rPr>
          <w:sz w:val="24"/>
        </w:rPr>
        <w:t>1.4</w:t>
      </w:r>
      <w:r>
        <w:rPr>
          <w:rFonts w:hint="eastAsia"/>
          <w:sz w:val="24"/>
        </w:rPr>
        <w:t>招标控制价应按照</w:t>
      </w:r>
      <w:r>
        <w:rPr>
          <w:sz w:val="24"/>
        </w:rPr>
        <w:t>2013</w:t>
      </w:r>
      <w:r>
        <w:rPr>
          <w:rFonts w:hint="eastAsia"/>
          <w:sz w:val="24"/>
        </w:rPr>
        <w:t>《清单计价规范》</w:t>
      </w:r>
      <w:r>
        <w:rPr>
          <w:sz w:val="24"/>
        </w:rPr>
        <w:t>5.2.1</w:t>
      </w:r>
      <w:r>
        <w:rPr>
          <w:rFonts w:hint="eastAsia"/>
          <w:sz w:val="24"/>
        </w:rPr>
        <w:t>条的规定编制，不应上调或下浮。</w:t>
      </w:r>
    </w:p>
    <w:p w14:paraId="4B3EE0B7">
      <w:pPr>
        <w:widowControl w:val="0"/>
        <w:spacing w:line="310" w:lineRule="exact"/>
        <w:textAlignment w:val="auto"/>
        <w:rPr>
          <w:sz w:val="24"/>
        </w:rPr>
      </w:pPr>
      <w:r>
        <w:rPr>
          <w:sz w:val="24"/>
        </w:rPr>
        <w:t>1.5</w:t>
      </w:r>
      <w:r>
        <w:rPr>
          <w:rFonts w:hint="eastAsia"/>
          <w:sz w:val="24"/>
        </w:rPr>
        <w:t>当招标控制价超过批准的概算时，招标人应将其报原概算审批部门审核。</w:t>
      </w:r>
    </w:p>
    <w:p w14:paraId="2A4880E7">
      <w:pPr>
        <w:widowControl w:val="0"/>
        <w:spacing w:line="310" w:lineRule="exact"/>
        <w:textAlignment w:val="auto"/>
      </w:pPr>
      <w:r>
        <w:rPr>
          <w:sz w:val="24"/>
        </w:rPr>
        <w:t>1.6</w:t>
      </w:r>
      <w:r>
        <w:rPr>
          <w:rFonts w:hint="eastAsia"/>
          <w:sz w:val="24"/>
        </w:rPr>
        <w:t>招标人应将招标控制价及有关资料报送市工程造价管理机构备案。</w:t>
      </w:r>
    </w:p>
    <w:p w14:paraId="2C3D7281">
      <w:pPr>
        <w:widowControl w:val="0"/>
        <w:spacing w:line="360" w:lineRule="auto"/>
        <w:textAlignment w:val="auto"/>
        <w:rPr>
          <w:rFonts w:eastAsia="黑体"/>
          <w:sz w:val="36"/>
          <w:szCs w:val="36"/>
        </w:rPr>
      </w:pPr>
      <w:r>
        <w:rPr>
          <w:rFonts w:hint="eastAsia" w:eastAsia="黑体"/>
          <w:sz w:val="36"/>
          <w:szCs w:val="36"/>
        </w:rPr>
        <w:t>二、编制与复核</w:t>
      </w:r>
    </w:p>
    <w:p w14:paraId="0BC25E57">
      <w:pPr>
        <w:widowControl w:val="0"/>
        <w:spacing w:line="310" w:lineRule="exact"/>
        <w:textAlignment w:val="auto"/>
        <w:rPr>
          <w:sz w:val="24"/>
        </w:rPr>
      </w:pPr>
      <w:r>
        <w:rPr>
          <w:sz w:val="24"/>
        </w:rPr>
        <w:t>2.1</w:t>
      </w:r>
      <w:r>
        <w:rPr>
          <w:rFonts w:hint="eastAsia"/>
          <w:sz w:val="24"/>
        </w:rPr>
        <w:t>招标控制价应根据下列依据编制与复核；</w:t>
      </w:r>
    </w:p>
    <w:p w14:paraId="010E260D">
      <w:pPr>
        <w:widowControl w:val="0"/>
        <w:spacing w:line="310" w:lineRule="exact"/>
        <w:textAlignment w:val="auto"/>
        <w:rPr>
          <w:sz w:val="24"/>
        </w:rPr>
      </w:pPr>
      <w:r>
        <w:rPr>
          <w:sz w:val="24"/>
        </w:rPr>
        <w:t>2.1.12013</w:t>
      </w:r>
      <w:r>
        <w:rPr>
          <w:rFonts w:hint="eastAsia"/>
          <w:sz w:val="24"/>
        </w:rPr>
        <w:t>《清单计价规范》；</w:t>
      </w:r>
    </w:p>
    <w:p w14:paraId="3A92B3D2">
      <w:pPr>
        <w:widowControl w:val="0"/>
        <w:spacing w:line="310" w:lineRule="exact"/>
        <w:textAlignment w:val="auto"/>
        <w:rPr>
          <w:sz w:val="24"/>
        </w:rPr>
      </w:pPr>
      <w:r>
        <w:rPr>
          <w:sz w:val="24"/>
        </w:rPr>
        <w:t>2.1.2</w:t>
      </w:r>
      <w:r>
        <w:rPr>
          <w:rFonts w:hint="eastAsia"/>
          <w:sz w:val="24"/>
        </w:rPr>
        <w:t>国家或省级、行业建设主管部门颁发的计价定额和计价办法；</w:t>
      </w:r>
    </w:p>
    <w:p w14:paraId="7BDAEDDF">
      <w:pPr>
        <w:widowControl w:val="0"/>
        <w:spacing w:line="310" w:lineRule="exact"/>
        <w:textAlignment w:val="auto"/>
        <w:rPr>
          <w:sz w:val="24"/>
        </w:rPr>
      </w:pPr>
      <w:r>
        <w:rPr>
          <w:sz w:val="24"/>
        </w:rPr>
        <w:t>2.1.3</w:t>
      </w:r>
      <w:r>
        <w:rPr>
          <w:rFonts w:hint="eastAsia"/>
          <w:sz w:val="24"/>
        </w:rPr>
        <w:t>建设工程设计文件及相关资料；</w:t>
      </w:r>
    </w:p>
    <w:p w14:paraId="7C2A6DB1">
      <w:pPr>
        <w:widowControl w:val="0"/>
        <w:spacing w:line="310" w:lineRule="exact"/>
        <w:textAlignment w:val="auto"/>
        <w:rPr>
          <w:sz w:val="24"/>
        </w:rPr>
      </w:pPr>
      <w:r>
        <w:rPr>
          <w:sz w:val="24"/>
        </w:rPr>
        <w:t>2.1.4</w:t>
      </w:r>
      <w:r>
        <w:rPr>
          <w:rFonts w:hint="eastAsia"/>
          <w:sz w:val="24"/>
        </w:rPr>
        <w:t>拟定的招标文件及招标工程量清单；</w:t>
      </w:r>
    </w:p>
    <w:p w14:paraId="2DB85DF3">
      <w:pPr>
        <w:widowControl w:val="0"/>
        <w:spacing w:line="310" w:lineRule="exact"/>
        <w:textAlignment w:val="auto"/>
        <w:rPr>
          <w:sz w:val="24"/>
        </w:rPr>
      </w:pPr>
      <w:r>
        <w:rPr>
          <w:sz w:val="24"/>
        </w:rPr>
        <w:t>2.1.5</w:t>
      </w:r>
      <w:r>
        <w:rPr>
          <w:rFonts w:hint="eastAsia"/>
          <w:sz w:val="24"/>
        </w:rPr>
        <w:t>与建设项目相关的标准、规范、技术资料；</w:t>
      </w:r>
    </w:p>
    <w:p w14:paraId="442FF8D0">
      <w:pPr>
        <w:widowControl w:val="0"/>
        <w:spacing w:line="310" w:lineRule="exact"/>
        <w:textAlignment w:val="auto"/>
        <w:rPr>
          <w:sz w:val="24"/>
        </w:rPr>
      </w:pPr>
      <w:r>
        <w:rPr>
          <w:sz w:val="24"/>
        </w:rPr>
        <w:t>2.1.6</w:t>
      </w:r>
      <w:r>
        <w:rPr>
          <w:rFonts w:hint="eastAsia"/>
          <w:sz w:val="24"/>
        </w:rPr>
        <w:t>施工现场情况、工程特点及常规施工方案；</w:t>
      </w:r>
    </w:p>
    <w:p w14:paraId="67576AE2">
      <w:pPr>
        <w:widowControl w:val="0"/>
        <w:spacing w:line="310" w:lineRule="exact"/>
        <w:textAlignment w:val="auto"/>
        <w:rPr>
          <w:sz w:val="24"/>
        </w:rPr>
      </w:pPr>
      <w:r>
        <w:rPr>
          <w:sz w:val="24"/>
        </w:rPr>
        <w:t>2.1.7</w:t>
      </w:r>
      <w:r>
        <w:rPr>
          <w:rFonts w:hint="eastAsia"/>
          <w:sz w:val="24"/>
        </w:rPr>
        <w:t>工程造价管理机构发布的工程造价信息，当工程造价信息没有发布时，参照市场价；</w:t>
      </w:r>
    </w:p>
    <w:p w14:paraId="4FB42AF4">
      <w:pPr>
        <w:widowControl w:val="0"/>
        <w:spacing w:line="310" w:lineRule="exact"/>
        <w:textAlignment w:val="auto"/>
        <w:rPr>
          <w:sz w:val="24"/>
        </w:rPr>
      </w:pPr>
      <w:r>
        <w:rPr>
          <w:sz w:val="24"/>
        </w:rPr>
        <w:t>2.1.8</w:t>
      </w:r>
      <w:r>
        <w:rPr>
          <w:rFonts w:hint="eastAsia"/>
          <w:sz w:val="24"/>
        </w:rPr>
        <w:t>其他的相关资料。</w:t>
      </w:r>
    </w:p>
    <w:p w14:paraId="5E55293E">
      <w:pPr>
        <w:widowControl w:val="0"/>
        <w:spacing w:line="310" w:lineRule="exact"/>
        <w:textAlignment w:val="auto"/>
        <w:rPr>
          <w:sz w:val="24"/>
        </w:rPr>
      </w:pPr>
      <w:r>
        <w:rPr>
          <w:sz w:val="24"/>
        </w:rPr>
        <w:t>2.2</w:t>
      </w:r>
      <w:r>
        <w:rPr>
          <w:rFonts w:hint="eastAsia"/>
          <w:sz w:val="24"/>
        </w:rPr>
        <w:t>综合单价中应包括招标文件中划分的应由投标人承担的风险范围及其费用。招标文件中没有明确的，如是工程造价咨询人编制，应提请招标人明确；如是招标人编制，应予明确。</w:t>
      </w:r>
    </w:p>
    <w:p w14:paraId="1FAF5A38">
      <w:pPr>
        <w:widowControl w:val="0"/>
        <w:numPr>
          <w:ilvl w:val="0"/>
          <w:numId w:val="8"/>
        </w:numPr>
        <w:spacing w:line="360" w:lineRule="auto"/>
        <w:textAlignment w:val="auto"/>
        <w:rPr>
          <w:rFonts w:eastAsia="黑体"/>
          <w:sz w:val="36"/>
          <w:szCs w:val="36"/>
        </w:rPr>
      </w:pPr>
      <w:r>
        <w:rPr>
          <w:rFonts w:hint="eastAsia" w:eastAsia="黑体"/>
          <w:sz w:val="36"/>
          <w:szCs w:val="36"/>
        </w:rPr>
        <w:t>招标控制价的编制应符合下列规定：</w:t>
      </w:r>
    </w:p>
    <w:p w14:paraId="2B52162F">
      <w:pPr>
        <w:widowControl w:val="0"/>
        <w:spacing w:line="310" w:lineRule="exact"/>
        <w:textAlignment w:val="auto"/>
        <w:rPr>
          <w:sz w:val="24"/>
        </w:rPr>
      </w:pPr>
      <w:r>
        <w:rPr>
          <w:sz w:val="24"/>
        </w:rPr>
        <w:t>3.1</w:t>
      </w:r>
      <w:r>
        <w:rPr>
          <w:rFonts w:hint="eastAsia"/>
          <w:sz w:val="24"/>
        </w:rPr>
        <w:t>招标控制价使用表格包括：封</w:t>
      </w:r>
      <w:r>
        <w:rPr>
          <w:sz w:val="24"/>
        </w:rPr>
        <w:t>-2</w:t>
      </w:r>
      <w:r>
        <w:rPr>
          <w:rFonts w:hint="eastAsia"/>
          <w:sz w:val="24"/>
        </w:rPr>
        <w:t>、扉</w:t>
      </w:r>
      <w:r>
        <w:rPr>
          <w:sz w:val="24"/>
        </w:rPr>
        <w:t>-2</w:t>
      </w:r>
      <w:r>
        <w:rPr>
          <w:rFonts w:hint="eastAsia"/>
          <w:sz w:val="24"/>
        </w:rPr>
        <w:t>、表</w:t>
      </w:r>
      <w:r>
        <w:rPr>
          <w:sz w:val="24"/>
        </w:rPr>
        <w:t>-01</w:t>
      </w:r>
      <w:r>
        <w:rPr>
          <w:rFonts w:hint="eastAsia"/>
          <w:sz w:val="24"/>
        </w:rPr>
        <w:t>、表</w:t>
      </w:r>
      <w:r>
        <w:rPr>
          <w:sz w:val="24"/>
        </w:rPr>
        <w:t>-02</w:t>
      </w:r>
      <w:r>
        <w:rPr>
          <w:rFonts w:hint="eastAsia"/>
          <w:sz w:val="24"/>
        </w:rPr>
        <w:t>、表</w:t>
      </w:r>
      <w:r>
        <w:rPr>
          <w:sz w:val="24"/>
        </w:rPr>
        <w:t>-03</w:t>
      </w:r>
      <w:r>
        <w:rPr>
          <w:rFonts w:hint="eastAsia"/>
          <w:sz w:val="24"/>
        </w:rPr>
        <w:t>、表</w:t>
      </w:r>
      <w:r>
        <w:rPr>
          <w:sz w:val="24"/>
        </w:rPr>
        <w:t>-04</w:t>
      </w:r>
      <w:r>
        <w:rPr>
          <w:rFonts w:hint="eastAsia"/>
          <w:sz w:val="24"/>
        </w:rPr>
        <w:t>、表</w:t>
      </w:r>
      <w:r>
        <w:rPr>
          <w:sz w:val="24"/>
        </w:rPr>
        <w:t>-08</w:t>
      </w:r>
      <w:r>
        <w:rPr>
          <w:rFonts w:hint="eastAsia"/>
          <w:sz w:val="24"/>
        </w:rPr>
        <w:t>、表</w:t>
      </w:r>
      <w:r>
        <w:rPr>
          <w:sz w:val="24"/>
        </w:rPr>
        <w:t>-09</w:t>
      </w:r>
      <w:r>
        <w:rPr>
          <w:rFonts w:hint="eastAsia"/>
          <w:sz w:val="24"/>
        </w:rPr>
        <w:t>、表</w:t>
      </w:r>
      <w:r>
        <w:rPr>
          <w:sz w:val="24"/>
        </w:rPr>
        <w:t>-11</w:t>
      </w:r>
      <w:r>
        <w:rPr>
          <w:rFonts w:hint="eastAsia"/>
          <w:sz w:val="24"/>
        </w:rPr>
        <w:t>、表</w:t>
      </w:r>
      <w:r>
        <w:rPr>
          <w:sz w:val="24"/>
        </w:rPr>
        <w:t>-12</w:t>
      </w:r>
      <w:r>
        <w:rPr>
          <w:rFonts w:hint="eastAsia"/>
          <w:sz w:val="24"/>
        </w:rPr>
        <w:t>（不含表</w:t>
      </w:r>
      <w:r>
        <w:rPr>
          <w:sz w:val="24"/>
        </w:rPr>
        <w:t>-12-6~</w:t>
      </w:r>
      <w:r>
        <w:rPr>
          <w:rFonts w:hint="eastAsia"/>
          <w:sz w:val="24"/>
        </w:rPr>
        <w:t>表</w:t>
      </w:r>
      <w:r>
        <w:rPr>
          <w:sz w:val="24"/>
        </w:rPr>
        <w:t>-12-8</w:t>
      </w:r>
      <w:r>
        <w:rPr>
          <w:rFonts w:hint="eastAsia"/>
          <w:sz w:val="24"/>
        </w:rPr>
        <w:t>）、表</w:t>
      </w:r>
      <w:r>
        <w:rPr>
          <w:sz w:val="24"/>
        </w:rPr>
        <w:t>-13</w:t>
      </w:r>
      <w:r>
        <w:rPr>
          <w:rFonts w:hint="eastAsia"/>
          <w:sz w:val="24"/>
        </w:rPr>
        <w:t>、表</w:t>
      </w:r>
      <w:r>
        <w:rPr>
          <w:sz w:val="24"/>
        </w:rPr>
        <w:t>-20</w:t>
      </w:r>
      <w:r>
        <w:rPr>
          <w:rFonts w:hint="eastAsia"/>
          <w:sz w:val="24"/>
        </w:rPr>
        <w:t>、表</w:t>
      </w:r>
      <w:r>
        <w:rPr>
          <w:sz w:val="24"/>
        </w:rPr>
        <w:t>-23</w:t>
      </w:r>
      <w:r>
        <w:rPr>
          <w:rFonts w:hint="eastAsia"/>
          <w:sz w:val="24"/>
        </w:rPr>
        <w:t>。</w:t>
      </w:r>
    </w:p>
    <w:p w14:paraId="3ED83BFD">
      <w:pPr>
        <w:widowControl w:val="0"/>
        <w:spacing w:line="310" w:lineRule="exact"/>
        <w:textAlignment w:val="auto"/>
        <w:rPr>
          <w:sz w:val="24"/>
        </w:rPr>
      </w:pPr>
      <w:r>
        <w:rPr>
          <w:sz w:val="24"/>
        </w:rPr>
        <w:t>3.2</w:t>
      </w:r>
      <w:r>
        <w:rPr>
          <w:rFonts w:hint="eastAsia"/>
          <w:sz w:val="24"/>
        </w:rPr>
        <w:t>扉页应按规定的内容填写、签字、盖章，除承包人自行编制的投标报价和竣工结算外，受委托编制的招标控制价，由造价员编制的应有负责审核的造价工程师签字、盖章以及工程造价咨询人盖章。</w:t>
      </w:r>
    </w:p>
    <w:p w14:paraId="0D9A4B87">
      <w:pPr>
        <w:widowControl w:val="0"/>
        <w:spacing w:line="310" w:lineRule="exact"/>
        <w:textAlignment w:val="auto"/>
        <w:rPr>
          <w:sz w:val="24"/>
        </w:rPr>
      </w:pPr>
      <w:r>
        <w:rPr>
          <w:sz w:val="24"/>
        </w:rPr>
        <w:t>3.3</w:t>
      </w:r>
      <w:r>
        <w:rPr>
          <w:rFonts w:hint="eastAsia"/>
          <w:sz w:val="24"/>
        </w:rPr>
        <w:t>总说明应按下列内容填写：</w:t>
      </w:r>
    </w:p>
    <w:p w14:paraId="2C01DD24">
      <w:pPr>
        <w:widowControl w:val="0"/>
        <w:spacing w:line="310" w:lineRule="exact"/>
        <w:textAlignment w:val="auto"/>
        <w:rPr>
          <w:sz w:val="24"/>
        </w:rPr>
      </w:pPr>
      <w:r>
        <w:rPr>
          <w:sz w:val="24"/>
        </w:rPr>
        <w:t>3.3.1</w:t>
      </w:r>
      <w:r>
        <w:rPr>
          <w:rFonts w:hint="eastAsia"/>
          <w:sz w:val="24"/>
        </w:rPr>
        <w:t>工程概况：建设规模、工程特征、计划工期、合同工期、实际工期、施工现场及变化情况、施工组织设计的特点、自然地理条件、环境保护要求等。</w:t>
      </w:r>
    </w:p>
    <w:p w14:paraId="216D99B2">
      <w:pPr>
        <w:widowControl w:val="0"/>
        <w:spacing w:line="310" w:lineRule="exact"/>
        <w:textAlignment w:val="auto"/>
        <w:rPr>
          <w:sz w:val="24"/>
        </w:rPr>
      </w:pPr>
      <w:r>
        <w:rPr>
          <w:sz w:val="24"/>
        </w:rPr>
        <w:t>3.3.2</w:t>
      </w:r>
      <w:r>
        <w:rPr>
          <w:rFonts w:hint="eastAsia"/>
          <w:sz w:val="24"/>
        </w:rPr>
        <w:t>编制依据等。</w:t>
      </w:r>
    </w:p>
    <w:p w14:paraId="33593012">
      <w:pPr>
        <w:widowControl w:val="0"/>
        <w:numPr>
          <w:ilvl w:val="0"/>
          <w:numId w:val="8"/>
        </w:numPr>
        <w:spacing w:line="360" w:lineRule="auto"/>
        <w:rPr>
          <w:rFonts w:eastAsia="黑体"/>
          <w:sz w:val="36"/>
          <w:szCs w:val="36"/>
        </w:rPr>
      </w:pPr>
      <w:r>
        <w:rPr>
          <w:rFonts w:hint="eastAsia" w:eastAsia="黑体"/>
          <w:sz w:val="36"/>
          <w:szCs w:val="36"/>
        </w:rPr>
        <w:t>其他</w:t>
      </w:r>
    </w:p>
    <w:p w14:paraId="290ABDE5">
      <w:pPr>
        <w:widowControl w:val="0"/>
        <w:spacing w:line="310" w:lineRule="exact"/>
        <w:textAlignment w:val="auto"/>
        <w:rPr>
          <w:sz w:val="24"/>
        </w:rPr>
      </w:pPr>
      <w:r>
        <w:rPr>
          <w:sz w:val="24"/>
        </w:rPr>
        <w:t>4.1</w:t>
      </w:r>
      <w:r>
        <w:rPr>
          <w:rFonts w:hint="eastAsia"/>
          <w:sz w:val="24"/>
        </w:rPr>
        <w:t>投标人经复核认为招标人公布的招标控制价未按照《清单计价规范》的规定进行编制的，应在招标控制价公布后</w:t>
      </w:r>
      <w:r>
        <w:rPr>
          <w:sz w:val="24"/>
        </w:rPr>
        <w:t>5</w:t>
      </w:r>
      <w:r>
        <w:rPr>
          <w:rFonts w:hint="eastAsia"/>
          <w:sz w:val="24"/>
        </w:rPr>
        <w:t>天内向招标监督机构和工程造价管理机构投诉。</w:t>
      </w:r>
      <w:r>
        <w:rPr>
          <w:sz w:val="24"/>
        </w:rPr>
        <w:t>4.2</w:t>
      </w:r>
      <w:r>
        <w:rPr>
          <w:rFonts w:hint="eastAsia"/>
          <w:sz w:val="24"/>
        </w:rPr>
        <w:t>招标人需要重新公布招标控制价的，其最终公布的时间至招标文件要求提交投标文件截止时间不足</w:t>
      </w:r>
      <w:r>
        <w:rPr>
          <w:sz w:val="24"/>
        </w:rPr>
        <w:t>15</w:t>
      </w:r>
      <w:r>
        <w:rPr>
          <w:rFonts w:hint="eastAsia"/>
          <w:sz w:val="24"/>
        </w:rPr>
        <w:t>天的，应相应延长投标文件的截止时间。</w:t>
      </w:r>
    </w:p>
    <w:p w14:paraId="79D0B244">
      <w:pPr>
        <w:widowControl w:val="0"/>
        <w:spacing w:line="310" w:lineRule="exact"/>
        <w:textAlignment w:val="auto"/>
        <w:rPr>
          <w:sz w:val="24"/>
        </w:rPr>
      </w:pPr>
      <w:r>
        <w:rPr>
          <w:sz w:val="24"/>
        </w:rPr>
        <w:t>4.3</w:t>
      </w:r>
      <w:r>
        <w:rPr>
          <w:rFonts w:hint="eastAsia"/>
          <w:sz w:val="24"/>
        </w:rPr>
        <w:t>为满足评标需要，招标人应当在招标文件中提供表</w:t>
      </w:r>
      <w:r>
        <w:rPr>
          <w:sz w:val="24"/>
        </w:rPr>
        <w:t>-23</w:t>
      </w:r>
      <w:r>
        <w:rPr>
          <w:rFonts w:hint="eastAsia"/>
          <w:sz w:val="24"/>
        </w:rPr>
        <w:t>的数据，并对所提供数据的真实性和准确性负责，与招标控制价同时公布。</w:t>
      </w:r>
    </w:p>
    <w:p w14:paraId="3EC2966C">
      <w:pPr>
        <w:widowControl w:val="0"/>
        <w:spacing w:line="310" w:lineRule="exact"/>
        <w:textAlignment w:val="auto"/>
        <w:rPr>
          <w:sz w:val="24"/>
          <w:highlight w:val="green"/>
        </w:rPr>
      </w:pPr>
    </w:p>
    <w:p w14:paraId="4B522E86">
      <w:pPr>
        <w:rPr>
          <w:rStyle w:val="95"/>
          <w:sz w:val="10"/>
        </w:rPr>
      </w:pPr>
    </w:p>
    <w:p w14:paraId="4EB12A9E">
      <w:pPr>
        <w:rPr>
          <w:rStyle w:val="95"/>
          <w:sz w:val="10"/>
        </w:rPr>
      </w:pPr>
    </w:p>
    <w:p w14:paraId="7C2F2772">
      <w:pPr>
        <w:rPr>
          <w:rStyle w:val="95"/>
          <w:sz w:val="10"/>
        </w:rPr>
      </w:pPr>
    </w:p>
    <w:p w14:paraId="2ADBE497">
      <w:pPr>
        <w:rPr>
          <w:rStyle w:val="95"/>
          <w:sz w:val="48"/>
          <w:szCs w:val="48"/>
        </w:rPr>
      </w:pPr>
    </w:p>
    <w:p w14:paraId="32C14C3C">
      <w:pPr>
        <w:pStyle w:val="85"/>
        <w:rPr>
          <w:rStyle w:val="95"/>
          <w:rFonts w:ascii="Times New Roman" w:hAnsi="Times New Roman"/>
        </w:rPr>
      </w:pPr>
    </w:p>
    <w:p w14:paraId="4210B233">
      <w:pPr>
        <w:pStyle w:val="85"/>
        <w:rPr>
          <w:rStyle w:val="95"/>
          <w:rFonts w:ascii="Times New Roman" w:hAnsi="Times New Roman"/>
        </w:rPr>
      </w:pPr>
    </w:p>
    <w:p w14:paraId="1F6FB429">
      <w:pPr>
        <w:pStyle w:val="42"/>
        <w:rPr>
          <w:rStyle w:val="95"/>
          <w:rFonts w:ascii="Times New Roman" w:hAnsi="Times New Roman" w:cs="Times New Roman"/>
          <w:sz w:val="52"/>
          <w:szCs w:val="52"/>
        </w:rPr>
      </w:pPr>
    </w:p>
    <w:p w14:paraId="6F8E44F3">
      <w:pPr>
        <w:rPr>
          <w:rStyle w:val="95"/>
          <w:sz w:val="52"/>
          <w:szCs w:val="52"/>
        </w:rPr>
      </w:pPr>
    </w:p>
    <w:p w14:paraId="783B7F18">
      <w:pPr>
        <w:pStyle w:val="19"/>
        <w:rPr>
          <w:rStyle w:val="95"/>
          <w:sz w:val="52"/>
          <w:szCs w:val="52"/>
        </w:rPr>
      </w:pPr>
    </w:p>
    <w:p w14:paraId="46222097">
      <w:pPr>
        <w:pStyle w:val="19"/>
        <w:rPr>
          <w:rStyle w:val="95"/>
          <w:sz w:val="52"/>
          <w:szCs w:val="52"/>
        </w:rPr>
      </w:pPr>
    </w:p>
    <w:p w14:paraId="13CFCD83">
      <w:pPr>
        <w:pStyle w:val="19"/>
        <w:rPr>
          <w:rStyle w:val="95"/>
          <w:sz w:val="52"/>
          <w:szCs w:val="52"/>
        </w:rPr>
      </w:pPr>
    </w:p>
    <w:p w14:paraId="52678E12">
      <w:pPr>
        <w:pStyle w:val="19"/>
        <w:rPr>
          <w:rStyle w:val="95"/>
          <w:sz w:val="52"/>
          <w:szCs w:val="52"/>
        </w:rPr>
      </w:pPr>
    </w:p>
    <w:p w14:paraId="30BFBA4F">
      <w:pPr>
        <w:pStyle w:val="19"/>
        <w:rPr>
          <w:rStyle w:val="95"/>
          <w:sz w:val="52"/>
          <w:szCs w:val="52"/>
        </w:rPr>
      </w:pPr>
    </w:p>
    <w:p w14:paraId="1717DEC4">
      <w:pPr>
        <w:pStyle w:val="19"/>
        <w:rPr>
          <w:rStyle w:val="95"/>
          <w:sz w:val="52"/>
          <w:szCs w:val="52"/>
        </w:rPr>
      </w:pPr>
    </w:p>
    <w:p w14:paraId="4F2C37CE">
      <w:pPr>
        <w:pStyle w:val="19"/>
        <w:rPr>
          <w:rStyle w:val="95"/>
          <w:sz w:val="52"/>
          <w:szCs w:val="52"/>
        </w:rPr>
      </w:pPr>
    </w:p>
    <w:p w14:paraId="56BFE03A">
      <w:pPr>
        <w:pStyle w:val="19"/>
        <w:rPr>
          <w:rStyle w:val="95"/>
          <w:sz w:val="52"/>
          <w:szCs w:val="52"/>
        </w:rPr>
      </w:pPr>
    </w:p>
    <w:p w14:paraId="5CF37E33">
      <w:pPr>
        <w:pStyle w:val="19"/>
        <w:rPr>
          <w:rStyle w:val="95"/>
          <w:sz w:val="52"/>
          <w:szCs w:val="52"/>
        </w:rPr>
      </w:pPr>
    </w:p>
    <w:p w14:paraId="7CC9D53F">
      <w:pPr>
        <w:pStyle w:val="19"/>
        <w:rPr>
          <w:rStyle w:val="95"/>
          <w:sz w:val="52"/>
          <w:szCs w:val="52"/>
        </w:rPr>
      </w:pPr>
    </w:p>
    <w:p w14:paraId="45E2F999">
      <w:pPr>
        <w:pStyle w:val="19"/>
        <w:rPr>
          <w:rStyle w:val="95"/>
          <w:sz w:val="52"/>
          <w:szCs w:val="52"/>
        </w:rPr>
      </w:pPr>
    </w:p>
    <w:p w14:paraId="33490019">
      <w:pPr>
        <w:pStyle w:val="19"/>
        <w:rPr>
          <w:rStyle w:val="95"/>
          <w:sz w:val="52"/>
          <w:szCs w:val="52"/>
        </w:rPr>
      </w:pPr>
    </w:p>
    <w:p w14:paraId="4C8395C0">
      <w:pPr>
        <w:pStyle w:val="19"/>
        <w:rPr>
          <w:rStyle w:val="95"/>
          <w:sz w:val="52"/>
          <w:szCs w:val="52"/>
        </w:rPr>
      </w:pPr>
    </w:p>
    <w:p w14:paraId="45E8EE75">
      <w:pPr>
        <w:pStyle w:val="42"/>
        <w:rPr>
          <w:rStyle w:val="95"/>
          <w:rFonts w:ascii="Times New Roman" w:hAnsi="Times New Roman" w:cs="Times New Roman"/>
          <w:sz w:val="52"/>
          <w:szCs w:val="52"/>
        </w:rPr>
      </w:pPr>
    </w:p>
    <w:p w14:paraId="4B4F509D">
      <w:pPr>
        <w:pStyle w:val="42"/>
        <w:rPr>
          <w:rStyle w:val="95"/>
          <w:rFonts w:ascii="Times New Roman" w:hAnsi="Times New Roman" w:cs="Times New Roman"/>
          <w:sz w:val="52"/>
          <w:szCs w:val="52"/>
        </w:rPr>
      </w:pPr>
    </w:p>
    <w:p w14:paraId="56408C37">
      <w:pPr>
        <w:pStyle w:val="42"/>
        <w:rPr>
          <w:rStyle w:val="95"/>
          <w:rFonts w:ascii="Times New Roman" w:hAnsi="Times New Roman" w:cs="Times New Roman"/>
          <w:sz w:val="52"/>
          <w:szCs w:val="52"/>
        </w:rPr>
      </w:pPr>
    </w:p>
    <w:p w14:paraId="06869536">
      <w:pPr>
        <w:pStyle w:val="42"/>
        <w:rPr>
          <w:rStyle w:val="95"/>
          <w:rFonts w:ascii="Times New Roman" w:hAnsi="Times New Roman" w:cs="Times New Roman"/>
          <w:sz w:val="52"/>
          <w:szCs w:val="52"/>
        </w:rPr>
      </w:pPr>
      <w:r>
        <w:rPr>
          <w:rStyle w:val="95"/>
          <w:rFonts w:hint="eastAsia" w:ascii="Times New Roman" w:hAnsi="Times New Roman" w:cs="Times New Roman"/>
          <w:sz w:val="52"/>
          <w:szCs w:val="52"/>
        </w:rPr>
        <w:t>第三卷</w:t>
      </w:r>
      <w:r>
        <w:rPr>
          <w:rStyle w:val="95"/>
          <w:rFonts w:ascii="Times New Roman" w:hAnsi="Times New Roman" w:cs="Times New Roman"/>
          <w:sz w:val="52"/>
          <w:szCs w:val="52"/>
        </w:rPr>
        <w:t xml:space="preserve">  </w:t>
      </w:r>
      <w:r>
        <w:rPr>
          <w:rStyle w:val="95"/>
          <w:rFonts w:hint="eastAsia" w:ascii="Times New Roman" w:hAnsi="Times New Roman" w:cs="Times New Roman"/>
          <w:sz w:val="52"/>
          <w:szCs w:val="52"/>
        </w:rPr>
        <w:t>附录</w:t>
      </w:r>
    </w:p>
    <w:p w14:paraId="46D0E43E">
      <w:pPr>
        <w:widowControl w:val="0"/>
        <w:spacing w:line="440" w:lineRule="exact"/>
        <w:ind w:left="945" w:hanging="945" w:hangingChars="450"/>
        <w:textAlignment w:val="auto"/>
        <w:rPr>
          <w:szCs w:val="21"/>
          <w:highlight w:val="green"/>
        </w:rPr>
      </w:pPr>
    </w:p>
    <w:p w14:paraId="091EEF6D">
      <w:pPr>
        <w:widowControl w:val="0"/>
        <w:spacing w:line="440" w:lineRule="exact"/>
        <w:ind w:left="945" w:hanging="945" w:hangingChars="450"/>
        <w:textAlignment w:val="auto"/>
        <w:rPr>
          <w:szCs w:val="21"/>
          <w:highlight w:val="green"/>
        </w:rPr>
      </w:pPr>
    </w:p>
    <w:p w14:paraId="32B1D2B7">
      <w:pPr>
        <w:widowControl w:val="0"/>
        <w:textAlignment w:val="auto"/>
        <w:rPr>
          <w:szCs w:val="21"/>
          <w:highlight w:val="green"/>
        </w:rPr>
      </w:pPr>
    </w:p>
    <w:p w14:paraId="45D219EF">
      <w:pPr>
        <w:widowControl w:val="0"/>
        <w:spacing w:line="240" w:lineRule="atLeast"/>
        <w:textAlignment w:val="auto"/>
        <w:rPr>
          <w:sz w:val="30"/>
          <w:szCs w:val="21"/>
          <w:highlight w:val="green"/>
        </w:rPr>
      </w:pPr>
    </w:p>
    <w:p w14:paraId="1571532D">
      <w:pPr>
        <w:widowControl w:val="0"/>
        <w:spacing w:line="240" w:lineRule="atLeast"/>
        <w:textAlignment w:val="auto"/>
        <w:rPr>
          <w:sz w:val="30"/>
          <w:szCs w:val="21"/>
          <w:highlight w:val="green"/>
        </w:rPr>
      </w:pPr>
    </w:p>
    <w:p w14:paraId="2BBF90F6">
      <w:pPr>
        <w:widowControl w:val="0"/>
        <w:spacing w:line="240" w:lineRule="atLeast"/>
        <w:textAlignment w:val="auto"/>
        <w:rPr>
          <w:sz w:val="30"/>
          <w:szCs w:val="21"/>
          <w:highlight w:val="green"/>
        </w:rPr>
      </w:pPr>
    </w:p>
    <w:p w14:paraId="6F4ECABF">
      <w:pPr>
        <w:widowControl w:val="0"/>
        <w:spacing w:line="240" w:lineRule="atLeast"/>
        <w:textAlignment w:val="auto"/>
        <w:rPr>
          <w:sz w:val="30"/>
          <w:szCs w:val="21"/>
          <w:highlight w:val="green"/>
        </w:rPr>
      </w:pPr>
    </w:p>
    <w:p w14:paraId="0A920238">
      <w:pPr>
        <w:widowControl w:val="0"/>
        <w:spacing w:line="240" w:lineRule="atLeast"/>
        <w:textAlignment w:val="auto"/>
        <w:rPr>
          <w:sz w:val="30"/>
          <w:szCs w:val="21"/>
          <w:highlight w:val="green"/>
        </w:rPr>
      </w:pPr>
    </w:p>
    <w:p w14:paraId="6A4B3110">
      <w:pPr>
        <w:widowControl w:val="0"/>
        <w:spacing w:line="240" w:lineRule="atLeast"/>
        <w:textAlignment w:val="auto"/>
        <w:rPr>
          <w:sz w:val="30"/>
          <w:szCs w:val="21"/>
          <w:highlight w:val="green"/>
        </w:rPr>
      </w:pPr>
    </w:p>
    <w:p w14:paraId="0B94B34E">
      <w:pPr>
        <w:widowControl w:val="0"/>
        <w:spacing w:line="240" w:lineRule="atLeast"/>
        <w:textAlignment w:val="auto"/>
        <w:rPr>
          <w:sz w:val="30"/>
          <w:szCs w:val="21"/>
          <w:highlight w:val="green"/>
        </w:rPr>
      </w:pPr>
    </w:p>
    <w:p w14:paraId="6BAB6D1D">
      <w:pPr>
        <w:widowControl w:val="0"/>
        <w:spacing w:line="240" w:lineRule="atLeast"/>
        <w:textAlignment w:val="auto"/>
        <w:rPr>
          <w:sz w:val="30"/>
          <w:szCs w:val="21"/>
          <w:highlight w:val="green"/>
        </w:rPr>
      </w:pPr>
    </w:p>
    <w:p w14:paraId="67BF88F3">
      <w:pPr>
        <w:widowControl w:val="0"/>
        <w:spacing w:line="240" w:lineRule="atLeast"/>
        <w:textAlignment w:val="auto"/>
        <w:rPr>
          <w:sz w:val="30"/>
          <w:szCs w:val="21"/>
          <w:highlight w:val="green"/>
        </w:rPr>
      </w:pPr>
    </w:p>
    <w:p w14:paraId="72B10A70">
      <w:pPr>
        <w:widowControl w:val="0"/>
        <w:spacing w:line="240" w:lineRule="atLeast"/>
        <w:textAlignment w:val="auto"/>
        <w:rPr>
          <w:sz w:val="30"/>
          <w:szCs w:val="21"/>
          <w:highlight w:val="green"/>
        </w:rPr>
      </w:pPr>
    </w:p>
    <w:p w14:paraId="30798A85">
      <w:pPr>
        <w:pStyle w:val="19"/>
        <w:spacing w:after="0"/>
      </w:pPr>
    </w:p>
    <w:p w14:paraId="4DAC01DD">
      <w:pPr>
        <w:widowControl w:val="0"/>
        <w:tabs>
          <w:tab w:val="left" w:pos="6135"/>
        </w:tabs>
        <w:jc w:val="center"/>
        <w:textAlignment w:val="auto"/>
        <w:rPr>
          <w:b/>
          <w:bCs/>
        </w:rPr>
      </w:pPr>
      <w:r>
        <w:rPr>
          <w:rFonts w:eastAsia="黑体"/>
          <w:sz w:val="32"/>
          <w:szCs w:val="32"/>
        </w:rPr>
        <w:t>B.1</w:t>
      </w:r>
      <w:r>
        <w:rPr>
          <w:rFonts w:hint="eastAsia" w:eastAsia="黑体"/>
          <w:sz w:val="32"/>
          <w:szCs w:val="32"/>
        </w:rPr>
        <w:t>招标工程量清单封面</w:t>
      </w:r>
    </w:p>
    <w:p w14:paraId="01146867">
      <w:pPr>
        <w:widowControl w:val="0"/>
        <w:spacing w:line="360" w:lineRule="auto"/>
        <w:ind w:firstLine="1800" w:firstLineChars="600"/>
        <w:textAlignment w:val="auto"/>
        <w:rPr>
          <w:sz w:val="30"/>
          <w:szCs w:val="30"/>
          <w:u w:val="single"/>
        </w:rPr>
      </w:pPr>
    </w:p>
    <w:p w14:paraId="2FA2A4F5">
      <w:pPr>
        <w:widowControl w:val="0"/>
        <w:spacing w:line="360" w:lineRule="auto"/>
        <w:ind w:firstLine="2100" w:firstLineChars="700"/>
        <w:textAlignment w:val="auto"/>
        <w:rPr>
          <w:sz w:val="30"/>
          <w:szCs w:val="30"/>
        </w:rPr>
      </w:pPr>
      <w:r>
        <w:rPr>
          <w:sz w:val="30"/>
          <w:szCs w:val="30"/>
          <w:u w:val="single"/>
        </w:rPr>
        <w:t xml:space="preserve">                          </w:t>
      </w:r>
      <w:r>
        <w:rPr>
          <w:rFonts w:hint="eastAsia"/>
          <w:sz w:val="30"/>
          <w:szCs w:val="30"/>
        </w:rPr>
        <w:t>工程</w:t>
      </w:r>
    </w:p>
    <w:p w14:paraId="51DF6BA4">
      <w:pPr>
        <w:widowControl w:val="0"/>
        <w:spacing w:line="360" w:lineRule="auto"/>
        <w:textAlignment w:val="auto"/>
        <w:rPr>
          <w:rFonts w:eastAsia="黑体"/>
          <w:sz w:val="30"/>
          <w:szCs w:val="30"/>
        </w:rPr>
      </w:pPr>
    </w:p>
    <w:p w14:paraId="4D027203">
      <w:pPr>
        <w:pStyle w:val="19"/>
      </w:pPr>
    </w:p>
    <w:p w14:paraId="23229FEF">
      <w:pPr>
        <w:widowControl w:val="0"/>
        <w:spacing w:line="360" w:lineRule="auto"/>
        <w:jc w:val="center"/>
        <w:textAlignment w:val="auto"/>
        <w:rPr>
          <w:sz w:val="48"/>
          <w:szCs w:val="48"/>
        </w:rPr>
      </w:pPr>
      <w:r>
        <w:rPr>
          <w:rFonts w:hint="eastAsia"/>
          <w:sz w:val="48"/>
          <w:szCs w:val="48"/>
        </w:rPr>
        <w:t>招</w:t>
      </w:r>
      <w:r>
        <w:rPr>
          <w:sz w:val="48"/>
          <w:szCs w:val="48"/>
        </w:rPr>
        <w:t xml:space="preserve"> </w:t>
      </w:r>
      <w:r>
        <w:rPr>
          <w:rFonts w:hint="eastAsia"/>
          <w:sz w:val="48"/>
          <w:szCs w:val="48"/>
        </w:rPr>
        <w:t>标</w:t>
      </w:r>
      <w:r>
        <w:rPr>
          <w:sz w:val="48"/>
          <w:szCs w:val="48"/>
        </w:rPr>
        <w:t xml:space="preserve"> </w:t>
      </w:r>
      <w:r>
        <w:rPr>
          <w:rFonts w:hint="eastAsia"/>
          <w:sz w:val="48"/>
          <w:szCs w:val="48"/>
        </w:rPr>
        <w:t>工</w:t>
      </w:r>
      <w:r>
        <w:rPr>
          <w:sz w:val="48"/>
          <w:szCs w:val="48"/>
        </w:rPr>
        <w:t xml:space="preserve"> </w:t>
      </w:r>
      <w:r>
        <w:rPr>
          <w:rFonts w:hint="eastAsia"/>
          <w:sz w:val="48"/>
          <w:szCs w:val="48"/>
        </w:rPr>
        <w:t>程</w:t>
      </w:r>
      <w:r>
        <w:rPr>
          <w:sz w:val="48"/>
          <w:szCs w:val="48"/>
        </w:rPr>
        <w:t xml:space="preserve"> </w:t>
      </w:r>
      <w:r>
        <w:rPr>
          <w:rFonts w:hint="eastAsia"/>
          <w:sz w:val="48"/>
          <w:szCs w:val="48"/>
        </w:rPr>
        <w:t>量</w:t>
      </w:r>
      <w:r>
        <w:rPr>
          <w:sz w:val="48"/>
          <w:szCs w:val="48"/>
        </w:rPr>
        <w:t xml:space="preserve"> </w:t>
      </w:r>
      <w:r>
        <w:rPr>
          <w:rFonts w:hint="eastAsia"/>
          <w:sz w:val="48"/>
          <w:szCs w:val="48"/>
        </w:rPr>
        <w:t>清</w:t>
      </w:r>
      <w:r>
        <w:rPr>
          <w:sz w:val="48"/>
          <w:szCs w:val="48"/>
        </w:rPr>
        <w:t xml:space="preserve"> </w:t>
      </w:r>
      <w:r>
        <w:rPr>
          <w:rFonts w:hint="eastAsia"/>
          <w:sz w:val="48"/>
          <w:szCs w:val="48"/>
        </w:rPr>
        <w:t>单</w:t>
      </w:r>
    </w:p>
    <w:p w14:paraId="72423CE2">
      <w:pPr>
        <w:widowControl w:val="0"/>
        <w:spacing w:line="360" w:lineRule="auto"/>
        <w:jc w:val="center"/>
        <w:textAlignment w:val="auto"/>
        <w:rPr>
          <w:sz w:val="36"/>
          <w:szCs w:val="36"/>
        </w:rPr>
      </w:pPr>
    </w:p>
    <w:p w14:paraId="29A744AD">
      <w:pPr>
        <w:widowControl w:val="0"/>
        <w:spacing w:line="440" w:lineRule="exact"/>
        <w:textAlignment w:val="auto"/>
        <w:rPr>
          <w:sz w:val="28"/>
          <w:szCs w:val="28"/>
        </w:rPr>
      </w:pPr>
      <w:r>
        <w:rPr>
          <w:rFonts w:eastAsia="黑体"/>
          <w:sz w:val="28"/>
          <w:szCs w:val="28"/>
        </w:rPr>
        <w:t xml:space="preserve">                            </w:t>
      </w:r>
    </w:p>
    <w:p w14:paraId="003EC607">
      <w:pPr>
        <w:widowControl w:val="0"/>
        <w:spacing w:line="440" w:lineRule="exact"/>
        <w:textAlignment w:val="auto"/>
        <w:rPr>
          <w:sz w:val="28"/>
          <w:szCs w:val="28"/>
        </w:rPr>
      </w:pPr>
    </w:p>
    <w:p w14:paraId="5088FEB9">
      <w:pPr>
        <w:widowControl w:val="0"/>
        <w:spacing w:line="440" w:lineRule="exact"/>
        <w:textAlignment w:val="auto"/>
        <w:rPr>
          <w:sz w:val="28"/>
          <w:szCs w:val="28"/>
        </w:rPr>
      </w:pPr>
    </w:p>
    <w:p w14:paraId="26D9A78F">
      <w:pPr>
        <w:widowControl w:val="0"/>
        <w:spacing w:line="440" w:lineRule="exact"/>
        <w:textAlignment w:val="auto"/>
        <w:rPr>
          <w:sz w:val="28"/>
          <w:szCs w:val="28"/>
        </w:rPr>
      </w:pPr>
    </w:p>
    <w:p w14:paraId="6ABF3998">
      <w:pPr>
        <w:widowControl w:val="0"/>
        <w:spacing w:line="440" w:lineRule="exact"/>
        <w:textAlignment w:val="auto"/>
        <w:rPr>
          <w:sz w:val="28"/>
          <w:szCs w:val="28"/>
        </w:rPr>
      </w:pPr>
    </w:p>
    <w:p w14:paraId="7600C099">
      <w:pPr>
        <w:widowControl w:val="0"/>
        <w:spacing w:line="440" w:lineRule="exact"/>
        <w:textAlignment w:val="auto"/>
        <w:rPr>
          <w:sz w:val="28"/>
          <w:szCs w:val="28"/>
        </w:rPr>
      </w:pPr>
    </w:p>
    <w:p w14:paraId="67B356CB">
      <w:pPr>
        <w:widowControl w:val="0"/>
        <w:spacing w:line="440" w:lineRule="exact"/>
        <w:textAlignment w:val="auto"/>
        <w:rPr>
          <w:sz w:val="28"/>
          <w:szCs w:val="28"/>
        </w:rPr>
      </w:pPr>
    </w:p>
    <w:p w14:paraId="14BFB9D4">
      <w:pPr>
        <w:widowControl w:val="0"/>
        <w:spacing w:line="440" w:lineRule="exact"/>
        <w:textAlignment w:val="auto"/>
        <w:rPr>
          <w:sz w:val="28"/>
          <w:szCs w:val="28"/>
        </w:rPr>
      </w:pPr>
    </w:p>
    <w:p w14:paraId="3B388612">
      <w:pPr>
        <w:widowControl w:val="0"/>
        <w:spacing w:line="440" w:lineRule="exact"/>
        <w:textAlignment w:val="auto"/>
        <w:rPr>
          <w:sz w:val="28"/>
          <w:szCs w:val="28"/>
        </w:rPr>
      </w:pPr>
    </w:p>
    <w:p w14:paraId="07BFF12C">
      <w:pPr>
        <w:widowControl w:val="0"/>
        <w:spacing w:line="440" w:lineRule="exact"/>
        <w:ind w:firstLine="1960" w:firstLineChars="700"/>
        <w:textAlignment w:val="auto"/>
        <w:rPr>
          <w:sz w:val="28"/>
          <w:szCs w:val="28"/>
        </w:rPr>
      </w:pPr>
      <w:r>
        <w:rPr>
          <w:rFonts w:hint="eastAsia"/>
          <w:sz w:val="28"/>
          <w:szCs w:val="28"/>
        </w:rPr>
        <w:t>招</w:t>
      </w:r>
      <w:r>
        <w:rPr>
          <w:sz w:val="28"/>
          <w:szCs w:val="28"/>
        </w:rPr>
        <w:t xml:space="preserve">  </w:t>
      </w:r>
      <w:r>
        <w:rPr>
          <w:rFonts w:hint="eastAsia"/>
          <w:sz w:val="28"/>
          <w:szCs w:val="28"/>
        </w:rPr>
        <w:t>标</w:t>
      </w:r>
      <w:r>
        <w:rPr>
          <w:sz w:val="28"/>
          <w:szCs w:val="28"/>
        </w:rPr>
        <w:t xml:space="preserve">  </w:t>
      </w:r>
      <w:r>
        <w:rPr>
          <w:rFonts w:hint="eastAsia"/>
          <w:sz w:val="28"/>
          <w:szCs w:val="28"/>
        </w:rPr>
        <w:t>人</w:t>
      </w:r>
      <w:r>
        <w:rPr>
          <w:sz w:val="28"/>
          <w:szCs w:val="28"/>
        </w:rPr>
        <w:t>:</w:t>
      </w:r>
      <w:r>
        <w:rPr>
          <w:sz w:val="28"/>
          <w:szCs w:val="28"/>
          <w:u w:val="single"/>
        </w:rPr>
        <w:t xml:space="preserve">               </w:t>
      </w:r>
      <w:r>
        <w:rPr>
          <w:sz w:val="28"/>
          <w:szCs w:val="28"/>
        </w:rPr>
        <w:t xml:space="preserve">   </w:t>
      </w:r>
    </w:p>
    <w:p w14:paraId="4B2AF592">
      <w:pPr>
        <w:widowControl w:val="0"/>
        <w:spacing w:line="440" w:lineRule="exact"/>
        <w:ind w:left="570"/>
        <w:textAlignment w:val="auto"/>
        <w:rPr>
          <w:szCs w:val="21"/>
        </w:rPr>
      </w:pPr>
      <w:r>
        <w:rPr>
          <w:sz w:val="28"/>
          <w:szCs w:val="28"/>
        </w:rPr>
        <w:t xml:space="preserve">                       </w:t>
      </w:r>
      <w:r>
        <w:rPr>
          <w:rFonts w:hint="eastAsia"/>
          <w:szCs w:val="21"/>
        </w:rPr>
        <w:t>（单位盖章）</w:t>
      </w:r>
      <w:r>
        <w:rPr>
          <w:sz w:val="24"/>
        </w:rPr>
        <w:t xml:space="preserve">                       </w:t>
      </w:r>
    </w:p>
    <w:p w14:paraId="4C4D5860">
      <w:pPr>
        <w:widowControl w:val="0"/>
        <w:spacing w:line="440" w:lineRule="exact"/>
        <w:ind w:firstLine="1960" w:firstLineChars="700"/>
        <w:textAlignment w:val="auto"/>
        <w:rPr>
          <w:sz w:val="28"/>
          <w:szCs w:val="28"/>
        </w:rPr>
      </w:pPr>
      <w:r>
        <w:rPr>
          <w:rFonts w:hint="eastAsia"/>
          <w:sz w:val="28"/>
          <w:szCs w:val="28"/>
        </w:rPr>
        <w:t>造价咨询人</w:t>
      </w:r>
      <w:r>
        <w:rPr>
          <w:sz w:val="28"/>
          <w:szCs w:val="28"/>
        </w:rPr>
        <w:t>:</w:t>
      </w:r>
      <w:r>
        <w:rPr>
          <w:rFonts w:eastAsia="黑体"/>
          <w:sz w:val="28"/>
          <w:szCs w:val="28"/>
          <w:u w:val="single"/>
        </w:rPr>
        <w:t xml:space="preserve">                </w:t>
      </w:r>
    </w:p>
    <w:p w14:paraId="46D663D3">
      <w:pPr>
        <w:widowControl w:val="0"/>
        <w:spacing w:line="440" w:lineRule="exact"/>
        <w:ind w:left="570"/>
        <w:textAlignment w:val="auto"/>
        <w:rPr>
          <w:szCs w:val="21"/>
        </w:rPr>
      </w:pPr>
      <w:r>
        <w:rPr>
          <w:sz w:val="28"/>
          <w:szCs w:val="28"/>
        </w:rPr>
        <w:t xml:space="preserve"> </w:t>
      </w:r>
      <w:r>
        <w:rPr>
          <w:sz w:val="24"/>
        </w:rPr>
        <w:t xml:space="preserve">                          </w:t>
      </w:r>
      <w:r>
        <w:rPr>
          <w:rFonts w:hint="eastAsia"/>
          <w:szCs w:val="21"/>
        </w:rPr>
        <w:t>（单位盖章）</w:t>
      </w:r>
      <w:r>
        <w:rPr>
          <w:sz w:val="24"/>
        </w:rPr>
        <w:t xml:space="preserve">    </w:t>
      </w:r>
    </w:p>
    <w:p w14:paraId="107A2FD8">
      <w:pPr>
        <w:widowControl w:val="0"/>
        <w:spacing w:line="440" w:lineRule="exact"/>
        <w:ind w:left="570"/>
        <w:textAlignment w:val="auto"/>
        <w:rPr>
          <w:szCs w:val="21"/>
        </w:rPr>
      </w:pPr>
    </w:p>
    <w:p w14:paraId="083C01C8">
      <w:pPr>
        <w:widowControl w:val="0"/>
        <w:spacing w:line="440" w:lineRule="exact"/>
        <w:ind w:left="570"/>
        <w:textAlignment w:val="auto"/>
        <w:rPr>
          <w:szCs w:val="21"/>
        </w:rPr>
      </w:pPr>
    </w:p>
    <w:p w14:paraId="054C2341">
      <w:pPr>
        <w:widowControl w:val="0"/>
        <w:spacing w:line="440" w:lineRule="exact"/>
        <w:textAlignment w:val="auto"/>
        <w:rPr>
          <w:sz w:val="24"/>
        </w:rPr>
      </w:pPr>
    </w:p>
    <w:p w14:paraId="65D56337">
      <w:pPr>
        <w:widowControl w:val="0"/>
        <w:spacing w:line="440" w:lineRule="exact"/>
        <w:textAlignment w:val="auto"/>
        <w:rPr>
          <w:sz w:val="24"/>
        </w:rPr>
      </w:pPr>
    </w:p>
    <w:p w14:paraId="671F7E70">
      <w:pPr>
        <w:widowControl w:val="0"/>
        <w:tabs>
          <w:tab w:val="left" w:pos="6410"/>
        </w:tabs>
        <w:spacing w:line="440" w:lineRule="exact"/>
        <w:textAlignment w:val="auto"/>
        <w:rPr>
          <w:sz w:val="28"/>
          <w:szCs w:val="28"/>
        </w:rPr>
      </w:pPr>
      <w:r>
        <w:rPr>
          <w:sz w:val="28"/>
          <w:szCs w:val="28"/>
        </w:rPr>
        <w:t xml:space="preserve">                              </w:t>
      </w:r>
      <w:r>
        <w:rPr>
          <w:rFonts w:hint="eastAsia"/>
          <w:sz w:val="28"/>
          <w:szCs w:val="28"/>
        </w:rPr>
        <w:t>年</w:t>
      </w:r>
      <w:r>
        <w:rPr>
          <w:sz w:val="28"/>
          <w:szCs w:val="28"/>
        </w:rPr>
        <w:t xml:space="preserve">   </w:t>
      </w:r>
      <w:r>
        <w:rPr>
          <w:rFonts w:hint="eastAsia"/>
          <w:sz w:val="28"/>
          <w:szCs w:val="28"/>
        </w:rPr>
        <w:t>月</w:t>
      </w:r>
      <w:r>
        <w:rPr>
          <w:sz w:val="28"/>
          <w:szCs w:val="28"/>
        </w:rPr>
        <w:t xml:space="preserve">   </w:t>
      </w:r>
      <w:r>
        <w:rPr>
          <w:rFonts w:hint="eastAsia"/>
          <w:sz w:val="28"/>
          <w:szCs w:val="28"/>
        </w:rPr>
        <w:t>日</w:t>
      </w:r>
    </w:p>
    <w:p w14:paraId="576F63D9">
      <w:pPr>
        <w:widowControl w:val="0"/>
        <w:spacing w:line="240" w:lineRule="atLeast"/>
        <w:textAlignment w:val="auto"/>
        <w:rPr>
          <w:sz w:val="30"/>
          <w:szCs w:val="21"/>
        </w:rPr>
      </w:pPr>
    </w:p>
    <w:p w14:paraId="0A34FD1C">
      <w:pPr>
        <w:pStyle w:val="19"/>
        <w:jc w:val="right"/>
      </w:pPr>
      <w:r>
        <w:rPr>
          <w:rFonts w:hint="eastAsia"/>
        </w:rPr>
        <w:t>封</w:t>
      </w:r>
      <w:r>
        <w:t>-1</w:t>
      </w:r>
    </w:p>
    <w:p w14:paraId="2CC45F15">
      <w:pPr>
        <w:pStyle w:val="19"/>
        <w:jc w:val="right"/>
      </w:pPr>
    </w:p>
    <w:p w14:paraId="650D20E3">
      <w:pPr>
        <w:pStyle w:val="19"/>
      </w:pPr>
    </w:p>
    <w:p w14:paraId="1D168F08">
      <w:pPr>
        <w:widowControl w:val="0"/>
        <w:tabs>
          <w:tab w:val="left" w:pos="6135"/>
        </w:tabs>
        <w:textAlignment w:val="auto"/>
        <w:rPr>
          <w:rFonts w:eastAsia="黑体"/>
        </w:rPr>
      </w:pPr>
    </w:p>
    <w:p w14:paraId="665A1FAB">
      <w:pPr>
        <w:widowControl w:val="0"/>
        <w:tabs>
          <w:tab w:val="left" w:pos="6135"/>
        </w:tabs>
        <w:jc w:val="center"/>
        <w:textAlignment w:val="auto"/>
        <w:rPr>
          <w:b/>
          <w:bCs/>
        </w:rPr>
      </w:pPr>
      <w:r>
        <w:rPr>
          <w:rFonts w:eastAsia="黑体"/>
          <w:sz w:val="32"/>
          <w:szCs w:val="32"/>
        </w:rPr>
        <w:t>B.2</w:t>
      </w:r>
      <w:r>
        <w:rPr>
          <w:rFonts w:hint="eastAsia" w:eastAsia="黑体"/>
          <w:sz w:val="32"/>
          <w:szCs w:val="32"/>
        </w:rPr>
        <w:t>招标控制价封面</w:t>
      </w:r>
    </w:p>
    <w:p w14:paraId="4FB6014C">
      <w:pPr>
        <w:widowControl w:val="0"/>
        <w:spacing w:line="360" w:lineRule="auto"/>
        <w:ind w:firstLine="1800" w:firstLineChars="600"/>
        <w:textAlignment w:val="auto"/>
        <w:rPr>
          <w:sz w:val="30"/>
          <w:szCs w:val="30"/>
          <w:u w:val="single"/>
        </w:rPr>
      </w:pPr>
    </w:p>
    <w:p w14:paraId="783657AD">
      <w:pPr>
        <w:widowControl w:val="0"/>
        <w:spacing w:line="360" w:lineRule="auto"/>
        <w:ind w:firstLine="2250" w:firstLineChars="750"/>
        <w:textAlignment w:val="auto"/>
        <w:rPr>
          <w:sz w:val="30"/>
          <w:szCs w:val="30"/>
        </w:rPr>
      </w:pPr>
      <w:r>
        <w:rPr>
          <w:sz w:val="30"/>
          <w:szCs w:val="30"/>
          <w:u w:val="single"/>
        </w:rPr>
        <w:t xml:space="preserve">                          </w:t>
      </w:r>
      <w:r>
        <w:rPr>
          <w:rFonts w:hint="eastAsia"/>
          <w:sz w:val="30"/>
          <w:szCs w:val="30"/>
        </w:rPr>
        <w:t>工程</w:t>
      </w:r>
    </w:p>
    <w:p w14:paraId="746134EA">
      <w:pPr>
        <w:widowControl w:val="0"/>
        <w:spacing w:line="360" w:lineRule="auto"/>
        <w:textAlignment w:val="auto"/>
        <w:rPr>
          <w:rFonts w:eastAsia="黑体"/>
          <w:sz w:val="30"/>
          <w:szCs w:val="30"/>
        </w:rPr>
      </w:pPr>
    </w:p>
    <w:p w14:paraId="3D97CF0D">
      <w:pPr>
        <w:pStyle w:val="19"/>
      </w:pPr>
    </w:p>
    <w:p w14:paraId="56B1F388">
      <w:pPr>
        <w:widowControl w:val="0"/>
        <w:spacing w:line="360" w:lineRule="auto"/>
        <w:jc w:val="center"/>
        <w:textAlignment w:val="auto"/>
        <w:rPr>
          <w:b/>
          <w:bCs/>
          <w:sz w:val="30"/>
          <w:szCs w:val="30"/>
        </w:rPr>
      </w:pPr>
      <w:r>
        <w:rPr>
          <w:rFonts w:hint="eastAsia"/>
          <w:sz w:val="48"/>
          <w:szCs w:val="48"/>
        </w:rPr>
        <w:t>招标控制价</w:t>
      </w:r>
    </w:p>
    <w:p w14:paraId="273EDA0D">
      <w:pPr>
        <w:widowControl w:val="0"/>
        <w:spacing w:line="360" w:lineRule="auto"/>
        <w:jc w:val="center"/>
        <w:textAlignment w:val="auto"/>
        <w:rPr>
          <w:sz w:val="36"/>
          <w:szCs w:val="36"/>
        </w:rPr>
      </w:pPr>
    </w:p>
    <w:p w14:paraId="0ED4840E">
      <w:pPr>
        <w:widowControl w:val="0"/>
        <w:spacing w:line="440" w:lineRule="exact"/>
        <w:textAlignment w:val="auto"/>
        <w:rPr>
          <w:sz w:val="28"/>
          <w:szCs w:val="28"/>
        </w:rPr>
      </w:pPr>
      <w:r>
        <w:rPr>
          <w:rFonts w:eastAsia="黑体"/>
          <w:sz w:val="28"/>
          <w:szCs w:val="28"/>
        </w:rPr>
        <w:t xml:space="preserve">                            </w:t>
      </w:r>
    </w:p>
    <w:p w14:paraId="34E07E86">
      <w:pPr>
        <w:widowControl w:val="0"/>
        <w:spacing w:line="440" w:lineRule="exact"/>
        <w:textAlignment w:val="auto"/>
        <w:rPr>
          <w:sz w:val="28"/>
          <w:szCs w:val="28"/>
        </w:rPr>
      </w:pPr>
    </w:p>
    <w:p w14:paraId="02E94FA2">
      <w:pPr>
        <w:widowControl w:val="0"/>
        <w:spacing w:line="440" w:lineRule="exact"/>
        <w:textAlignment w:val="auto"/>
        <w:rPr>
          <w:sz w:val="28"/>
          <w:szCs w:val="28"/>
        </w:rPr>
      </w:pPr>
    </w:p>
    <w:p w14:paraId="2DEC50C5">
      <w:pPr>
        <w:widowControl w:val="0"/>
        <w:spacing w:line="440" w:lineRule="exact"/>
        <w:textAlignment w:val="auto"/>
        <w:rPr>
          <w:sz w:val="28"/>
          <w:szCs w:val="28"/>
        </w:rPr>
      </w:pPr>
    </w:p>
    <w:p w14:paraId="2B2CE836">
      <w:pPr>
        <w:widowControl w:val="0"/>
        <w:spacing w:line="440" w:lineRule="exact"/>
        <w:textAlignment w:val="auto"/>
        <w:rPr>
          <w:sz w:val="28"/>
          <w:szCs w:val="28"/>
        </w:rPr>
      </w:pPr>
    </w:p>
    <w:p w14:paraId="1599F5A2">
      <w:pPr>
        <w:widowControl w:val="0"/>
        <w:spacing w:line="440" w:lineRule="exact"/>
        <w:textAlignment w:val="auto"/>
        <w:rPr>
          <w:sz w:val="28"/>
          <w:szCs w:val="28"/>
        </w:rPr>
      </w:pPr>
    </w:p>
    <w:p w14:paraId="64D1F60E">
      <w:pPr>
        <w:widowControl w:val="0"/>
        <w:spacing w:line="440" w:lineRule="exact"/>
        <w:textAlignment w:val="auto"/>
        <w:rPr>
          <w:sz w:val="28"/>
          <w:szCs w:val="28"/>
        </w:rPr>
      </w:pPr>
    </w:p>
    <w:p w14:paraId="08301CDE">
      <w:pPr>
        <w:widowControl w:val="0"/>
        <w:spacing w:line="440" w:lineRule="exact"/>
        <w:textAlignment w:val="auto"/>
        <w:rPr>
          <w:sz w:val="28"/>
          <w:szCs w:val="28"/>
        </w:rPr>
      </w:pPr>
    </w:p>
    <w:p w14:paraId="3776ECCE">
      <w:pPr>
        <w:widowControl w:val="0"/>
        <w:spacing w:line="440" w:lineRule="exact"/>
        <w:textAlignment w:val="auto"/>
        <w:rPr>
          <w:sz w:val="28"/>
          <w:szCs w:val="28"/>
        </w:rPr>
      </w:pPr>
    </w:p>
    <w:p w14:paraId="465ABE2F">
      <w:pPr>
        <w:widowControl w:val="0"/>
        <w:spacing w:line="440" w:lineRule="exact"/>
        <w:ind w:firstLine="1960" w:firstLineChars="700"/>
        <w:textAlignment w:val="auto"/>
        <w:rPr>
          <w:sz w:val="28"/>
          <w:szCs w:val="28"/>
        </w:rPr>
      </w:pPr>
      <w:r>
        <w:rPr>
          <w:rFonts w:hint="eastAsia"/>
          <w:sz w:val="28"/>
          <w:szCs w:val="28"/>
        </w:rPr>
        <w:t>招</w:t>
      </w:r>
      <w:r>
        <w:rPr>
          <w:sz w:val="28"/>
          <w:szCs w:val="28"/>
        </w:rPr>
        <w:t xml:space="preserve">  </w:t>
      </w:r>
      <w:r>
        <w:rPr>
          <w:rFonts w:hint="eastAsia"/>
          <w:sz w:val="28"/>
          <w:szCs w:val="28"/>
        </w:rPr>
        <w:t>标</w:t>
      </w:r>
      <w:r>
        <w:rPr>
          <w:sz w:val="28"/>
          <w:szCs w:val="28"/>
        </w:rPr>
        <w:t xml:space="preserve">  </w:t>
      </w:r>
      <w:r>
        <w:rPr>
          <w:rFonts w:hint="eastAsia"/>
          <w:sz w:val="28"/>
          <w:szCs w:val="28"/>
        </w:rPr>
        <w:t>人</w:t>
      </w:r>
      <w:r>
        <w:rPr>
          <w:sz w:val="28"/>
          <w:szCs w:val="28"/>
        </w:rPr>
        <w:t>:</w:t>
      </w:r>
      <w:r>
        <w:rPr>
          <w:sz w:val="28"/>
          <w:szCs w:val="28"/>
          <w:u w:val="single"/>
        </w:rPr>
        <w:t xml:space="preserve">               </w:t>
      </w:r>
      <w:r>
        <w:rPr>
          <w:sz w:val="28"/>
          <w:szCs w:val="28"/>
        </w:rPr>
        <w:t xml:space="preserve">   </w:t>
      </w:r>
    </w:p>
    <w:p w14:paraId="62F636C2">
      <w:pPr>
        <w:widowControl w:val="0"/>
        <w:spacing w:line="440" w:lineRule="exact"/>
        <w:ind w:left="570"/>
        <w:textAlignment w:val="auto"/>
        <w:rPr>
          <w:szCs w:val="21"/>
        </w:rPr>
      </w:pPr>
      <w:r>
        <w:rPr>
          <w:sz w:val="28"/>
          <w:szCs w:val="28"/>
        </w:rPr>
        <w:t xml:space="preserve">                       </w:t>
      </w:r>
      <w:r>
        <w:rPr>
          <w:rFonts w:hint="eastAsia"/>
          <w:szCs w:val="21"/>
        </w:rPr>
        <w:t>（单位盖章）</w:t>
      </w:r>
      <w:r>
        <w:rPr>
          <w:sz w:val="24"/>
        </w:rPr>
        <w:t xml:space="preserve">                       </w:t>
      </w:r>
    </w:p>
    <w:p w14:paraId="67C368AC">
      <w:pPr>
        <w:widowControl w:val="0"/>
        <w:spacing w:line="440" w:lineRule="exact"/>
        <w:ind w:firstLine="1960" w:firstLineChars="700"/>
        <w:textAlignment w:val="auto"/>
        <w:rPr>
          <w:sz w:val="28"/>
          <w:szCs w:val="28"/>
        </w:rPr>
      </w:pPr>
      <w:r>
        <w:rPr>
          <w:rFonts w:hint="eastAsia"/>
          <w:sz w:val="28"/>
          <w:szCs w:val="28"/>
        </w:rPr>
        <w:t>造价咨询人</w:t>
      </w:r>
      <w:r>
        <w:rPr>
          <w:sz w:val="28"/>
          <w:szCs w:val="28"/>
        </w:rPr>
        <w:t>:</w:t>
      </w:r>
      <w:r>
        <w:rPr>
          <w:rFonts w:eastAsia="黑体"/>
          <w:sz w:val="28"/>
          <w:szCs w:val="28"/>
          <w:u w:val="single"/>
        </w:rPr>
        <w:t xml:space="preserve">                </w:t>
      </w:r>
    </w:p>
    <w:p w14:paraId="5D5C49E3">
      <w:pPr>
        <w:widowControl w:val="0"/>
        <w:spacing w:line="440" w:lineRule="exact"/>
        <w:ind w:left="570"/>
        <w:textAlignment w:val="auto"/>
        <w:rPr>
          <w:szCs w:val="21"/>
        </w:rPr>
      </w:pPr>
      <w:r>
        <w:rPr>
          <w:sz w:val="28"/>
          <w:szCs w:val="28"/>
        </w:rPr>
        <w:t xml:space="preserve"> </w:t>
      </w:r>
      <w:r>
        <w:rPr>
          <w:sz w:val="24"/>
        </w:rPr>
        <w:t xml:space="preserve">                          </w:t>
      </w:r>
      <w:r>
        <w:rPr>
          <w:rFonts w:hint="eastAsia"/>
          <w:szCs w:val="21"/>
        </w:rPr>
        <w:t>（单位盖章）</w:t>
      </w:r>
      <w:r>
        <w:rPr>
          <w:sz w:val="24"/>
        </w:rPr>
        <w:t xml:space="preserve">    </w:t>
      </w:r>
    </w:p>
    <w:p w14:paraId="12852B47">
      <w:pPr>
        <w:widowControl w:val="0"/>
        <w:spacing w:line="440" w:lineRule="exact"/>
        <w:ind w:left="570"/>
        <w:textAlignment w:val="auto"/>
        <w:rPr>
          <w:szCs w:val="21"/>
        </w:rPr>
      </w:pPr>
    </w:p>
    <w:p w14:paraId="41C20A7F">
      <w:pPr>
        <w:widowControl w:val="0"/>
        <w:spacing w:line="440" w:lineRule="exact"/>
        <w:ind w:left="570"/>
        <w:textAlignment w:val="auto"/>
        <w:rPr>
          <w:szCs w:val="21"/>
        </w:rPr>
      </w:pPr>
    </w:p>
    <w:p w14:paraId="368ED4E6">
      <w:pPr>
        <w:widowControl w:val="0"/>
        <w:spacing w:line="440" w:lineRule="exact"/>
        <w:textAlignment w:val="auto"/>
        <w:rPr>
          <w:sz w:val="24"/>
        </w:rPr>
      </w:pPr>
    </w:p>
    <w:p w14:paraId="5A8A9E25">
      <w:pPr>
        <w:widowControl w:val="0"/>
        <w:spacing w:line="440" w:lineRule="exact"/>
        <w:textAlignment w:val="auto"/>
        <w:rPr>
          <w:sz w:val="24"/>
        </w:rPr>
      </w:pPr>
    </w:p>
    <w:p w14:paraId="1D7C9C6B">
      <w:pPr>
        <w:widowControl w:val="0"/>
        <w:tabs>
          <w:tab w:val="left" w:pos="6410"/>
        </w:tabs>
        <w:spacing w:line="440" w:lineRule="exact"/>
        <w:ind w:firstLine="980" w:firstLineChars="350"/>
        <w:textAlignment w:val="auto"/>
        <w:rPr>
          <w:sz w:val="28"/>
          <w:szCs w:val="28"/>
        </w:rPr>
      </w:pPr>
      <w:r>
        <w:rPr>
          <w:sz w:val="28"/>
          <w:szCs w:val="28"/>
        </w:rPr>
        <w:t xml:space="preserve">                        </w:t>
      </w:r>
      <w:r>
        <w:rPr>
          <w:rFonts w:hint="eastAsia"/>
          <w:sz w:val="28"/>
          <w:szCs w:val="28"/>
        </w:rPr>
        <w:t>年</w:t>
      </w:r>
      <w:r>
        <w:rPr>
          <w:sz w:val="28"/>
          <w:szCs w:val="28"/>
        </w:rPr>
        <w:t xml:space="preserve">   </w:t>
      </w:r>
      <w:r>
        <w:rPr>
          <w:rFonts w:hint="eastAsia"/>
          <w:sz w:val="28"/>
          <w:szCs w:val="28"/>
        </w:rPr>
        <w:t>月</w:t>
      </w:r>
      <w:r>
        <w:rPr>
          <w:sz w:val="28"/>
          <w:szCs w:val="28"/>
        </w:rPr>
        <w:t xml:space="preserve">   </w:t>
      </w:r>
      <w:r>
        <w:rPr>
          <w:rFonts w:hint="eastAsia"/>
          <w:sz w:val="28"/>
          <w:szCs w:val="28"/>
        </w:rPr>
        <w:t>日</w:t>
      </w:r>
    </w:p>
    <w:p w14:paraId="4227C84C">
      <w:pPr>
        <w:widowControl w:val="0"/>
        <w:spacing w:line="240" w:lineRule="atLeast"/>
        <w:textAlignment w:val="auto"/>
        <w:rPr>
          <w:szCs w:val="21"/>
        </w:rPr>
      </w:pPr>
    </w:p>
    <w:p w14:paraId="7E049A47">
      <w:pPr>
        <w:widowControl w:val="0"/>
        <w:spacing w:line="240" w:lineRule="atLeast"/>
        <w:jc w:val="right"/>
        <w:textAlignment w:val="auto"/>
        <w:rPr>
          <w:szCs w:val="21"/>
        </w:rPr>
      </w:pPr>
      <w:r>
        <w:rPr>
          <w:rFonts w:hint="eastAsia"/>
          <w:szCs w:val="21"/>
        </w:rPr>
        <w:t>封</w:t>
      </w:r>
      <w:r>
        <w:rPr>
          <w:szCs w:val="21"/>
        </w:rPr>
        <w:t>-2</w:t>
      </w:r>
    </w:p>
    <w:p w14:paraId="13C23812">
      <w:pPr>
        <w:widowControl w:val="0"/>
        <w:spacing w:line="240" w:lineRule="atLeast"/>
        <w:textAlignment w:val="auto"/>
        <w:rPr>
          <w:sz w:val="30"/>
          <w:szCs w:val="21"/>
        </w:rPr>
      </w:pPr>
    </w:p>
    <w:p w14:paraId="3F50B85E">
      <w:pPr>
        <w:pStyle w:val="19"/>
      </w:pPr>
    </w:p>
    <w:p w14:paraId="411CB3BB">
      <w:pPr>
        <w:widowControl w:val="0"/>
        <w:tabs>
          <w:tab w:val="left" w:pos="6135"/>
        </w:tabs>
        <w:textAlignment w:val="auto"/>
        <w:rPr>
          <w:rFonts w:eastAsia="黑体"/>
        </w:rPr>
      </w:pPr>
    </w:p>
    <w:p w14:paraId="6B7F8EDE">
      <w:pPr>
        <w:widowControl w:val="0"/>
        <w:tabs>
          <w:tab w:val="left" w:pos="6135"/>
        </w:tabs>
        <w:jc w:val="center"/>
        <w:textAlignment w:val="auto"/>
        <w:rPr>
          <w:b/>
          <w:bCs/>
        </w:rPr>
      </w:pPr>
      <w:r>
        <w:rPr>
          <w:rFonts w:eastAsia="黑体"/>
          <w:sz w:val="32"/>
          <w:szCs w:val="32"/>
        </w:rPr>
        <w:t>B.3</w:t>
      </w:r>
      <w:r>
        <w:rPr>
          <w:rFonts w:hint="eastAsia" w:eastAsia="黑体"/>
          <w:sz w:val="32"/>
          <w:szCs w:val="32"/>
        </w:rPr>
        <w:t>投标总价封面</w:t>
      </w:r>
    </w:p>
    <w:p w14:paraId="2A475025">
      <w:pPr>
        <w:widowControl w:val="0"/>
        <w:spacing w:line="360" w:lineRule="auto"/>
        <w:ind w:firstLine="1800" w:firstLineChars="600"/>
        <w:textAlignment w:val="auto"/>
        <w:rPr>
          <w:sz w:val="30"/>
          <w:szCs w:val="30"/>
          <w:u w:val="single"/>
        </w:rPr>
      </w:pPr>
    </w:p>
    <w:p w14:paraId="6B784200">
      <w:pPr>
        <w:widowControl w:val="0"/>
        <w:spacing w:line="360" w:lineRule="auto"/>
        <w:ind w:firstLine="2250" w:firstLineChars="750"/>
        <w:textAlignment w:val="auto"/>
        <w:rPr>
          <w:sz w:val="30"/>
          <w:szCs w:val="30"/>
        </w:rPr>
      </w:pPr>
      <w:r>
        <w:rPr>
          <w:sz w:val="30"/>
          <w:szCs w:val="30"/>
          <w:u w:val="single"/>
        </w:rPr>
        <w:t xml:space="preserve">                          </w:t>
      </w:r>
      <w:r>
        <w:rPr>
          <w:rFonts w:hint="eastAsia"/>
          <w:sz w:val="30"/>
          <w:szCs w:val="30"/>
        </w:rPr>
        <w:t>工程</w:t>
      </w:r>
    </w:p>
    <w:p w14:paraId="3323530E">
      <w:pPr>
        <w:widowControl w:val="0"/>
        <w:spacing w:line="240" w:lineRule="atLeast"/>
        <w:textAlignment w:val="auto"/>
        <w:rPr>
          <w:sz w:val="30"/>
          <w:szCs w:val="30"/>
        </w:rPr>
      </w:pPr>
    </w:p>
    <w:p w14:paraId="29BC704E">
      <w:pPr>
        <w:widowControl w:val="0"/>
        <w:spacing w:line="240" w:lineRule="atLeast"/>
        <w:textAlignment w:val="auto"/>
        <w:rPr>
          <w:sz w:val="30"/>
          <w:szCs w:val="30"/>
        </w:rPr>
      </w:pPr>
    </w:p>
    <w:p w14:paraId="3BA04F95">
      <w:pPr>
        <w:widowControl w:val="0"/>
        <w:spacing w:line="360" w:lineRule="auto"/>
        <w:jc w:val="center"/>
        <w:textAlignment w:val="auto"/>
        <w:rPr>
          <w:b/>
          <w:bCs/>
          <w:sz w:val="30"/>
          <w:szCs w:val="30"/>
        </w:rPr>
      </w:pPr>
      <w:r>
        <w:rPr>
          <w:rFonts w:hint="eastAsia"/>
          <w:sz w:val="48"/>
          <w:szCs w:val="48"/>
        </w:rPr>
        <w:t>投标总价</w:t>
      </w:r>
    </w:p>
    <w:p w14:paraId="0972306C">
      <w:pPr>
        <w:widowControl w:val="0"/>
        <w:spacing w:line="360" w:lineRule="auto"/>
        <w:textAlignment w:val="auto"/>
        <w:rPr>
          <w:rFonts w:eastAsia="黑体"/>
          <w:sz w:val="30"/>
          <w:szCs w:val="30"/>
        </w:rPr>
      </w:pPr>
    </w:p>
    <w:p w14:paraId="67F7A861">
      <w:pPr>
        <w:widowControl w:val="0"/>
        <w:spacing w:line="240" w:lineRule="atLeast"/>
        <w:textAlignment w:val="auto"/>
        <w:rPr>
          <w:b/>
          <w:bCs/>
          <w:sz w:val="30"/>
          <w:szCs w:val="20"/>
        </w:rPr>
      </w:pPr>
    </w:p>
    <w:p w14:paraId="4022A4E9">
      <w:pPr>
        <w:widowControl w:val="0"/>
        <w:spacing w:line="240" w:lineRule="atLeast"/>
        <w:textAlignment w:val="auto"/>
        <w:rPr>
          <w:b/>
          <w:bCs/>
          <w:sz w:val="30"/>
          <w:szCs w:val="20"/>
        </w:rPr>
      </w:pPr>
    </w:p>
    <w:p w14:paraId="37B5C733">
      <w:pPr>
        <w:widowControl w:val="0"/>
        <w:spacing w:line="240" w:lineRule="atLeast"/>
        <w:textAlignment w:val="auto"/>
        <w:rPr>
          <w:b/>
          <w:bCs/>
          <w:sz w:val="30"/>
          <w:szCs w:val="20"/>
        </w:rPr>
      </w:pPr>
    </w:p>
    <w:p w14:paraId="15A2D362">
      <w:pPr>
        <w:widowControl w:val="0"/>
        <w:tabs>
          <w:tab w:val="left" w:pos="6135"/>
        </w:tabs>
        <w:textAlignment w:val="auto"/>
        <w:rPr>
          <w:rFonts w:eastAsia="黑体"/>
        </w:rPr>
      </w:pPr>
    </w:p>
    <w:p w14:paraId="24B3EC7D">
      <w:pPr>
        <w:widowControl w:val="0"/>
        <w:tabs>
          <w:tab w:val="left" w:pos="6135"/>
        </w:tabs>
        <w:textAlignment w:val="auto"/>
        <w:rPr>
          <w:rFonts w:eastAsia="黑体"/>
        </w:rPr>
      </w:pPr>
    </w:p>
    <w:p w14:paraId="74078901">
      <w:pPr>
        <w:widowControl w:val="0"/>
        <w:tabs>
          <w:tab w:val="left" w:pos="6135"/>
        </w:tabs>
        <w:textAlignment w:val="auto"/>
        <w:rPr>
          <w:rFonts w:eastAsia="黑体"/>
        </w:rPr>
      </w:pPr>
    </w:p>
    <w:p w14:paraId="46A25067">
      <w:pPr>
        <w:widowControl w:val="0"/>
        <w:spacing w:line="440" w:lineRule="exact"/>
        <w:ind w:firstLine="1960" w:firstLineChars="700"/>
        <w:textAlignment w:val="auto"/>
        <w:rPr>
          <w:sz w:val="28"/>
          <w:szCs w:val="28"/>
        </w:rPr>
      </w:pPr>
    </w:p>
    <w:p w14:paraId="6BFBC07C">
      <w:pPr>
        <w:widowControl w:val="0"/>
        <w:spacing w:line="440" w:lineRule="exact"/>
        <w:ind w:firstLine="1960" w:firstLineChars="700"/>
        <w:textAlignment w:val="auto"/>
        <w:rPr>
          <w:sz w:val="28"/>
          <w:szCs w:val="28"/>
        </w:rPr>
      </w:pPr>
    </w:p>
    <w:p w14:paraId="37F745A5">
      <w:pPr>
        <w:widowControl w:val="0"/>
        <w:spacing w:line="440" w:lineRule="exact"/>
        <w:ind w:firstLine="1960" w:firstLineChars="700"/>
        <w:textAlignment w:val="auto"/>
        <w:rPr>
          <w:sz w:val="28"/>
          <w:szCs w:val="28"/>
        </w:rPr>
      </w:pPr>
    </w:p>
    <w:p w14:paraId="414F5A00">
      <w:pPr>
        <w:widowControl w:val="0"/>
        <w:spacing w:line="440" w:lineRule="exact"/>
        <w:ind w:firstLine="2240" w:firstLineChars="800"/>
        <w:textAlignment w:val="auto"/>
        <w:rPr>
          <w:sz w:val="28"/>
          <w:szCs w:val="28"/>
        </w:rPr>
      </w:pPr>
      <w:r>
        <w:rPr>
          <w:rFonts w:hint="eastAsia"/>
          <w:sz w:val="28"/>
          <w:szCs w:val="28"/>
        </w:rPr>
        <w:t>投</w:t>
      </w:r>
      <w:r>
        <w:rPr>
          <w:sz w:val="28"/>
          <w:szCs w:val="28"/>
        </w:rPr>
        <w:t xml:space="preserve"> </w:t>
      </w:r>
      <w:r>
        <w:rPr>
          <w:rFonts w:hint="eastAsia"/>
          <w:sz w:val="28"/>
          <w:szCs w:val="28"/>
        </w:rPr>
        <w:t>标</w:t>
      </w:r>
      <w:r>
        <w:rPr>
          <w:sz w:val="28"/>
          <w:szCs w:val="28"/>
        </w:rPr>
        <w:t xml:space="preserve"> </w:t>
      </w:r>
      <w:r>
        <w:rPr>
          <w:rFonts w:hint="eastAsia"/>
          <w:sz w:val="28"/>
          <w:szCs w:val="28"/>
        </w:rPr>
        <w:t>人</w:t>
      </w:r>
      <w:r>
        <w:rPr>
          <w:sz w:val="28"/>
          <w:szCs w:val="28"/>
        </w:rPr>
        <w:t>:</w:t>
      </w:r>
      <w:r>
        <w:rPr>
          <w:sz w:val="28"/>
          <w:szCs w:val="28"/>
          <w:u w:val="single"/>
        </w:rPr>
        <w:t xml:space="preserve">               </w:t>
      </w:r>
      <w:r>
        <w:rPr>
          <w:sz w:val="28"/>
          <w:szCs w:val="28"/>
        </w:rPr>
        <w:t xml:space="preserve">   </w:t>
      </w:r>
    </w:p>
    <w:p w14:paraId="0063F2D5">
      <w:pPr>
        <w:widowControl w:val="0"/>
        <w:spacing w:line="440" w:lineRule="exact"/>
        <w:ind w:left="570"/>
        <w:textAlignment w:val="auto"/>
        <w:rPr>
          <w:sz w:val="24"/>
        </w:rPr>
      </w:pPr>
      <w:r>
        <w:rPr>
          <w:sz w:val="28"/>
          <w:szCs w:val="28"/>
        </w:rPr>
        <w:t xml:space="preserve">                       </w:t>
      </w:r>
      <w:r>
        <w:rPr>
          <w:rFonts w:hint="eastAsia"/>
          <w:szCs w:val="21"/>
        </w:rPr>
        <w:t>（单位盖章）</w:t>
      </w:r>
      <w:r>
        <w:rPr>
          <w:sz w:val="24"/>
        </w:rPr>
        <w:t xml:space="preserve">                    </w:t>
      </w:r>
    </w:p>
    <w:p w14:paraId="080955AE">
      <w:pPr>
        <w:widowControl w:val="0"/>
        <w:spacing w:line="440" w:lineRule="exact"/>
        <w:textAlignment w:val="auto"/>
        <w:rPr>
          <w:sz w:val="24"/>
        </w:rPr>
      </w:pPr>
    </w:p>
    <w:p w14:paraId="5F5F6505">
      <w:pPr>
        <w:widowControl w:val="0"/>
        <w:spacing w:line="440" w:lineRule="exact"/>
        <w:ind w:firstLine="2520" w:firstLineChars="900"/>
        <w:textAlignment w:val="auto"/>
        <w:rPr>
          <w:sz w:val="28"/>
          <w:szCs w:val="28"/>
        </w:rPr>
      </w:pPr>
      <w:r>
        <w:rPr>
          <w:sz w:val="28"/>
          <w:szCs w:val="28"/>
        </w:rPr>
        <w:t xml:space="preserve">  </w:t>
      </w:r>
    </w:p>
    <w:p w14:paraId="47B3FB9F">
      <w:pPr>
        <w:widowControl w:val="0"/>
        <w:spacing w:line="440" w:lineRule="exact"/>
        <w:ind w:firstLine="2520" w:firstLineChars="900"/>
        <w:textAlignment w:val="auto"/>
        <w:rPr>
          <w:sz w:val="28"/>
          <w:szCs w:val="28"/>
        </w:rPr>
      </w:pPr>
    </w:p>
    <w:p w14:paraId="2845778F">
      <w:pPr>
        <w:widowControl w:val="0"/>
        <w:spacing w:line="440" w:lineRule="exact"/>
        <w:ind w:firstLine="2520" w:firstLineChars="900"/>
        <w:textAlignment w:val="auto"/>
        <w:rPr>
          <w:sz w:val="28"/>
          <w:szCs w:val="28"/>
        </w:rPr>
      </w:pPr>
    </w:p>
    <w:p w14:paraId="22C25305">
      <w:pPr>
        <w:widowControl w:val="0"/>
        <w:spacing w:line="440" w:lineRule="exact"/>
        <w:ind w:firstLine="4200" w:firstLineChars="1500"/>
        <w:textAlignment w:val="auto"/>
        <w:rPr>
          <w:sz w:val="28"/>
          <w:szCs w:val="28"/>
        </w:rPr>
      </w:pPr>
      <w:r>
        <w:rPr>
          <w:rFonts w:hint="eastAsia"/>
          <w:sz w:val="28"/>
          <w:szCs w:val="28"/>
        </w:rPr>
        <w:t>年</w:t>
      </w:r>
      <w:r>
        <w:rPr>
          <w:sz w:val="28"/>
          <w:szCs w:val="28"/>
        </w:rPr>
        <w:t xml:space="preserve">   </w:t>
      </w:r>
      <w:r>
        <w:rPr>
          <w:rFonts w:hint="eastAsia"/>
          <w:sz w:val="28"/>
          <w:szCs w:val="28"/>
        </w:rPr>
        <w:t>月</w:t>
      </w:r>
      <w:r>
        <w:rPr>
          <w:sz w:val="28"/>
          <w:szCs w:val="28"/>
        </w:rPr>
        <w:t xml:space="preserve">   </w:t>
      </w:r>
      <w:r>
        <w:rPr>
          <w:rFonts w:hint="eastAsia"/>
          <w:sz w:val="28"/>
          <w:szCs w:val="28"/>
        </w:rPr>
        <w:t>日</w:t>
      </w:r>
    </w:p>
    <w:p w14:paraId="18A33170">
      <w:pPr>
        <w:widowControl w:val="0"/>
        <w:spacing w:line="240" w:lineRule="atLeast"/>
        <w:textAlignment w:val="auto"/>
        <w:rPr>
          <w:szCs w:val="21"/>
        </w:rPr>
      </w:pPr>
    </w:p>
    <w:p w14:paraId="0909DA25">
      <w:pPr>
        <w:pStyle w:val="19"/>
      </w:pPr>
    </w:p>
    <w:p w14:paraId="122BC155">
      <w:pPr>
        <w:widowControl w:val="0"/>
        <w:spacing w:line="240" w:lineRule="atLeast"/>
        <w:jc w:val="right"/>
        <w:textAlignment w:val="auto"/>
        <w:rPr>
          <w:szCs w:val="21"/>
        </w:rPr>
      </w:pPr>
      <w:r>
        <w:rPr>
          <w:rFonts w:hint="eastAsia"/>
          <w:szCs w:val="21"/>
        </w:rPr>
        <w:t>封</w:t>
      </w:r>
      <w:r>
        <w:rPr>
          <w:szCs w:val="21"/>
        </w:rPr>
        <w:t>-3</w:t>
      </w:r>
    </w:p>
    <w:p w14:paraId="1E356D34">
      <w:pPr>
        <w:pStyle w:val="19"/>
      </w:pPr>
    </w:p>
    <w:p w14:paraId="18EDAF0D">
      <w:pPr>
        <w:widowControl w:val="0"/>
        <w:spacing w:line="240" w:lineRule="atLeast"/>
        <w:textAlignment w:val="auto"/>
        <w:rPr>
          <w:sz w:val="30"/>
          <w:szCs w:val="21"/>
        </w:rPr>
      </w:pPr>
    </w:p>
    <w:p w14:paraId="551D15F6">
      <w:pPr>
        <w:widowControl w:val="0"/>
        <w:spacing w:line="360" w:lineRule="auto"/>
        <w:ind w:firstLine="2319" w:firstLineChars="1100"/>
        <w:textAlignment w:val="auto"/>
        <w:rPr>
          <w:b/>
          <w:bCs/>
        </w:rPr>
      </w:pPr>
    </w:p>
    <w:p w14:paraId="2F5F162D">
      <w:pPr>
        <w:widowControl w:val="0"/>
        <w:tabs>
          <w:tab w:val="left" w:pos="6135"/>
        </w:tabs>
        <w:jc w:val="center"/>
        <w:textAlignment w:val="auto"/>
        <w:rPr>
          <w:rFonts w:eastAsia="黑体"/>
          <w:sz w:val="32"/>
          <w:szCs w:val="32"/>
        </w:rPr>
      </w:pPr>
      <w:r>
        <w:rPr>
          <w:rFonts w:eastAsia="黑体"/>
          <w:sz w:val="32"/>
          <w:szCs w:val="32"/>
        </w:rPr>
        <w:t>C.1</w:t>
      </w:r>
      <w:r>
        <w:rPr>
          <w:rFonts w:hint="eastAsia" w:eastAsia="黑体"/>
          <w:sz w:val="32"/>
          <w:szCs w:val="32"/>
        </w:rPr>
        <w:t>招标工程量清单扉页</w:t>
      </w:r>
    </w:p>
    <w:p w14:paraId="7FA78544">
      <w:pPr>
        <w:widowControl w:val="0"/>
        <w:spacing w:line="360" w:lineRule="auto"/>
        <w:ind w:firstLine="1800" w:firstLineChars="600"/>
        <w:textAlignment w:val="auto"/>
        <w:rPr>
          <w:sz w:val="30"/>
          <w:szCs w:val="30"/>
          <w:u w:val="single"/>
        </w:rPr>
      </w:pPr>
    </w:p>
    <w:p w14:paraId="5E56AA68">
      <w:pPr>
        <w:widowControl w:val="0"/>
        <w:spacing w:line="360" w:lineRule="auto"/>
        <w:ind w:firstLine="2100" w:firstLineChars="700"/>
        <w:textAlignment w:val="auto"/>
        <w:rPr>
          <w:sz w:val="30"/>
          <w:szCs w:val="30"/>
        </w:rPr>
      </w:pPr>
      <w:r>
        <w:rPr>
          <w:sz w:val="30"/>
          <w:szCs w:val="30"/>
          <w:u w:val="single"/>
        </w:rPr>
        <w:t xml:space="preserve">                          </w:t>
      </w:r>
      <w:r>
        <w:rPr>
          <w:rFonts w:hint="eastAsia"/>
          <w:sz w:val="30"/>
          <w:szCs w:val="30"/>
        </w:rPr>
        <w:t>工程</w:t>
      </w:r>
    </w:p>
    <w:p w14:paraId="44EAF605">
      <w:pPr>
        <w:widowControl w:val="0"/>
        <w:spacing w:line="360" w:lineRule="auto"/>
        <w:textAlignment w:val="auto"/>
        <w:rPr>
          <w:rFonts w:eastAsia="黑体"/>
          <w:sz w:val="30"/>
          <w:szCs w:val="30"/>
        </w:rPr>
      </w:pPr>
    </w:p>
    <w:p w14:paraId="7DC2110B">
      <w:pPr>
        <w:pStyle w:val="19"/>
      </w:pPr>
    </w:p>
    <w:p w14:paraId="1ECC17F5">
      <w:pPr>
        <w:widowControl w:val="0"/>
        <w:spacing w:line="360" w:lineRule="auto"/>
        <w:jc w:val="center"/>
        <w:textAlignment w:val="auto"/>
        <w:rPr>
          <w:rFonts w:eastAsia="黑体"/>
          <w:sz w:val="30"/>
          <w:szCs w:val="20"/>
        </w:rPr>
      </w:pPr>
      <w:r>
        <w:rPr>
          <w:rFonts w:hint="eastAsia"/>
          <w:sz w:val="48"/>
          <w:szCs w:val="48"/>
        </w:rPr>
        <w:t>招标工程量清单</w:t>
      </w:r>
    </w:p>
    <w:p w14:paraId="2255AB21">
      <w:pPr>
        <w:widowControl w:val="0"/>
        <w:spacing w:line="240" w:lineRule="atLeast"/>
        <w:textAlignment w:val="auto"/>
        <w:rPr>
          <w:sz w:val="30"/>
          <w:szCs w:val="20"/>
        </w:rPr>
      </w:pPr>
      <w:r>
        <w:rPr>
          <w:rFonts w:eastAsia="黑体"/>
          <w:sz w:val="30"/>
          <w:szCs w:val="20"/>
        </w:rPr>
        <w:t xml:space="preserve"> </w:t>
      </w:r>
    </w:p>
    <w:p w14:paraId="2700DABD">
      <w:pPr>
        <w:widowControl w:val="0"/>
        <w:tabs>
          <w:tab w:val="left" w:pos="6135"/>
        </w:tabs>
        <w:textAlignment w:val="auto"/>
        <w:rPr>
          <w:rFonts w:eastAsia="黑体"/>
        </w:rPr>
      </w:pPr>
    </w:p>
    <w:p w14:paraId="39B0FA64">
      <w:pPr>
        <w:widowControl w:val="0"/>
        <w:tabs>
          <w:tab w:val="left" w:pos="6135"/>
        </w:tabs>
        <w:textAlignment w:val="auto"/>
        <w:rPr>
          <w:rFonts w:eastAsia="黑体"/>
        </w:rPr>
      </w:pPr>
    </w:p>
    <w:p w14:paraId="329416CF">
      <w:pPr>
        <w:widowControl w:val="0"/>
        <w:tabs>
          <w:tab w:val="left" w:pos="6135"/>
        </w:tabs>
        <w:textAlignment w:val="auto"/>
        <w:rPr>
          <w:rFonts w:eastAsia="黑体"/>
        </w:rPr>
      </w:pPr>
    </w:p>
    <w:p w14:paraId="64BC3527">
      <w:pPr>
        <w:widowControl w:val="0"/>
        <w:tabs>
          <w:tab w:val="left" w:pos="6135"/>
        </w:tabs>
        <w:textAlignment w:val="auto"/>
        <w:rPr>
          <w:rFonts w:eastAsia="黑体"/>
        </w:rPr>
      </w:pPr>
    </w:p>
    <w:p w14:paraId="537A414B">
      <w:pPr>
        <w:widowControl w:val="0"/>
        <w:tabs>
          <w:tab w:val="left" w:pos="6135"/>
        </w:tabs>
        <w:textAlignment w:val="auto"/>
        <w:rPr>
          <w:rFonts w:eastAsia="黑体"/>
        </w:rPr>
      </w:pPr>
    </w:p>
    <w:p w14:paraId="63C3C9F1">
      <w:pPr>
        <w:widowControl w:val="0"/>
        <w:spacing w:line="440" w:lineRule="exact"/>
        <w:textAlignment w:val="auto"/>
      </w:pPr>
      <w:r>
        <w:rPr>
          <w:rFonts w:hint="eastAsia"/>
          <w:sz w:val="28"/>
          <w:szCs w:val="28"/>
        </w:rPr>
        <w:t>招标人：</w:t>
      </w:r>
      <w:r>
        <w:rPr>
          <w:sz w:val="28"/>
          <w:szCs w:val="28"/>
          <w:u w:val="single"/>
        </w:rPr>
        <w:t xml:space="preserve">                  </w:t>
      </w:r>
      <w:r>
        <w:rPr>
          <w:sz w:val="28"/>
          <w:szCs w:val="28"/>
        </w:rPr>
        <w:t xml:space="preserve">       </w:t>
      </w:r>
      <w:r>
        <w:rPr>
          <w:rFonts w:hint="eastAsia"/>
          <w:sz w:val="28"/>
          <w:szCs w:val="28"/>
        </w:rPr>
        <w:t>造价咨询人：</w:t>
      </w:r>
      <w:r>
        <w:rPr>
          <w:sz w:val="28"/>
          <w:szCs w:val="28"/>
          <w:u w:val="single"/>
        </w:rPr>
        <w:t xml:space="preserve">               </w:t>
      </w:r>
      <w:r>
        <w:rPr>
          <w:rFonts w:eastAsia="黑体"/>
          <w:sz w:val="28"/>
          <w:szCs w:val="28"/>
        </w:rPr>
        <w:t xml:space="preserve">    </w:t>
      </w:r>
    </w:p>
    <w:p w14:paraId="38803975">
      <w:pPr>
        <w:widowControl w:val="0"/>
        <w:spacing w:line="440" w:lineRule="exact"/>
        <w:ind w:left="570"/>
        <w:textAlignment w:val="auto"/>
        <w:rPr>
          <w:sz w:val="24"/>
        </w:rPr>
      </w:pPr>
      <w:r>
        <w:rPr>
          <w:sz w:val="28"/>
          <w:szCs w:val="28"/>
        </w:rPr>
        <w:t xml:space="preserve"> </w:t>
      </w:r>
      <w:r>
        <w:rPr>
          <w:sz w:val="24"/>
        </w:rPr>
        <w:t xml:space="preserve">    </w:t>
      </w:r>
      <w:r>
        <w:rPr>
          <w:rFonts w:hint="eastAsia"/>
          <w:szCs w:val="21"/>
        </w:rPr>
        <w:t>（单位盖章）</w:t>
      </w:r>
      <w:r>
        <w:rPr>
          <w:szCs w:val="21"/>
        </w:rPr>
        <w:t xml:space="preserve">                                   </w:t>
      </w:r>
      <w:r>
        <w:rPr>
          <w:rFonts w:hint="eastAsia"/>
          <w:szCs w:val="21"/>
        </w:rPr>
        <w:t>（单位盖章）</w:t>
      </w:r>
      <w:r>
        <w:rPr>
          <w:sz w:val="24"/>
        </w:rPr>
        <w:t xml:space="preserve">  </w:t>
      </w:r>
    </w:p>
    <w:p w14:paraId="7BB929A6">
      <w:pPr>
        <w:widowControl w:val="0"/>
        <w:spacing w:line="440" w:lineRule="exact"/>
        <w:ind w:left="570"/>
        <w:textAlignment w:val="auto"/>
        <w:rPr>
          <w:sz w:val="24"/>
        </w:rPr>
      </w:pPr>
    </w:p>
    <w:p w14:paraId="7238A9A9">
      <w:pPr>
        <w:widowControl w:val="0"/>
        <w:spacing w:line="440" w:lineRule="exact"/>
        <w:textAlignment w:val="auto"/>
        <w:rPr>
          <w:sz w:val="24"/>
        </w:rPr>
      </w:pPr>
    </w:p>
    <w:p w14:paraId="2FE58AAA">
      <w:pPr>
        <w:widowControl w:val="0"/>
        <w:spacing w:line="440" w:lineRule="exact"/>
        <w:textAlignment w:val="auto"/>
        <w:rPr>
          <w:sz w:val="24"/>
        </w:rPr>
      </w:pPr>
      <w:r>
        <w:rPr>
          <w:rFonts w:hint="eastAsia"/>
          <w:sz w:val="24"/>
        </w:rPr>
        <w:t>法定代表人</w:t>
      </w:r>
      <w:r>
        <w:rPr>
          <w:sz w:val="24"/>
        </w:rPr>
        <w:t xml:space="preserve">                             </w:t>
      </w:r>
      <w:r>
        <w:rPr>
          <w:rFonts w:hint="eastAsia"/>
          <w:sz w:val="24"/>
        </w:rPr>
        <w:t>法定代表人</w:t>
      </w:r>
    </w:p>
    <w:p w14:paraId="2281CC4B">
      <w:pPr>
        <w:widowControl w:val="0"/>
        <w:spacing w:line="440" w:lineRule="exact"/>
        <w:textAlignment w:val="auto"/>
        <w:rPr>
          <w:sz w:val="24"/>
        </w:rPr>
      </w:pPr>
      <w:r>
        <w:rPr>
          <w:rFonts w:hint="eastAsia"/>
          <w:sz w:val="24"/>
        </w:rPr>
        <w:t>或其授权人：</w:t>
      </w:r>
      <w:r>
        <w:rPr>
          <w:sz w:val="28"/>
          <w:szCs w:val="28"/>
          <w:u w:val="single"/>
        </w:rPr>
        <w:t xml:space="preserve">               </w:t>
      </w:r>
      <w:r>
        <w:rPr>
          <w:sz w:val="28"/>
          <w:szCs w:val="28"/>
        </w:rPr>
        <w:t xml:space="preserve">  </w:t>
      </w:r>
      <w:r>
        <w:rPr>
          <w:sz w:val="24"/>
        </w:rPr>
        <w:t xml:space="preserve">       </w:t>
      </w:r>
      <w:r>
        <w:rPr>
          <w:rFonts w:hint="eastAsia"/>
          <w:sz w:val="24"/>
        </w:rPr>
        <w:t>或其授权人</w:t>
      </w:r>
      <w:r>
        <w:rPr>
          <w:sz w:val="24"/>
        </w:rPr>
        <w:t xml:space="preserve"> </w:t>
      </w:r>
      <w:r>
        <w:rPr>
          <w:rFonts w:hint="eastAsia"/>
          <w:sz w:val="24"/>
        </w:rPr>
        <w:t>：</w:t>
      </w:r>
    </w:p>
    <w:p w14:paraId="31D4667C">
      <w:pPr>
        <w:widowControl w:val="0"/>
        <w:spacing w:line="440" w:lineRule="exact"/>
        <w:ind w:firstLine="1785" w:firstLineChars="850"/>
        <w:textAlignment w:val="auto"/>
        <w:rPr>
          <w:sz w:val="24"/>
        </w:rPr>
      </w:pPr>
      <w:r>
        <w:rPr>
          <w:rFonts w:hint="eastAsia"/>
          <w:szCs w:val="21"/>
        </w:rPr>
        <w:t>（签字或盖章）</w:t>
      </w:r>
      <w:r>
        <w:rPr>
          <w:sz w:val="28"/>
          <w:szCs w:val="28"/>
        </w:rPr>
        <w:t xml:space="preserve">                       </w:t>
      </w:r>
      <w:r>
        <w:rPr>
          <w:rFonts w:hint="eastAsia"/>
          <w:szCs w:val="21"/>
        </w:rPr>
        <w:t>（签字或盖章）</w:t>
      </w:r>
    </w:p>
    <w:p w14:paraId="4725412D">
      <w:pPr>
        <w:widowControl w:val="0"/>
        <w:spacing w:line="440" w:lineRule="exact"/>
        <w:ind w:left="570"/>
        <w:textAlignment w:val="auto"/>
        <w:rPr>
          <w:sz w:val="24"/>
        </w:rPr>
      </w:pPr>
      <w:r>
        <w:rPr>
          <w:sz w:val="28"/>
          <w:szCs w:val="28"/>
        </w:rPr>
        <w:t xml:space="preserve"> </w:t>
      </w:r>
      <w:r>
        <w:rPr>
          <w:sz w:val="24"/>
        </w:rPr>
        <w:t xml:space="preserve">    </w:t>
      </w:r>
      <w:r>
        <w:rPr>
          <w:szCs w:val="21"/>
        </w:rPr>
        <w:t xml:space="preserve"> </w:t>
      </w:r>
      <w:r>
        <w:rPr>
          <w:sz w:val="28"/>
          <w:szCs w:val="28"/>
        </w:rPr>
        <w:t xml:space="preserve">                                       </w:t>
      </w:r>
      <w:r>
        <w:rPr>
          <w:szCs w:val="21"/>
        </w:rPr>
        <w:t xml:space="preserve">          </w:t>
      </w:r>
    </w:p>
    <w:p w14:paraId="64D970A0">
      <w:pPr>
        <w:widowControl w:val="0"/>
        <w:spacing w:line="440" w:lineRule="exact"/>
        <w:textAlignment w:val="auto"/>
        <w:rPr>
          <w:sz w:val="24"/>
        </w:rPr>
      </w:pPr>
    </w:p>
    <w:p w14:paraId="58992D89">
      <w:pPr>
        <w:widowControl w:val="0"/>
        <w:spacing w:line="440" w:lineRule="exact"/>
        <w:textAlignment w:val="auto"/>
        <w:rPr>
          <w:sz w:val="28"/>
          <w:szCs w:val="28"/>
        </w:rPr>
      </w:pPr>
      <w:r>
        <w:rPr>
          <w:rFonts w:hint="eastAsia"/>
          <w:sz w:val="30"/>
          <w:szCs w:val="20"/>
        </w:rPr>
        <w:t>编制人：</w:t>
      </w:r>
      <w:r>
        <w:rPr>
          <w:sz w:val="28"/>
          <w:szCs w:val="28"/>
          <w:u w:val="single"/>
        </w:rPr>
        <w:t xml:space="preserve">                  </w:t>
      </w:r>
      <w:r>
        <w:rPr>
          <w:sz w:val="28"/>
          <w:szCs w:val="28"/>
        </w:rPr>
        <w:tab/>
      </w:r>
      <w:r>
        <w:rPr>
          <w:sz w:val="28"/>
          <w:szCs w:val="28"/>
        </w:rPr>
        <w:t xml:space="preserve">      </w:t>
      </w:r>
      <w:r>
        <w:rPr>
          <w:rFonts w:hint="eastAsia"/>
          <w:sz w:val="30"/>
          <w:szCs w:val="20"/>
        </w:rPr>
        <w:t>编制人：</w:t>
      </w:r>
      <w:r>
        <w:rPr>
          <w:sz w:val="28"/>
          <w:szCs w:val="28"/>
          <w:u w:val="single"/>
        </w:rPr>
        <w:t xml:space="preserve">               </w:t>
      </w:r>
      <w:r>
        <w:rPr>
          <w:sz w:val="28"/>
          <w:szCs w:val="28"/>
        </w:rPr>
        <w:t xml:space="preserve"> </w:t>
      </w:r>
    </w:p>
    <w:p w14:paraId="5EC2A8A9">
      <w:pPr>
        <w:widowControl w:val="0"/>
        <w:spacing w:line="240" w:lineRule="atLeast"/>
        <w:textAlignment w:val="auto"/>
        <w:rPr>
          <w:sz w:val="18"/>
          <w:szCs w:val="18"/>
        </w:rPr>
      </w:pPr>
      <w:r>
        <w:rPr>
          <w:sz w:val="28"/>
          <w:szCs w:val="28"/>
        </w:rPr>
        <w:t xml:space="preserve">          </w:t>
      </w:r>
      <w:r>
        <w:rPr>
          <w:rFonts w:hint="eastAsia"/>
          <w:sz w:val="18"/>
          <w:szCs w:val="18"/>
        </w:rPr>
        <w:t>（造价人员签字盖专用章）</w:t>
      </w:r>
      <w:r>
        <w:rPr>
          <w:sz w:val="18"/>
          <w:szCs w:val="18"/>
        </w:rPr>
        <w:t xml:space="preserve">                            </w:t>
      </w:r>
      <w:r>
        <w:rPr>
          <w:rFonts w:hint="eastAsia"/>
          <w:sz w:val="18"/>
          <w:szCs w:val="18"/>
        </w:rPr>
        <w:t>（造价人员签字盖专用章）</w:t>
      </w:r>
    </w:p>
    <w:p w14:paraId="5A79361F">
      <w:pPr>
        <w:widowControl w:val="0"/>
        <w:spacing w:line="440" w:lineRule="exact"/>
        <w:ind w:left="570"/>
        <w:textAlignment w:val="auto"/>
        <w:rPr>
          <w:sz w:val="24"/>
        </w:rPr>
      </w:pPr>
    </w:p>
    <w:p w14:paraId="2FA7537F">
      <w:pPr>
        <w:widowControl w:val="0"/>
        <w:spacing w:line="440" w:lineRule="exact"/>
        <w:textAlignment w:val="auto"/>
        <w:rPr>
          <w:sz w:val="24"/>
        </w:rPr>
      </w:pPr>
    </w:p>
    <w:p w14:paraId="04BD152D">
      <w:pPr>
        <w:widowControl w:val="0"/>
        <w:spacing w:line="240" w:lineRule="atLeast"/>
        <w:textAlignment w:val="auto"/>
        <w:rPr>
          <w:sz w:val="30"/>
          <w:szCs w:val="30"/>
        </w:rPr>
      </w:pPr>
      <w:r>
        <w:rPr>
          <w:rFonts w:hint="eastAsia"/>
          <w:sz w:val="30"/>
          <w:szCs w:val="30"/>
        </w:rPr>
        <w:t>编制时间：</w:t>
      </w:r>
      <w:r>
        <w:rPr>
          <w:sz w:val="30"/>
          <w:szCs w:val="30"/>
        </w:rPr>
        <w:t xml:space="preserve">   </w:t>
      </w:r>
      <w:r>
        <w:rPr>
          <w:rFonts w:hint="eastAsia"/>
          <w:sz w:val="30"/>
          <w:szCs w:val="30"/>
        </w:rPr>
        <w:t>年</w:t>
      </w:r>
      <w:r>
        <w:rPr>
          <w:sz w:val="30"/>
          <w:szCs w:val="30"/>
        </w:rPr>
        <w:t xml:space="preserve">    </w:t>
      </w:r>
      <w:r>
        <w:rPr>
          <w:rFonts w:hint="eastAsia"/>
          <w:sz w:val="30"/>
          <w:szCs w:val="30"/>
        </w:rPr>
        <w:t>月</w:t>
      </w:r>
      <w:r>
        <w:rPr>
          <w:sz w:val="30"/>
          <w:szCs w:val="30"/>
        </w:rPr>
        <w:t xml:space="preserve">   </w:t>
      </w:r>
      <w:r>
        <w:rPr>
          <w:rFonts w:hint="eastAsia"/>
          <w:sz w:val="30"/>
          <w:szCs w:val="30"/>
        </w:rPr>
        <w:t>日</w:t>
      </w:r>
      <w:r>
        <w:rPr>
          <w:sz w:val="30"/>
          <w:szCs w:val="30"/>
        </w:rPr>
        <w:t xml:space="preserve">     </w:t>
      </w:r>
      <w:r>
        <w:rPr>
          <w:rFonts w:hint="eastAsia"/>
          <w:sz w:val="30"/>
          <w:szCs w:val="30"/>
        </w:rPr>
        <w:t>复核时间：</w:t>
      </w:r>
      <w:r>
        <w:rPr>
          <w:sz w:val="30"/>
          <w:szCs w:val="30"/>
        </w:rPr>
        <w:t xml:space="preserve">   </w:t>
      </w:r>
      <w:r>
        <w:rPr>
          <w:rFonts w:hint="eastAsia"/>
          <w:sz w:val="30"/>
          <w:szCs w:val="30"/>
        </w:rPr>
        <w:t>年</w:t>
      </w:r>
      <w:r>
        <w:rPr>
          <w:sz w:val="30"/>
          <w:szCs w:val="30"/>
        </w:rPr>
        <w:t xml:space="preserve">    </w:t>
      </w:r>
      <w:r>
        <w:rPr>
          <w:rFonts w:hint="eastAsia"/>
          <w:sz w:val="30"/>
          <w:szCs w:val="30"/>
        </w:rPr>
        <w:t>月</w:t>
      </w:r>
      <w:r>
        <w:rPr>
          <w:sz w:val="30"/>
          <w:szCs w:val="30"/>
        </w:rPr>
        <w:t xml:space="preserve">   </w:t>
      </w:r>
      <w:r>
        <w:rPr>
          <w:rFonts w:hint="eastAsia"/>
          <w:sz w:val="30"/>
          <w:szCs w:val="30"/>
        </w:rPr>
        <w:t>日</w:t>
      </w:r>
    </w:p>
    <w:p w14:paraId="2BC91A8E">
      <w:pPr>
        <w:widowControl w:val="0"/>
        <w:spacing w:line="240" w:lineRule="atLeast"/>
        <w:textAlignment w:val="auto"/>
        <w:rPr>
          <w:szCs w:val="21"/>
        </w:rPr>
      </w:pPr>
      <w:r>
        <w:rPr>
          <w:szCs w:val="21"/>
        </w:rPr>
        <w:t xml:space="preserve"> </w:t>
      </w:r>
    </w:p>
    <w:p w14:paraId="2F737A25">
      <w:pPr>
        <w:widowControl w:val="0"/>
        <w:tabs>
          <w:tab w:val="center" w:pos="4365"/>
        </w:tabs>
        <w:spacing w:line="240" w:lineRule="atLeast"/>
        <w:textAlignment w:val="auto"/>
        <w:rPr>
          <w:szCs w:val="21"/>
        </w:rPr>
      </w:pPr>
      <w:r>
        <w:rPr>
          <w:sz w:val="30"/>
          <w:szCs w:val="20"/>
        </w:rPr>
        <w:t xml:space="preserve"> </w:t>
      </w:r>
      <w:r>
        <w:rPr>
          <w:rFonts w:hint="eastAsia"/>
          <w:szCs w:val="21"/>
        </w:rPr>
        <w:t>扉</w:t>
      </w:r>
      <w:r>
        <w:rPr>
          <w:szCs w:val="21"/>
        </w:rPr>
        <w:t>-1</w:t>
      </w:r>
    </w:p>
    <w:p w14:paraId="155E4E78">
      <w:pPr>
        <w:widowControl w:val="0"/>
        <w:tabs>
          <w:tab w:val="left" w:pos="6135"/>
        </w:tabs>
        <w:textAlignment w:val="auto"/>
        <w:rPr>
          <w:rFonts w:eastAsia="黑体"/>
        </w:rPr>
      </w:pPr>
    </w:p>
    <w:p w14:paraId="448B1754">
      <w:pPr>
        <w:widowControl w:val="0"/>
        <w:tabs>
          <w:tab w:val="left" w:pos="6135"/>
        </w:tabs>
        <w:textAlignment w:val="auto"/>
        <w:rPr>
          <w:rFonts w:eastAsia="黑体"/>
        </w:rPr>
      </w:pPr>
    </w:p>
    <w:p w14:paraId="3C7B63BB">
      <w:pPr>
        <w:widowControl w:val="0"/>
        <w:tabs>
          <w:tab w:val="left" w:pos="6135"/>
        </w:tabs>
        <w:jc w:val="center"/>
        <w:textAlignment w:val="auto"/>
        <w:rPr>
          <w:rFonts w:eastAsia="黑体"/>
          <w:sz w:val="32"/>
          <w:szCs w:val="32"/>
        </w:rPr>
      </w:pPr>
      <w:r>
        <w:rPr>
          <w:rFonts w:eastAsia="黑体"/>
          <w:sz w:val="32"/>
          <w:szCs w:val="32"/>
        </w:rPr>
        <w:t>C.2</w:t>
      </w:r>
      <w:r>
        <w:rPr>
          <w:rFonts w:hint="eastAsia" w:eastAsia="黑体"/>
          <w:sz w:val="32"/>
          <w:szCs w:val="32"/>
        </w:rPr>
        <w:t>招标控制价扉页</w:t>
      </w:r>
    </w:p>
    <w:p w14:paraId="58E03465">
      <w:pPr>
        <w:widowControl w:val="0"/>
        <w:spacing w:line="360" w:lineRule="auto"/>
        <w:ind w:firstLine="1800" w:firstLineChars="600"/>
        <w:textAlignment w:val="auto"/>
        <w:rPr>
          <w:sz w:val="30"/>
          <w:szCs w:val="30"/>
          <w:u w:val="single"/>
        </w:rPr>
      </w:pPr>
    </w:p>
    <w:p w14:paraId="274BAE71">
      <w:pPr>
        <w:widowControl w:val="0"/>
        <w:spacing w:line="360" w:lineRule="auto"/>
        <w:ind w:firstLine="2100" w:firstLineChars="700"/>
        <w:textAlignment w:val="auto"/>
        <w:rPr>
          <w:sz w:val="30"/>
          <w:szCs w:val="30"/>
        </w:rPr>
      </w:pPr>
      <w:r>
        <w:rPr>
          <w:sz w:val="30"/>
          <w:szCs w:val="30"/>
          <w:u w:val="single"/>
        </w:rPr>
        <w:t xml:space="preserve">                          </w:t>
      </w:r>
      <w:r>
        <w:rPr>
          <w:rFonts w:hint="eastAsia"/>
          <w:sz w:val="30"/>
          <w:szCs w:val="30"/>
        </w:rPr>
        <w:t>工程</w:t>
      </w:r>
    </w:p>
    <w:p w14:paraId="7D5708A8">
      <w:pPr>
        <w:widowControl w:val="0"/>
        <w:spacing w:line="360" w:lineRule="auto"/>
        <w:textAlignment w:val="auto"/>
        <w:rPr>
          <w:rFonts w:eastAsia="黑体"/>
          <w:sz w:val="30"/>
          <w:szCs w:val="30"/>
        </w:rPr>
      </w:pPr>
    </w:p>
    <w:p w14:paraId="140FC1A1">
      <w:pPr>
        <w:pStyle w:val="19"/>
      </w:pPr>
    </w:p>
    <w:p w14:paraId="418E53F2">
      <w:pPr>
        <w:widowControl w:val="0"/>
        <w:spacing w:line="360" w:lineRule="auto"/>
        <w:jc w:val="center"/>
        <w:textAlignment w:val="auto"/>
        <w:rPr>
          <w:sz w:val="48"/>
          <w:szCs w:val="48"/>
        </w:rPr>
      </w:pPr>
      <w:r>
        <w:rPr>
          <w:rFonts w:hint="eastAsia"/>
          <w:sz w:val="48"/>
          <w:szCs w:val="48"/>
        </w:rPr>
        <w:t>招标控制价</w:t>
      </w:r>
    </w:p>
    <w:p w14:paraId="150784A8">
      <w:pPr>
        <w:widowControl w:val="0"/>
        <w:spacing w:line="240" w:lineRule="atLeast"/>
        <w:ind w:firstLine="2880" w:firstLineChars="600"/>
        <w:textAlignment w:val="auto"/>
        <w:rPr>
          <w:sz w:val="48"/>
          <w:szCs w:val="48"/>
        </w:rPr>
      </w:pPr>
    </w:p>
    <w:p w14:paraId="199EFDBF">
      <w:pPr>
        <w:widowControl w:val="0"/>
        <w:spacing w:line="240" w:lineRule="atLeast"/>
        <w:textAlignment w:val="auto"/>
        <w:rPr>
          <w:sz w:val="28"/>
          <w:szCs w:val="28"/>
        </w:rPr>
      </w:pPr>
    </w:p>
    <w:p w14:paraId="3B8315D2">
      <w:pPr>
        <w:widowControl w:val="0"/>
        <w:spacing w:line="240" w:lineRule="atLeast"/>
        <w:textAlignment w:val="auto"/>
        <w:rPr>
          <w:sz w:val="28"/>
          <w:szCs w:val="28"/>
        </w:rPr>
      </w:pPr>
      <w:r>
        <w:rPr>
          <w:rFonts w:hint="eastAsia"/>
          <w:sz w:val="28"/>
          <w:szCs w:val="28"/>
        </w:rPr>
        <w:t>招标控制价（小写）：</w:t>
      </w:r>
      <w:r>
        <w:rPr>
          <w:sz w:val="30"/>
          <w:szCs w:val="30"/>
          <w:u w:val="single"/>
        </w:rPr>
        <w:t xml:space="preserve">                          </w:t>
      </w:r>
    </w:p>
    <w:p w14:paraId="3EE73E4F">
      <w:pPr>
        <w:widowControl w:val="0"/>
        <w:spacing w:line="240" w:lineRule="atLeast"/>
        <w:textAlignment w:val="auto"/>
        <w:rPr>
          <w:sz w:val="28"/>
          <w:szCs w:val="28"/>
        </w:rPr>
      </w:pPr>
      <w:r>
        <w:rPr>
          <w:sz w:val="28"/>
          <w:szCs w:val="28"/>
        </w:rPr>
        <w:t xml:space="preserve">          </w:t>
      </w:r>
      <w:r>
        <w:rPr>
          <w:rFonts w:hint="eastAsia"/>
          <w:sz w:val="28"/>
          <w:szCs w:val="28"/>
        </w:rPr>
        <w:t>（大写）：</w:t>
      </w:r>
      <w:r>
        <w:rPr>
          <w:sz w:val="30"/>
          <w:szCs w:val="30"/>
          <w:u w:val="single"/>
        </w:rPr>
        <w:t xml:space="preserve">                          </w:t>
      </w:r>
    </w:p>
    <w:p w14:paraId="2B6EB2AB">
      <w:pPr>
        <w:widowControl w:val="0"/>
        <w:tabs>
          <w:tab w:val="left" w:pos="6135"/>
        </w:tabs>
        <w:textAlignment w:val="auto"/>
        <w:rPr>
          <w:rFonts w:eastAsia="黑体"/>
        </w:rPr>
      </w:pPr>
    </w:p>
    <w:p w14:paraId="36E35419">
      <w:pPr>
        <w:widowControl w:val="0"/>
        <w:spacing w:line="240" w:lineRule="atLeast"/>
        <w:textAlignment w:val="auto"/>
        <w:rPr>
          <w:rFonts w:eastAsia="黑体"/>
          <w:sz w:val="30"/>
          <w:szCs w:val="20"/>
        </w:rPr>
      </w:pPr>
    </w:p>
    <w:p w14:paraId="408BFBF8">
      <w:pPr>
        <w:widowControl w:val="0"/>
        <w:spacing w:line="440" w:lineRule="exact"/>
        <w:textAlignment w:val="auto"/>
      </w:pPr>
      <w:r>
        <w:rPr>
          <w:rFonts w:hint="eastAsia"/>
          <w:sz w:val="28"/>
          <w:szCs w:val="28"/>
        </w:rPr>
        <w:t>招标人：</w:t>
      </w:r>
      <w:r>
        <w:rPr>
          <w:sz w:val="28"/>
          <w:szCs w:val="28"/>
          <w:u w:val="single"/>
        </w:rPr>
        <w:t xml:space="preserve">                 </w:t>
      </w:r>
      <w:r>
        <w:rPr>
          <w:sz w:val="28"/>
          <w:szCs w:val="28"/>
        </w:rPr>
        <w:t xml:space="preserve">        </w:t>
      </w:r>
      <w:r>
        <w:rPr>
          <w:rFonts w:hint="eastAsia"/>
          <w:sz w:val="28"/>
          <w:szCs w:val="28"/>
        </w:rPr>
        <w:t>造价咨询人：</w:t>
      </w:r>
      <w:r>
        <w:rPr>
          <w:sz w:val="28"/>
          <w:szCs w:val="28"/>
          <w:u w:val="single"/>
        </w:rPr>
        <w:t xml:space="preserve">               </w:t>
      </w:r>
      <w:r>
        <w:rPr>
          <w:rFonts w:eastAsia="黑体"/>
          <w:sz w:val="28"/>
          <w:szCs w:val="28"/>
        </w:rPr>
        <w:t xml:space="preserve">    </w:t>
      </w:r>
    </w:p>
    <w:p w14:paraId="0C6FFE5C">
      <w:pPr>
        <w:widowControl w:val="0"/>
        <w:spacing w:line="440" w:lineRule="exact"/>
        <w:ind w:left="570"/>
        <w:textAlignment w:val="auto"/>
        <w:rPr>
          <w:sz w:val="24"/>
        </w:rPr>
      </w:pPr>
      <w:r>
        <w:rPr>
          <w:sz w:val="28"/>
          <w:szCs w:val="28"/>
        </w:rPr>
        <w:t xml:space="preserve"> </w:t>
      </w:r>
      <w:r>
        <w:rPr>
          <w:sz w:val="24"/>
        </w:rPr>
        <w:t xml:space="preserve">    </w:t>
      </w:r>
      <w:r>
        <w:rPr>
          <w:rFonts w:hint="eastAsia"/>
          <w:szCs w:val="21"/>
        </w:rPr>
        <w:t>（单位盖章）</w:t>
      </w:r>
      <w:r>
        <w:rPr>
          <w:szCs w:val="21"/>
        </w:rPr>
        <w:t xml:space="preserve">                                   </w:t>
      </w:r>
      <w:r>
        <w:rPr>
          <w:rFonts w:hint="eastAsia"/>
          <w:szCs w:val="21"/>
        </w:rPr>
        <w:t>（单位盖章）</w:t>
      </w:r>
      <w:r>
        <w:rPr>
          <w:sz w:val="24"/>
        </w:rPr>
        <w:t xml:space="preserve">  </w:t>
      </w:r>
    </w:p>
    <w:p w14:paraId="77AB5A06">
      <w:pPr>
        <w:widowControl w:val="0"/>
        <w:spacing w:line="440" w:lineRule="exact"/>
        <w:ind w:left="570"/>
        <w:textAlignment w:val="auto"/>
        <w:rPr>
          <w:sz w:val="24"/>
        </w:rPr>
      </w:pPr>
    </w:p>
    <w:p w14:paraId="0AE0440A">
      <w:pPr>
        <w:widowControl w:val="0"/>
        <w:spacing w:line="440" w:lineRule="exact"/>
        <w:textAlignment w:val="auto"/>
        <w:rPr>
          <w:sz w:val="24"/>
        </w:rPr>
      </w:pPr>
    </w:p>
    <w:p w14:paraId="7CB5A283">
      <w:pPr>
        <w:widowControl w:val="0"/>
        <w:spacing w:line="440" w:lineRule="exact"/>
        <w:textAlignment w:val="auto"/>
        <w:rPr>
          <w:sz w:val="24"/>
        </w:rPr>
      </w:pPr>
      <w:r>
        <w:rPr>
          <w:rFonts w:hint="eastAsia"/>
          <w:sz w:val="24"/>
        </w:rPr>
        <w:t>法定代表人</w:t>
      </w:r>
      <w:r>
        <w:rPr>
          <w:sz w:val="24"/>
        </w:rPr>
        <w:t xml:space="preserve">                             </w:t>
      </w:r>
      <w:r>
        <w:rPr>
          <w:rFonts w:hint="eastAsia"/>
          <w:sz w:val="24"/>
        </w:rPr>
        <w:t>法定代表人</w:t>
      </w:r>
    </w:p>
    <w:p w14:paraId="5B8D2A66">
      <w:pPr>
        <w:widowControl w:val="0"/>
        <w:spacing w:line="440" w:lineRule="exact"/>
        <w:textAlignment w:val="auto"/>
        <w:rPr>
          <w:sz w:val="24"/>
        </w:rPr>
      </w:pPr>
      <w:r>
        <w:rPr>
          <w:rFonts w:hint="eastAsia"/>
          <w:sz w:val="24"/>
        </w:rPr>
        <w:t>或其授权人：</w:t>
      </w:r>
      <w:r>
        <w:rPr>
          <w:sz w:val="28"/>
          <w:szCs w:val="28"/>
          <w:u w:val="single"/>
        </w:rPr>
        <w:t xml:space="preserve">               </w:t>
      </w:r>
      <w:r>
        <w:rPr>
          <w:sz w:val="28"/>
          <w:szCs w:val="28"/>
        </w:rPr>
        <w:t xml:space="preserve">  </w:t>
      </w:r>
      <w:r>
        <w:rPr>
          <w:sz w:val="24"/>
        </w:rPr>
        <w:t xml:space="preserve">       </w:t>
      </w:r>
      <w:r>
        <w:rPr>
          <w:rFonts w:hint="eastAsia"/>
          <w:sz w:val="24"/>
        </w:rPr>
        <w:t>或其授权人</w:t>
      </w:r>
      <w:r>
        <w:rPr>
          <w:sz w:val="24"/>
        </w:rPr>
        <w:t xml:space="preserve"> </w:t>
      </w:r>
      <w:r>
        <w:rPr>
          <w:rFonts w:hint="eastAsia"/>
          <w:sz w:val="24"/>
        </w:rPr>
        <w:t>：</w:t>
      </w:r>
    </w:p>
    <w:p w14:paraId="3BFA01A8">
      <w:pPr>
        <w:widowControl w:val="0"/>
        <w:spacing w:line="440" w:lineRule="exact"/>
        <w:ind w:left="570" w:firstLine="1155" w:firstLineChars="550"/>
        <w:textAlignment w:val="auto"/>
        <w:rPr>
          <w:sz w:val="24"/>
        </w:rPr>
      </w:pPr>
      <w:r>
        <w:rPr>
          <w:rFonts w:hint="eastAsia"/>
          <w:szCs w:val="21"/>
        </w:rPr>
        <w:t>（签字或盖章）</w:t>
      </w:r>
      <w:r>
        <w:rPr>
          <w:sz w:val="28"/>
          <w:szCs w:val="28"/>
        </w:rPr>
        <w:t xml:space="preserve">                       </w:t>
      </w:r>
      <w:r>
        <w:rPr>
          <w:rFonts w:hint="eastAsia"/>
          <w:szCs w:val="21"/>
        </w:rPr>
        <w:t>（签字或盖章）</w:t>
      </w:r>
      <w:r>
        <w:rPr>
          <w:sz w:val="28"/>
          <w:szCs w:val="28"/>
        </w:rPr>
        <w:t xml:space="preserve"> </w:t>
      </w:r>
      <w:r>
        <w:rPr>
          <w:sz w:val="24"/>
        </w:rPr>
        <w:t xml:space="preserve">    </w:t>
      </w:r>
      <w:r>
        <w:rPr>
          <w:szCs w:val="21"/>
        </w:rPr>
        <w:t xml:space="preserve"> </w:t>
      </w:r>
      <w:r>
        <w:rPr>
          <w:sz w:val="28"/>
          <w:szCs w:val="28"/>
        </w:rPr>
        <w:t xml:space="preserve">                                       </w:t>
      </w:r>
      <w:r>
        <w:rPr>
          <w:szCs w:val="21"/>
        </w:rPr>
        <w:t xml:space="preserve">          </w:t>
      </w:r>
    </w:p>
    <w:p w14:paraId="727F1964">
      <w:pPr>
        <w:widowControl w:val="0"/>
        <w:spacing w:line="440" w:lineRule="exact"/>
        <w:textAlignment w:val="auto"/>
        <w:rPr>
          <w:sz w:val="24"/>
        </w:rPr>
      </w:pPr>
    </w:p>
    <w:p w14:paraId="158D3EFD">
      <w:pPr>
        <w:widowControl w:val="0"/>
        <w:spacing w:line="440" w:lineRule="exact"/>
        <w:textAlignment w:val="auto"/>
        <w:rPr>
          <w:sz w:val="28"/>
          <w:szCs w:val="28"/>
        </w:rPr>
      </w:pPr>
      <w:r>
        <w:rPr>
          <w:rFonts w:hint="eastAsia"/>
          <w:sz w:val="30"/>
          <w:szCs w:val="20"/>
        </w:rPr>
        <w:t>编制人：</w:t>
      </w:r>
      <w:r>
        <w:rPr>
          <w:sz w:val="28"/>
          <w:szCs w:val="28"/>
          <w:u w:val="single"/>
        </w:rPr>
        <w:t xml:space="preserve">                 </w:t>
      </w:r>
      <w:r>
        <w:rPr>
          <w:sz w:val="28"/>
          <w:szCs w:val="28"/>
        </w:rPr>
        <w:t xml:space="preserve"> </w:t>
      </w:r>
      <w:r>
        <w:rPr>
          <w:sz w:val="28"/>
          <w:szCs w:val="28"/>
        </w:rPr>
        <w:tab/>
      </w:r>
      <w:r>
        <w:rPr>
          <w:sz w:val="28"/>
          <w:szCs w:val="28"/>
        </w:rPr>
        <w:t xml:space="preserve">      </w:t>
      </w:r>
      <w:r>
        <w:rPr>
          <w:rFonts w:hint="eastAsia"/>
          <w:sz w:val="30"/>
          <w:szCs w:val="20"/>
        </w:rPr>
        <w:t>编制人：</w:t>
      </w:r>
      <w:r>
        <w:rPr>
          <w:sz w:val="28"/>
          <w:szCs w:val="28"/>
          <w:u w:val="single"/>
        </w:rPr>
        <w:t xml:space="preserve">               </w:t>
      </w:r>
      <w:r>
        <w:rPr>
          <w:sz w:val="28"/>
          <w:szCs w:val="28"/>
        </w:rPr>
        <w:t xml:space="preserve"> </w:t>
      </w:r>
    </w:p>
    <w:p w14:paraId="67E8FEF9">
      <w:pPr>
        <w:widowControl w:val="0"/>
        <w:spacing w:line="240" w:lineRule="atLeast"/>
        <w:textAlignment w:val="auto"/>
        <w:rPr>
          <w:sz w:val="18"/>
          <w:szCs w:val="18"/>
        </w:rPr>
      </w:pPr>
      <w:r>
        <w:rPr>
          <w:sz w:val="28"/>
          <w:szCs w:val="28"/>
        </w:rPr>
        <w:t xml:space="preserve">         </w:t>
      </w:r>
      <w:r>
        <w:rPr>
          <w:rFonts w:hint="eastAsia"/>
          <w:sz w:val="18"/>
          <w:szCs w:val="18"/>
        </w:rPr>
        <w:t>（造价人员签字盖专用章）</w:t>
      </w:r>
      <w:r>
        <w:rPr>
          <w:sz w:val="18"/>
          <w:szCs w:val="18"/>
        </w:rPr>
        <w:t xml:space="preserve">                            </w:t>
      </w:r>
      <w:r>
        <w:rPr>
          <w:rFonts w:hint="eastAsia"/>
          <w:sz w:val="18"/>
          <w:szCs w:val="18"/>
        </w:rPr>
        <w:t>（造价人员签字盖专用章）</w:t>
      </w:r>
    </w:p>
    <w:p w14:paraId="1B6DE32C">
      <w:pPr>
        <w:widowControl w:val="0"/>
        <w:spacing w:line="440" w:lineRule="exact"/>
        <w:ind w:left="570"/>
        <w:textAlignment w:val="auto"/>
        <w:rPr>
          <w:sz w:val="24"/>
        </w:rPr>
      </w:pPr>
    </w:p>
    <w:p w14:paraId="3EB235F3">
      <w:pPr>
        <w:widowControl w:val="0"/>
        <w:spacing w:line="440" w:lineRule="exact"/>
        <w:textAlignment w:val="auto"/>
        <w:rPr>
          <w:sz w:val="24"/>
        </w:rPr>
      </w:pPr>
    </w:p>
    <w:p w14:paraId="773FAFD1">
      <w:pPr>
        <w:widowControl w:val="0"/>
        <w:spacing w:line="240" w:lineRule="atLeast"/>
        <w:textAlignment w:val="auto"/>
        <w:rPr>
          <w:szCs w:val="21"/>
        </w:rPr>
      </w:pPr>
      <w:r>
        <w:rPr>
          <w:rFonts w:hint="eastAsia"/>
          <w:sz w:val="30"/>
          <w:szCs w:val="30"/>
        </w:rPr>
        <w:t>编制时间：</w:t>
      </w:r>
      <w:r>
        <w:rPr>
          <w:sz w:val="30"/>
          <w:szCs w:val="30"/>
        </w:rPr>
        <w:t xml:space="preserve">   </w:t>
      </w:r>
      <w:r>
        <w:rPr>
          <w:rFonts w:hint="eastAsia"/>
          <w:sz w:val="30"/>
          <w:szCs w:val="30"/>
        </w:rPr>
        <w:t>年</w:t>
      </w:r>
      <w:r>
        <w:rPr>
          <w:sz w:val="30"/>
          <w:szCs w:val="30"/>
        </w:rPr>
        <w:t xml:space="preserve">    </w:t>
      </w:r>
      <w:r>
        <w:rPr>
          <w:rFonts w:hint="eastAsia"/>
          <w:sz w:val="30"/>
          <w:szCs w:val="30"/>
        </w:rPr>
        <w:t>月</w:t>
      </w:r>
      <w:r>
        <w:rPr>
          <w:sz w:val="30"/>
          <w:szCs w:val="30"/>
        </w:rPr>
        <w:t xml:space="preserve">   </w:t>
      </w:r>
      <w:r>
        <w:rPr>
          <w:rFonts w:hint="eastAsia"/>
          <w:sz w:val="30"/>
          <w:szCs w:val="30"/>
        </w:rPr>
        <w:t>日</w:t>
      </w:r>
      <w:r>
        <w:rPr>
          <w:sz w:val="30"/>
          <w:szCs w:val="30"/>
        </w:rPr>
        <w:t xml:space="preserve">     </w:t>
      </w:r>
      <w:r>
        <w:rPr>
          <w:rFonts w:hint="eastAsia"/>
          <w:sz w:val="30"/>
          <w:szCs w:val="30"/>
        </w:rPr>
        <w:t>复核时间：</w:t>
      </w:r>
      <w:r>
        <w:rPr>
          <w:sz w:val="30"/>
          <w:szCs w:val="30"/>
        </w:rPr>
        <w:t xml:space="preserve">   </w:t>
      </w:r>
      <w:r>
        <w:rPr>
          <w:rFonts w:hint="eastAsia"/>
          <w:sz w:val="30"/>
          <w:szCs w:val="30"/>
        </w:rPr>
        <w:t>年</w:t>
      </w:r>
      <w:r>
        <w:rPr>
          <w:sz w:val="30"/>
          <w:szCs w:val="30"/>
        </w:rPr>
        <w:t xml:space="preserve">    </w:t>
      </w:r>
      <w:r>
        <w:rPr>
          <w:rFonts w:hint="eastAsia"/>
          <w:sz w:val="30"/>
          <w:szCs w:val="30"/>
        </w:rPr>
        <w:t>月</w:t>
      </w:r>
      <w:r>
        <w:rPr>
          <w:sz w:val="30"/>
          <w:szCs w:val="30"/>
        </w:rPr>
        <w:t xml:space="preserve">   </w:t>
      </w:r>
      <w:r>
        <w:rPr>
          <w:rFonts w:hint="eastAsia"/>
          <w:sz w:val="30"/>
          <w:szCs w:val="30"/>
        </w:rPr>
        <w:t>日</w:t>
      </w:r>
    </w:p>
    <w:p w14:paraId="63622343">
      <w:pPr>
        <w:widowControl w:val="0"/>
        <w:tabs>
          <w:tab w:val="left" w:pos="6135"/>
        </w:tabs>
        <w:textAlignment w:val="auto"/>
        <w:rPr>
          <w:rFonts w:eastAsia="黑体"/>
        </w:rPr>
      </w:pPr>
    </w:p>
    <w:p w14:paraId="34ADA852">
      <w:pPr>
        <w:widowControl w:val="0"/>
        <w:tabs>
          <w:tab w:val="left" w:pos="6135"/>
        </w:tabs>
        <w:textAlignment w:val="auto"/>
        <w:rPr>
          <w:rFonts w:eastAsia="黑体"/>
        </w:rPr>
      </w:pPr>
    </w:p>
    <w:p w14:paraId="446BFC60">
      <w:pPr>
        <w:widowControl w:val="0"/>
        <w:spacing w:line="240" w:lineRule="atLeast"/>
        <w:jc w:val="right"/>
        <w:textAlignment w:val="auto"/>
        <w:rPr>
          <w:szCs w:val="21"/>
        </w:rPr>
      </w:pPr>
      <w:r>
        <w:rPr>
          <w:rFonts w:hint="eastAsia"/>
          <w:szCs w:val="21"/>
        </w:rPr>
        <w:t>扉</w:t>
      </w:r>
      <w:r>
        <w:rPr>
          <w:szCs w:val="21"/>
        </w:rPr>
        <w:t>-2</w:t>
      </w:r>
    </w:p>
    <w:p w14:paraId="037E9B05">
      <w:pPr>
        <w:widowControl w:val="0"/>
        <w:spacing w:line="240" w:lineRule="atLeast"/>
        <w:textAlignment w:val="auto"/>
        <w:rPr>
          <w:sz w:val="30"/>
          <w:szCs w:val="21"/>
        </w:rPr>
      </w:pPr>
    </w:p>
    <w:p w14:paraId="3043B579">
      <w:pPr>
        <w:widowControl w:val="0"/>
        <w:spacing w:line="360" w:lineRule="auto"/>
        <w:ind w:firstLine="2319" w:firstLineChars="1100"/>
        <w:textAlignment w:val="auto"/>
        <w:rPr>
          <w:b/>
          <w:bCs/>
        </w:rPr>
      </w:pPr>
    </w:p>
    <w:p w14:paraId="6E7FD64D">
      <w:pPr>
        <w:pStyle w:val="19"/>
      </w:pPr>
    </w:p>
    <w:p w14:paraId="1316B37D">
      <w:pPr>
        <w:widowControl w:val="0"/>
        <w:tabs>
          <w:tab w:val="left" w:pos="6135"/>
        </w:tabs>
        <w:jc w:val="center"/>
        <w:textAlignment w:val="auto"/>
        <w:rPr>
          <w:rFonts w:eastAsia="黑体"/>
          <w:sz w:val="32"/>
          <w:szCs w:val="32"/>
        </w:rPr>
      </w:pPr>
      <w:r>
        <w:rPr>
          <w:rFonts w:eastAsia="黑体"/>
          <w:sz w:val="32"/>
          <w:szCs w:val="32"/>
        </w:rPr>
        <w:t>C.3</w:t>
      </w:r>
      <w:r>
        <w:rPr>
          <w:rFonts w:hint="eastAsia" w:eastAsia="黑体"/>
          <w:sz w:val="32"/>
          <w:szCs w:val="32"/>
        </w:rPr>
        <w:t>投标总价扉页</w:t>
      </w:r>
    </w:p>
    <w:p w14:paraId="5DC36AAB">
      <w:pPr>
        <w:widowControl w:val="0"/>
        <w:spacing w:line="240" w:lineRule="atLeast"/>
        <w:ind w:firstLine="3900" w:firstLineChars="1300"/>
        <w:textAlignment w:val="auto"/>
        <w:rPr>
          <w:rFonts w:eastAsia="黑体"/>
          <w:sz w:val="30"/>
          <w:szCs w:val="20"/>
        </w:rPr>
      </w:pPr>
    </w:p>
    <w:p w14:paraId="40F46DD0">
      <w:pPr>
        <w:widowControl w:val="0"/>
        <w:spacing w:line="360" w:lineRule="auto"/>
        <w:jc w:val="center"/>
        <w:textAlignment w:val="auto"/>
        <w:rPr>
          <w:rFonts w:eastAsia="黑体"/>
          <w:sz w:val="44"/>
          <w:szCs w:val="44"/>
        </w:rPr>
      </w:pPr>
      <w:r>
        <w:rPr>
          <w:rFonts w:hint="eastAsia"/>
          <w:sz w:val="48"/>
          <w:szCs w:val="48"/>
        </w:rPr>
        <w:t>投标总价</w:t>
      </w:r>
    </w:p>
    <w:p w14:paraId="612D7FB7">
      <w:pPr>
        <w:widowControl w:val="0"/>
        <w:spacing w:line="240" w:lineRule="atLeast"/>
        <w:textAlignment w:val="auto"/>
        <w:rPr>
          <w:sz w:val="28"/>
          <w:szCs w:val="28"/>
        </w:rPr>
      </w:pPr>
    </w:p>
    <w:p w14:paraId="1B5ED7EE">
      <w:pPr>
        <w:widowControl w:val="0"/>
        <w:spacing w:line="240" w:lineRule="atLeast"/>
        <w:textAlignment w:val="auto"/>
        <w:rPr>
          <w:sz w:val="30"/>
          <w:szCs w:val="30"/>
          <w:u w:val="single"/>
        </w:rPr>
      </w:pPr>
      <w:r>
        <w:rPr>
          <w:rFonts w:hint="eastAsia"/>
          <w:sz w:val="28"/>
          <w:szCs w:val="28"/>
        </w:rPr>
        <w:t>招标人：</w:t>
      </w:r>
      <w:r>
        <w:rPr>
          <w:sz w:val="30"/>
          <w:szCs w:val="30"/>
          <w:u w:val="single"/>
        </w:rPr>
        <w:t xml:space="preserve">                          </w:t>
      </w:r>
    </w:p>
    <w:p w14:paraId="04C957F8">
      <w:pPr>
        <w:widowControl w:val="0"/>
        <w:spacing w:line="240" w:lineRule="atLeast"/>
        <w:textAlignment w:val="auto"/>
        <w:rPr>
          <w:sz w:val="30"/>
          <w:szCs w:val="30"/>
          <w:u w:val="single"/>
        </w:rPr>
      </w:pPr>
      <w:r>
        <w:rPr>
          <w:rFonts w:hint="eastAsia"/>
          <w:sz w:val="28"/>
          <w:szCs w:val="28"/>
        </w:rPr>
        <w:t>工程名称：</w:t>
      </w:r>
      <w:r>
        <w:rPr>
          <w:sz w:val="30"/>
          <w:szCs w:val="30"/>
          <w:u w:val="single"/>
        </w:rPr>
        <w:t xml:space="preserve">                        </w:t>
      </w:r>
    </w:p>
    <w:p w14:paraId="0141AD2B">
      <w:pPr>
        <w:widowControl w:val="0"/>
        <w:spacing w:line="240" w:lineRule="atLeast"/>
        <w:textAlignment w:val="auto"/>
        <w:rPr>
          <w:sz w:val="30"/>
          <w:szCs w:val="30"/>
          <w:u w:val="single"/>
        </w:rPr>
      </w:pPr>
    </w:p>
    <w:p w14:paraId="6DBCE69C">
      <w:pPr>
        <w:widowControl w:val="0"/>
        <w:spacing w:line="240" w:lineRule="atLeast"/>
        <w:textAlignment w:val="auto"/>
        <w:rPr>
          <w:sz w:val="28"/>
          <w:szCs w:val="28"/>
        </w:rPr>
      </w:pPr>
      <w:r>
        <w:rPr>
          <w:rFonts w:hint="eastAsia"/>
          <w:sz w:val="28"/>
          <w:szCs w:val="28"/>
        </w:rPr>
        <w:t>投标总价（小写）：</w:t>
      </w:r>
      <w:r>
        <w:rPr>
          <w:sz w:val="30"/>
          <w:szCs w:val="30"/>
          <w:u w:val="single"/>
        </w:rPr>
        <w:t xml:space="preserve">                          </w:t>
      </w:r>
    </w:p>
    <w:p w14:paraId="176877AC">
      <w:pPr>
        <w:widowControl w:val="0"/>
        <w:spacing w:line="240" w:lineRule="atLeast"/>
        <w:textAlignment w:val="auto"/>
        <w:rPr>
          <w:sz w:val="30"/>
          <w:szCs w:val="30"/>
          <w:u w:val="single"/>
        </w:rPr>
      </w:pPr>
      <w:r>
        <w:rPr>
          <w:sz w:val="28"/>
          <w:szCs w:val="28"/>
        </w:rPr>
        <w:t xml:space="preserve">        </w:t>
      </w:r>
      <w:r>
        <w:rPr>
          <w:rFonts w:hint="eastAsia"/>
          <w:sz w:val="28"/>
          <w:szCs w:val="28"/>
        </w:rPr>
        <w:t>（大写）：</w:t>
      </w:r>
      <w:r>
        <w:rPr>
          <w:sz w:val="30"/>
          <w:szCs w:val="30"/>
          <w:u w:val="single"/>
        </w:rPr>
        <w:t xml:space="preserve">                          </w:t>
      </w:r>
    </w:p>
    <w:p w14:paraId="44CBBA58">
      <w:pPr>
        <w:widowControl w:val="0"/>
        <w:spacing w:line="240" w:lineRule="atLeast"/>
        <w:textAlignment w:val="auto"/>
        <w:rPr>
          <w:sz w:val="30"/>
          <w:szCs w:val="30"/>
          <w:u w:val="single"/>
        </w:rPr>
      </w:pPr>
    </w:p>
    <w:p w14:paraId="1BE4E2C0">
      <w:pPr>
        <w:widowControl w:val="0"/>
        <w:spacing w:line="240" w:lineRule="atLeast"/>
        <w:textAlignment w:val="auto"/>
        <w:rPr>
          <w:sz w:val="30"/>
          <w:szCs w:val="30"/>
          <w:u w:val="single"/>
        </w:rPr>
      </w:pPr>
      <w:r>
        <w:rPr>
          <w:rFonts w:hint="eastAsia"/>
          <w:sz w:val="28"/>
          <w:szCs w:val="28"/>
        </w:rPr>
        <w:t>投标人：</w:t>
      </w:r>
      <w:r>
        <w:rPr>
          <w:sz w:val="30"/>
          <w:szCs w:val="30"/>
          <w:u w:val="single"/>
        </w:rPr>
        <w:t xml:space="preserve">                               </w:t>
      </w:r>
    </w:p>
    <w:p w14:paraId="09400B30">
      <w:pPr>
        <w:widowControl w:val="0"/>
        <w:tabs>
          <w:tab w:val="left" w:pos="6135"/>
        </w:tabs>
        <w:textAlignment w:val="auto"/>
        <w:rPr>
          <w:rFonts w:eastAsia="黑体"/>
        </w:rPr>
      </w:pPr>
      <w:r>
        <w:rPr>
          <w:rFonts w:eastAsia="黑体"/>
        </w:rPr>
        <w:t xml:space="preserve">                  </w:t>
      </w:r>
      <w:r>
        <w:rPr>
          <w:rFonts w:hint="eastAsia" w:eastAsia="黑体"/>
        </w:rPr>
        <w:t>（单位盖章）</w:t>
      </w:r>
    </w:p>
    <w:p w14:paraId="2841E924">
      <w:pPr>
        <w:widowControl w:val="0"/>
        <w:spacing w:line="240" w:lineRule="atLeast"/>
        <w:textAlignment w:val="auto"/>
        <w:rPr>
          <w:rFonts w:eastAsia="黑体"/>
          <w:sz w:val="30"/>
          <w:szCs w:val="20"/>
        </w:rPr>
      </w:pPr>
    </w:p>
    <w:p w14:paraId="61FA4183">
      <w:pPr>
        <w:widowControl w:val="0"/>
        <w:spacing w:line="440" w:lineRule="exact"/>
        <w:textAlignment w:val="auto"/>
        <w:rPr>
          <w:sz w:val="24"/>
        </w:rPr>
      </w:pPr>
      <w:r>
        <w:rPr>
          <w:rFonts w:hint="eastAsia"/>
          <w:sz w:val="24"/>
        </w:rPr>
        <w:t>法定代表人</w:t>
      </w:r>
    </w:p>
    <w:p w14:paraId="0A52A0C6">
      <w:pPr>
        <w:widowControl w:val="0"/>
        <w:spacing w:line="440" w:lineRule="exact"/>
        <w:textAlignment w:val="auto"/>
      </w:pPr>
      <w:r>
        <w:rPr>
          <w:rFonts w:hint="eastAsia"/>
          <w:sz w:val="24"/>
        </w:rPr>
        <w:t>或其授权人</w:t>
      </w:r>
      <w:r>
        <w:rPr>
          <w:sz w:val="24"/>
        </w:rPr>
        <w:t xml:space="preserve"> </w:t>
      </w:r>
      <w:r>
        <w:rPr>
          <w:rFonts w:hint="eastAsia"/>
          <w:sz w:val="24"/>
        </w:rPr>
        <w:t>：</w:t>
      </w:r>
      <w:r>
        <w:rPr>
          <w:sz w:val="28"/>
          <w:szCs w:val="28"/>
          <w:u w:val="single"/>
        </w:rPr>
        <w:t xml:space="preserve">                       </w:t>
      </w:r>
      <w:r>
        <w:rPr>
          <w:sz w:val="28"/>
          <w:szCs w:val="28"/>
        </w:rPr>
        <w:t xml:space="preserve">      </w:t>
      </w:r>
    </w:p>
    <w:p w14:paraId="73BB8F95">
      <w:pPr>
        <w:widowControl w:val="0"/>
        <w:tabs>
          <w:tab w:val="left" w:pos="6135"/>
        </w:tabs>
        <w:textAlignment w:val="auto"/>
        <w:rPr>
          <w:sz w:val="30"/>
          <w:szCs w:val="21"/>
        </w:rPr>
      </w:pPr>
      <w:r>
        <w:rPr>
          <w:sz w:val="28"/>
          <w:szCs w:val="28"/>
        </w:rPr>
        <w:t xml:space="preserve"> </w:t>
      </w:r>
      <w:r>
        <w:rPr>
          <w:sz w:val="24"/>
          <w:szCs w:val="20"/>
        </w:rPr>
        <w:t xml:space="preserve">    </w:t>
      </w:r>
      <w:r>
        <w:rPr>
          <w:sz w:val="30"/>
          <w:szCs w:val="21"/>
        </w:rPr>
        <w:t xml:space="preserve"> </w:t>
      </w:r>
      <w:r>
        <w:rPr>
          <w:sz w:val="28"/>
          <w:szCs w:val="28"/>
        </w:rPr>
        <w:t xml:space="preserve">        </w:t>
      </w:r>
      <w:r>
        <w:rPr>
          <w:rFonts w:hint="eastAsia" w:eastAsia="黑体"/>
        </w:rPr>
        <w:t>（签字或盖章）</w:t>
      </w:r>
      <w:r>
        <w:rPr>
          <w:sz w:val="30"/>
          <w:szCs w:val="21"/>
        </w:rPr>
        <w:t xml:space="preserve">        </w:t>
      </w:r>
    </w:p>
    <w:p w14:paraId="2420B879">
      <w:pPr>
        <w:widowControl w:val="0"/>
        <w:spacing w:line="240" w:lineRule="atLeast"/>
        <w:textAlignment w:val="auto"/>
        <w:rPr>
          <w:rFonts w:ascii="宋体"/>
          <w:sz w:val="28"/>
          <w:szCs w:val="28"/>
        </w:rPr>
      </w:pPr>
      <w:r>
        <w:rPr>
          <w:rFonts w:hint="eastAsia" w:ascii="宋体" w:hAnsi="宋体"/>
          <w:sz w:val="30"/>
          <w:szCs w:val="20"/>
        </w:rPr>
        <w:t>编制人：</w:t>
      </w:r>
      <w:r>
        <w:rPr>
          <w:rFonts w:ascii="宋体" w:hAnsi="宋体"/>
          <w:sz w:val="28"/>
          <w:szCs w:val="28"/>
          <w:u w:val="single"/>
        </w:rPr>
        <w:t xml:space="preserve">                          </w:t>
      </w:r>
      <w:r>
        <w:rPr>
          <w:rFonts w:ascii="宋体" w:hAnsi="宋体"/>
          <w:sz w:val="28"/>
          <w:szCs w:val="28"/>
        </w:rPr>
        <w:t xml:space="preserve"> </w:t>
      </w:r>
    </w:p>
    <w:p w14:paraId="03D24309">
      <w:pPr>
        <w:widowControl w:val="0"/>
        <w:spacing w:line="240" w:lineRule="atLeast"/>
        <w:textAlignment w:val="auto"/>
        <w:rPr>
          <w:rFonts w:eastAsia="黑体"/>
          <w:sz w:val="44"/>
          <w:szCs w:val="44"/>
        </w:rPr>
      </w:pPr>
      <w:r>
        <w:rPr>
          <w:sz w:val="28"/>
          <w:szCs w:val="28"/>
        </w:rPr>
        <w:t xml:space="preserve">            </w:t>
      </w:r>
      <w:r>
        <w:rPr>
          <w:rFonts w:hint="eastAsia"/>
          <w:sz w:val="18"/>
          <w:szCs w:val="18"/>
        </w:rPr>
        <w:t>（造价人员签字盖专用章）</w:t>
      </w:r>
      <w:r>
        <w:rPr>
          <w:sz w:val="18"/>
          <w:szCs w:val="18"/>
        </w:rPr>
        <w:t xml:space="preserve">                         </w:t>
      </w:r>
    </w:p>
    <w:p w14:paraId="57C068C5">
      <w:pPr>
        <w:widowControl w:val="0"/>
        <w:tabs>
          <w:tab w:val="left" w:pos="6135"/>
        </w:tabs>
        <w:textAlignment w:val="auto"/>
        <w:rPr>
          <w:rFonts w:eastAsia="黑体"/>
        </w:rPr>
      </w:pPr>
    </w:p>
    <w:p w14:paraId="77D80A90">
      <w:pPr>
        <w:widowControl w:val="0"/>
        <w:tabs>
          <w:tab w:val="left" w:pos="6135"/>
        </w:tabs>
        <w:textAlignment w:val="auto"/>
        <w:rPr>
          <w:rFonts w:eastAsia="黑体"/>
        </w:rPr>
      </w:pPr>
    </w:p>
    <w:p w14:paraId="698A2761">
      <w:pPr>
        <w:widowControl w:val="0"/>
        <w:tabs>
          <w:tab w:val="left" w:pos="6135"/>
        </w:tabs>
        <w:textAlignment w:val="auto"/>
        <w:rPr>
          <w:rFonts w:eastAsia="黑体"/>
        </w:rPr>
      </w:pPr>
    </w:p>
    <w:p w14:paraId="45B385E7">
      <w:pPr>
        <w:widowControl w:val="0"/>
        <w:tabs>
          <w:tab w:val="left" w:pos="6135"/>
        </w:tabs>
        <w:textAlignment w:val="auto"/>
        <w:rPr>
          <w:rFonts w:eastAsia="黑体"/>
          <w:sz w:val="28"/>
          <w:szCs w:val="28"/>
        </w:rPr>
      </w:pPr>
      <w:r>
        <w:rPr>
          <w:rFonts w:hint="eastAsia"/>
          <w:sz w:val="28"/>
          <w:szCs w:val="28"/>
        </w:rPr>
        <w:t>时间：</w:t>
      </w:r>
      <w:r>
        <w:rPr>
          <w:sz w:val="28"/>
          <w:szCs w:val="28"/>
        </w:rPr>
        <w:t xml:space="preserve">   </w:t>
      </w:r>
      <w:r>
        <w:rPr>
          <w:rFonts w:hint="eastAsia"/>
          <w:sz w:val="28"/>
          <w:szCs w:val="28"/>
        </w:rPr>
        <w:t>年</w:t>
      </w:r>
      <w:r>
        <w:rPr>
          <w:sz w:val="28"/>
          <w:szCs w:val="28"/>
        </w:rPr>
        <w:t xml:space="preserve">    </w:t>
      </w:r>
      <w:r>
        <w:rPr>
          <w:rFonts w:hint="eastAsia"/>
          <w:sz w:val="28"/>
          <w:szCs w:val="28"/>
        </w:rPr>
        <w:t>月</w:t>
      </w:r>
      <w:r>
        <w:rPr>
          <w:sz w:val="28"/>
          <w:szCs w:val="28"/>
        </w:rPr>
        <w:t xml:space="preserve">   </w:t>
      </w:r>
      <w:r>
        <w:rPr>
          <w:rFonts w:hint="eastAsia"/>
          <w:sz w:val="28"/>
          <w:szCs w:val="28"/>
        </w:rPr>
        <w:t>日</w:t>
      </w:r>
      <w:r>
        <w:rPr>
          <w:sz w:val="28"/>
          <w:szCs w:val="28"/>
        </w:rPr>
        <w:t xml:space="preserve">    </w:t>
      </w:r>
    </w:p>
    <w:p w14:paraId="11E09768">
      <w:pPr>
        <w:widowControl w:val="0"/>
        <w:tabs>
          <w:tab w:val="left" w:pos="6135"/>
        </w:tabs>
        <w:textAlignment w:val="auto"/>
        <w:rPr>
          <w:rFonts w:eastAsia="黑体"/>
        </w:rPr>
      </w:pPr>
    </w:p>
    <w:p w14:paraId="775280E9">
      <w:pPr>
        <w:widowControl w:val="0"/>
        <w:spacing w:line="240" w:lineRule="atLeast"/>
        <w:jc w:val="right"/>
        <w:textAlignment w:val="auto"/>
        <w:rPr>
          <w:szCs w:val="21"/>
        </w:rPr>
      </w:pPr>
      <w:r>
        <w:rPr>
          <w:rFonts w:hint="eastAsia"/>
          <w:szCs w:val="21"/>
        </w:rPr>
        <w:t>扉</w:t>
      </w:r>
      <w:r>
        <w:rPr>
          <w:szCs w:val="21"/>
        </w:rPr>
        <w:t>-3</w:t>
      </w:r>
    </w:p>
    <w:p w14:paraId="574CC251">
      <w:pPr>
        <w:widowControl w:val="0"/>
        <w:tabs>
          <w:tab w:val="left" w:pos="6135"/>
        </w:tabs>
        <w:textAlignment w:val="auto"/>
        <w:rPr>
          <w:rFonts w:eastAsia="黑体"/>
        </w:rPr>
      </w:pPr>
    </w:p>
    <w:p w14:paraId="667093FD">
      <w:pPr>
        <w:widowControl w:val="0"/>
        <w:tabs>
          <w:tab w:val="left" w:pos="6135"/>
        </w:tabs>
        <w:jc w:val="center"/>
        <w:textAlignment w:val="auto"/>
        <w:rPr>
          <w:rFonts w:eastAsia="黑体"/>
          <w:sz w:val="32"/>
          <w:szCs w:val="32"/>
        </w:rPr>
      </w:pPr>
      <w:r>
        <w:rPr>
          <w:rFonts w:eastAsia="黑体"/>
          <w:sz w:val="32"/>
          <w:szCs w:val="32"/>
        </w:rPr>
        <w:t>D</w:t>
      </w:r>
      <w:r>
        <w:rPr>
          <w:rFonts w:hint="eastAsia" w:eastAsia="黑体"/>
          <w:sz w:val="32"/>
          <w:szCs w:val="32"/>
        </w:rPr>
        <w:t>工程计价总说明</w:t>
      </w:r>
    </w:p>
    <w:p w14:paraId="4B324DF7">
      <w:pPr>
        <w:widowControl w:val="0"/>
        <w:spacing w:line="360" w:lineRule="auto"/>
        <w:jc w:val="center"/>
        <w:textAlignment w:val="auto"/>
        <w:rPr>
          <w:rFonts w:eastAsia="黑体"/>
          <w:sz w:val="36"/>
          <w:szCs w:val="36"/>
        </w:rPr>
      </w:pPr>
      <w:r>
        <w:rPr>
          <w:rFonts w:hint="eastAsia"/>
          <w:sz w:val="48"/>
          <w:szCs w:val="48"/>
        </w:rPr>
        <w:t>总</w:t>
      </w:r>
      <w:r>
        <w:rPr>
          <w:sz w:val="48"/>
          <w:szCs w:val="48"/>
        </w:rPr>
        <w:t xml:space="preserve">  </w:t>
      </w:r>
      <w:r>
        <w:rPr>
          <w:rFonts w:hint="eastAsia"/>
          <w:sz w:val="48"/>
          <w:szCs w:val="48"/>
        </w:rPr>
        <w:t>说</w:t>
      </w:r>
      <w:r>
        <w:rPr>
          <w:sz w:val="48"/>
          <w:szCs w:val="48"/>
        </w:rPr>
        <w:t xml:space="preserve">  </w:t>
      </w:r>
      <w:r>
        <w:rPr>
          <w:rFonts w:hint="eastAsia"/>
          <w:sz w:val="48"/>
          <w:szCs w:val="48"/>
        </w:rPr>
        <w:t>明</w:t>
      </w:r>
    </w:p>
    <w:p w14:paraId="3FC62946">
      <w:pPr>
        <w:widowControl w:val="0"/>
        <w:tabs>
          <w:tab w:val="left" w:pos="6615"/>
        </w:tabs>
        <w:spacing w:line="360" w:lineRule="auto"/>
        <w:textAlignment w:val="auto"/>
        <w:rPr>
          <w:sz w:val="24"/>
        </w:rPr>
      </w:pPr>
      <w:r>
        <w:rPr>
          <w:rFonts w:hint="eastAsia"/>
          <w:sz w:val="24"/>
        </w:rPr>
        <w:t>工程名称：</w:t>
      </w:r>
      <w:r>
        <w:rPr>
          <w:sz w:val="24"/>
        </w:rPr>
        <w:tab/>
      </w:r>
      <w:r>
        <w:rPr>
          <w:rFonts w:hint="eastAsia"/>
          <w:sz w:val="24"/>
        </w:rPr>
        <w:t>第</w:t>
      </w:r>
      <w:r>
        <w:rPr>
          <w:sz w:val="24"/>
        </w:rPr>
        <w:t xml:space="preserve">   </w:t>
      </w:r>
      <w:r>
        <w:rPr>
          <w:rFonts w:hint="eastAsia"/>
          <w:sz w:val="24"/>
        </w:rPr>
        <w:t>页</w:t>
      </w:r>
      <w:r>
        <w:rPr>
          <w:sz w:val="24"/>
        </w:rPr>
        <w:t xml:space="preserve">  </w:t>
      </w:r>
      <w:r>
        <w:rPr>
          <w:rFonts w:hint="eastAsia"/>
          <w:sz w:val="24"/>
        </w:rPr>
        <w:t>共</w:t>
      </w:r>
      <w:r>
        <w:rPr>
          <w:sz w:val="24"/>
        </w:rPr>
        <w:t xml:space="preserve">    </w:t>
      </w:r>
      <w:r>
        <w:rPr>
          <w:rFonts w:hint="eastAsia"/>
          <w:sz w:val="24"/>
        </w:rPr>
        <w:t>页</w:t>
      </w:r>
    </w:p>
    <w:tbl>
      <w:tblPr>
        <w:tblStyle w:val="45"/>
        <w:tblW w:w="0" w:type="auto"/>
        <w:jc w:val="center"/>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fixed"/>
        <w:tblCellMar>
          <w:top w:w="0" w:type="dxa"/>
          <w:left w:w="108" w:type="dxa"/>
          <w:bottom w:w="0" w:type="dxa"/>
          <w:right w:w="108" w:type="dxa"/>
        </w:tblCellMar>
      </w:tblPr>
      <w:tblGrid>
        <w:gridCol w:w="8789"/>
      </w:tblGrid>
      <w:tr w14:paraId="0892910A">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10895" w:hRule="atLeast"/>
          <w:jc w:val="center"/>
        </w:trPr>
        <w:tc>
          <w:tcPr>
            <w:tcW w:w="8789" w:type="dxa"/>
            <w:tcBorders>
              <w:top w:val="single" w:color="auto" w:sz="8" w:space="0"/>
              <w:bottom w:val="single" w:color="auto" w:sz="8" w:space="0"/>
            </w:tcBorders>
          </w:tcPr>
          <w:p w14:paraId="52DDEC50">
            <w:pPr>
              <w:widowControl w:val="0"/>
              <w:tabs>
                <w:tab w:val="left" w:pos="6135"/>
              </w:tabs>
              <w:spacing w:line="600" w:lineRule="exact"/>
              <w:textAlignment w:val="auto"/>
              <w:rPr>
                <w:sz w:val="36"/>
                <w:szCs w:val="36"/>
              </w:rPr>
            </w:pPr>
          </w:p>
        </w:tc>
      </w:tr>
    </w:tbl>
    <w:p w14:paraId="33D281AD">
      <w:pPr>
        <w:widowControl w:val="0"/>
        <w:spacing w:line="240" w:lineRule="atLeast"/>
        <w:textAlignment w:val="auto"/>
        <w:rPr>
          <w:szCs w:val="21"/>
        </w:rPr>
      </w:pPr>
    </w:p>
    <w:p w14:paraId="025AACEE">
      <w:pPr>
        <w:widowControl w:val="0"/>
        <w:spacing w:line="240" w:lineRule="atLeast"/>
        <w:jc w:val="right"/>
        <w:textAlignment w:val="auto"/>
        <w:rPr>
          <w:rFonts w:eastAsia="黑体"/>
          <w:sz w:val="30"/>
          <w:szCs w:val="20"/>
        </w:rPr>
      </w:pPr>
      <w:r>
        <w:rPr>
          <w:rFonts w:hint="eastAsia"/>
          <w:szCs w:val="21"/>
        </w:rPr>
        <w:t>表</w:t>
      </w:r>
      <w:r>
        <w:rPr>
          <w:szCs w:val="21"/>
        </w:rPr>
        <w:t>-01</w:t>
      </w:r>
    </w:p>
    <w:p w14:paraId="6714F2FC">
      <w:pPr>
        <w:widowControl w:val="0"/>
        <w:tabs>
          <w:tab w:val="left" w:pos="6135"/>
        </w:tabs>
        <w:textAlignment w:val="auto"/>
        <w:rPr>
          <w:rFonts w:eastAsia="黑体"/>
        </w:rPr>
      </w:pPr>
    </w:p>
    <w:p w14:paraId="4163B0E9">
      <w:pPr>
        <w:widowControl w:val="0"/>
        <w:tabs>
          <w:tab w:val="left" w:pos="6135"/>
        </w:tabs>
        <w:jc w:val="center"/>
        <w:textAlignment w:val="auto"/>
        <w:rPr>
          <w:rFonts w:eastAsia="黑体"/>
          <w:sz w:val="32"/>
          <w:szCs w:val="32"/>
        </w:rPr>
      </w:pPr>
      <w:r>
        <w:rPr>
          <w:rFonts w:eastAsia="黑体"/>
          <w:sz w:val="32"/>
          <w:szCs w:val="32"/>
        </w:rPr>
        <w:t>E.1</w:t>
      </w:r>
      <w:r>
        <w:rPr>
          <w:rFonts w:hint="eastAsia" w:eastAsia="黑体"/>
          <w:sz w:val="32"/>
          <w:szCs w:val="32"/>
        </w:rPr>
        <w:t>建设项目招标控制价</w:t>
      </w:r>
      <w:r>
        <w:rPr>
          <w:rFonts w:eastAsia="黑体"/>
          <w:sz w:val="32"/>
          <w:szCs w:val="32"/>
        </w:rPr>
        <w:t>/</w:t>
      </w:r>
      <w:r>
        <w:rPr>
          <w:rFonts w:hint="eastAsia" w:eastAsia="黑体"/>
          <w:sz w:val="32"/>
          <w:szCs w:val="32"/>
        </w:rPr>
        <w:t>投标报价汇总表</w:t>
      </w:r>
    </w:p>
    <w:p w14:paraId="3DC56FD5">
      <w:pPr>
        <w:widowControl w:val="0"/>
        <w:spacing w:line="240" w:lineRule="atLeast"/>
        <w:textAlignment w:val="auto"/>
        <w:rPr>
          <w:sz w:val="30"/>
          <w:szCs w:val="20"/>
        </w:rPr>
      </w:pPr>
    </w:p>
    <w:p w14:paraId="4BA25B68">
      <w:pPr>
        <w:widowControl w:val="0"/>
        <w:spacing w:line="240" w:lineRule="atLeast"/>
        <w:textAlignment w:val="auto"/>
        <w:rPr>
          <w:rFonts w:eastAsia="黑体"/>
          <w:sz w:val="24"/>
        </w:rPr>
      </w:pPr>
      <w:r>
        <w:rPr>
          <w:rFonts w:hint="eastAsia" w:eastAsia="黑体"/>
          <w:sz w:val="24"/>
        </w:rPr>
        <w:t>工程名称：</w:t>
      </w:r>
      <w:r>
        <w:rPr>
          <w:rFonts w:eastAsia="黑体"/>
          <w:sz w:val="24"/>
        </w:rPr>
        <w:t xml:space="preserve">                                                 </w:t>
      </w:r>
      <w:r>
        <w:rPr>
          <w:rFonts w:hint="eastAsia" w:eastAsia="黑体"/>
          <w:sz w:val="24"/>
        </w:rPr>
        <w:t>第</w:t>
      </w:r>
      <w:r>
        <w:rPr>
          <w:rFonts w:eastAsia="黑体"/>
          <w:sz w:val="24"/>
        </w:rPr>
        <w:t xml:space="preserve">  </w:t>
      </w:r>
      <w:r>
        <w:rPr>
          <w:rFonts w:hint="eastAsia" w:eastAsia="黑体"/>
          <w:sz w:val="24"/>
        </w:rPr>
        <w:t>页共</w:t>
      </w:r>
      <w:r>
        <w:rPr>
          <w:rFonts w:eastAsia="黑体"/>
          <w:sz w:val="24"/>
        </w:rPr>
        <w:t xml:space="preserve">   </w:t>
      </w:r>
      <w:r>
        <w:rPr>
          <w:rFonts w:hint="eastAsia" w:eastAsia="黑体"/>
          <w:sz w:val="24"/>
        </w:rPr>
        <w:t>页</w:t>
      </w:r>
    </w:p>
    <w:tbl>
      <w:tblPr>
        <w:tblStyle w:val="4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3"/>
        <w:gridCol w:w="2996"/>
        <w:gridCol w:w="1517"/>
        <w:gridCol w:w="1484"/>
        <w:gridCol w:w="1662"/>
      </w:tblGrid>
      <w:tr w14:paraId="76F9F9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893" w:type="dxa"/>
            <w:vMerge w:val="restart"/>
            <w:vAlign w:val="center"/>
          </w:tcPr>
          <w:p w14:paraId="41E11CD6">
            <w:pPr>
              <w:widowControl w:val="0"/>
              <w:spacing w:line="240" w:lineRule="atLeast"/>
              <w:jc w:val="center"/>
              <w:textAlignment w:val="auto"/>
              <w:rPr>
                <w:rFonts w:eastAsia="黑体"/>
                <w:kern w:val="0"/>
                <w:sz w:val="24"/>
              </w:rPr>
            </w:pPr>
            <w:r>
              <w:rPr>
                <w:rFonts w:hint="eastAsia" w:eastAsia="黑体"/>
                <w:kern w:val="0"/>
                <w:sz w:val="24"/>
              </w:rPr>
              <w:t>序号</w:t>
            </w:r>
          </w:p>
        </w:tc>
        <w:tc>
          <w:tcPr>
            <w:tcW w:w="3184" w:type="dxa"/>
            <w:vMerge w:val="restart"/>
            <w:vAlign w:val="center"/>
          </w:tcPr>
          <w:p w14:paraId="58367B0A">
            <w:pPr>
              <w:widowControl w:val="0"/>
              <w:spacing w:line="240" w:lineRule="atLeast"/>
              <w:jc w:val="center"/>
              <w:textAlignment w:val="auto"/>
              <w:rPr>
                <w:rFonts w:eastAsia="黑体"/>
                <w:kern w:val="0"/>
                <w:sz w:val="24"/>
              </w:rPr>
            </w:pPr>
            <w:r>
              <w:rPr>
                <w:rFonts w:hint="eastAsia" w:eastAsia="黑体"/>
                <w:kern w:val="0"/>
                <w:sz w:val="24"/>
              </w:rPr>
              <w:t>单项工程名称</w:t>
            </w:r>
          </w:p>
        </w:tc>
        <w:tc>
          <w:tcPr>
            <w:tcW w:w="1560" w:type="dxa"/>
            <w:vMerge w:val="restart"/>
            <w:vAlign w:val="center"/>
          </w:tcPr>
          <w:p w14:paraId="6F56E14F">
            <w:pPr>
              <w:widowControl w:val="0"/>
              <w:spacing w:line="240" w:lineRule="atLeast"/>
              <w:jc w:val="center"/>
              <w:textAlignment w:val="auto"/>
              <w:rPr>
                <w:rFonts w:eastAsia="黑体"/>
                <w:kern w:val="0"/>
                <w:sz w:val="24"/>
              </w:rPr>
            </w:pPr>
            <w:r>
              <w:rPr>
                <w:rFonts w:hint="eastAsia" w:eastAsia="黑体"/>
                <w:kern w:val="0"/>
                <w:sz w:val="24"/>
              </w:rPr>
              <w:t>金额（元）</w:t>
            </w:r>
          </w:p>
        </w:tc>
        <w:tc>
          <w:tcPr>
            <w:tcW w:w="3309" w:type="dxa"/>
            <w:gridSpan w:val="2"/>
            <w:vAlign w:val="center"/>
          </w:tcPr>
          <w:p w14:paraId="33C79E25">
            <w:pPr>
              <w:widowControl w:val="0"/>
              <w:spacing w:line="240" w:lineRule="atLeast"/>
              <w:jc w:val="center"/>
              <w:textAlignment w:val="auto"/>
              <w:rPr>
                <w:rFonts w:eastAsia="黑体"/>
                <w:kern w:val="0"/>
                <w:sz w:val="24"/>
              </w:rPr>
            </w:pPr>
            <w:r>
              <w:rPr>
                <w:rFonts w:hint="eastAsia" w:eastAsia="黑体"/>
                <w:kern w:val="0"/>
                <w:sz w:val="24"/>
              </w:rPr>
              <w:t>其中：（元）</w:t>
            </w:r>
          </w:p>
        </w:tc>
      </w:tr>
      <w:tr w14:paraId="47E20F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893" w:type="dxa"/>
            <w:vMerge w:val="continue"/>
            <w:vAlign w:val="center"/>
          </w:tcPr>
          <w:p w14:paraId="414598DA">
            <w:pPr>
              <w:widowControl w:val="0"/>
              <w:spacing w:line="240" w:lineRule="atLeast"/>
              <w:jc w:val="center"/>
              <w:textAlignment w:val="auto"/>
              <w:rPr>
                <w:rFonts w:eastAsia="黑体"/>
                <w:kern w:val="0"/>
                <w:sz w:val="24"/>
              </w:rPr>
            </w:pPr>
          </w:p>
        </w:tc>
        <w:tc>
          <w:tcPr>
            <w:tcW w:w="3184" w:type="dxa"/>
            <w:vMerge w:val="continue"/>
            <w:vAlign w:val="center"/>
          </w:tcPr>
          <w:p w14:paraId="2735C388">
            <w:pPr>
              <w:widowControl w:val="0"/>
              <w:spacing w:line="240" w:lineRule="atLeast"/>
              <w:jc w:val="center"/>
              <w:textAlignment w:val="auto"/>
              <w:rPr>
                <w:rFonts w:eastAsia="黑体"/>
                <w:kern w:val="0"/>
                <w:sz w:val="24"/>
              </w:rPr>
            </w:pPr>
          </w:p>
        </w:tc>
        <w:tc>
          <w:tcPr>
            <w:tcW w:w="1560" w:type="dxa"/>
            <w:vMerge w:val="continue"/>
            <w:vAlign w:val="center"/>
          </w:tcPr>
          <w:p w14:paraId="1A4C8F45">
            <w:pPr>
              <w:widowControl w:val="0"/>
              <w:spacing w:line="240" w:lineRule="atLeast"/>
              <w:jc w:val="center"/>
              <w:textAlignment w:val="auto"/>
              <w:rPr>
                <w:rFonts w:eastAsia="黑体"/>
                <w:kern w:val="0"/>
                <w:sz w:val="24"/>
              </w:rPr>
            </w:pPr>
          </w:p>
        </w:tc>
        <w:tc>
          <w:tcPr>
            <w:tcW w:w="1559" w:type="dxa"/>
            <w:vAlign w:val="center"/>
          </w:tcPr>
          <w:p w14:paraId="5B28C8D8">
            <w:pPr>
              <w:widowControl w:val="0"/>
              <w:spacing w:line="240" w:lineRule="atLeast"/>
              <w:jc w:val="center"/>
              <w:textAlignment w:val="auto"/>
              <w:rPr>
                <w:rFonts w:eastAsia="黑体"/>
                <w:kern w:val="0"/>
                <w:sz w:val="24"/>
              </w:rPr>
            </w:pPr>
            <w:r>
              <w:rPr>
                <w:rFonts w:hint="eastAsia" w:eastAsia="黑体"/>
                <w:kern w:val="0"/>
                <w:sz w:val="24"/>
              </w:rPr>
              <w:t>暂估价</w:t>
            </w:r>
          </w:p>
        </w:tc>
        <w:tc>
          <w:tcPr>
            <w:tcW w:w="1750" w:type="dxa"/>
            <w:vAlign w:val="center"/>
          </w:tcPr>
          <w:p w14:paraId="1F785021">
            <w:pPr>
              <w:widowControl w:val="0"/>
              <w:spacing w:line="240" w:lineRule="atLeast"/>
              <w:jc w:val="center"/>
              <w:textAlignment w:val="auto"/>
              <w:rPr>
                <w:rFonts w:eastAsia="黑体"/>
                <w:kern w:val="0"/>
                <w:sz w:val="24"/>
              </w:rPr>
            </w:pPr>
            <w:r>
              <w:rPr>
                <w:rFonts w:hint="eastAsia" w:eastAsia="黑体"/>
                <w:kern w:val="0"/>
                <w:sz w:val="24"/>
              </w:rPr>
              <w:t>安全文明</w:t>
            </w:r>
          </w:p>
          <w:p w14:paraId="7FEEFF0E">
            <w:pPr>
              <w:widowControl w:val="0"/>
              <w:spacing w:line="240" w:lineRule="atLeast"/>
              <w:jc w:val="center"/>
              <w:textAlignment w:val="auto"/>
              <w:rPr>
                <w:rFonts w:eastAsia="黑体"/>
                <w:kern w:val="0"/>
                <w:sz w:val="24"/>
              </w:rPr>
            </w:pPr>
            <w:r>
              <w:rPr>
                <w:rFonts w:hint="eastAsia" w:eastAsia="黑体"/>
                <w:kern w:val="0"/>
                <w:sz w:val="24"/>
              </w:rPr>
              <w:t>施工费</w:t>
            </w:r>
          </w:p>
        </w:tc>
      </w:tr>
      <w:tr w14:paraId="7868C2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14" w:hRule="atLeast"/>
        </w:trPr>
        <w:tc>
          <w:tcPr>
            <w:tcW w:w="893" w:type="dxa"/>
          </w:tcPr>
          <w:p w14:paraId="60E2508F">
            <w:pPr>
              <w:widowControl w:val="0"/>
              <w:spacing w:line="240" w:lineRule="atLeast"/>
              <w:textAlignment w:val="auto"/>
              <w:rPr>
                <w:rFonts w:eastAsia="黑体"/>
                <w:kern w:val="0"/>
                <w:sz w:val="28"/>
                <w:szCs w:val="28"/>
              </w:rPr>
            </w:pPr>
          </w:p>
        </w:tc>
        <w:tc>
          <w:tcPr>
            <w:tcW w:w="3184" w:type="dxa"/>
          </w:tcPr>
          <w:p w14:paraId="57D7ECE1">
            <w:pPr>
              <w:widowControl w:val="0"/>
              <w:spacing w:line="240" w:lineRule="atLeast"/>
              <w:textAlignment w:val="auto"/>
              <w:rPr>
                <w:rFonts w:eastAsia="黑体"/>
                <w:kern w:val="0"/>
                <w:sz w:val="28"/>
                <w:szCs w:val="28"/>
              </w:rPr>
            </w:pPr>
          </w:p>
        </w:tc>
        <w:tc>
          <w:tcPr>
            <w:tcW w:w="1560" w:type="dxa"/>
          </w:tcPr>
          <w:p w14:paraId="56B905CE">
            <w:pPr>
              <w:widowControl w:val="0"/>
              <w:spacing w:line="240" w:lineRule="atLeast"/>
              <w:textAlignment w:val="auto"/>
              <w:rPr>
                <w:rFonts w:eastAsia="黑体"/>
                <w:kern w:val="0"/>
                <w:sz w:val="28"/>
                <w:szCs w:val="28"/>
              </w:rPr>
            </w:pPr>
          </w:p>
        </w:tc>
        <w:tc>
          <w:tcPr>
            <w:tcW w:w="1559" w:type="dxa"/>
          </w:tcPr>
          <w:p w14:paraId="491D872B">
            <w:pPr>
              <w:widowControl w:val="0"/>
              <w:spacing w:line="240" w:lineRule="atLeast"/>
              <w:textAlignment w:val="auto"/>
              <w:rPr>
                <w:rFonts w:eastAsia="黑体"/>
                <w:kern w:val="0"/>
                <w:sz w:val="28"/>
                <w:szCs w:val="28"/>
              </w:rPr>
            </w:pPr>
          </w:p>
        </w:tc>
        <w:tc>
          <w:tcPr>
            <w:tcW w:w="1750" w:type="dxa"/>
          </w:tcPr>
          <w:p w14:paraId="4E1F6FF1">
            <w:pPr>
              <w:widowControl w:val="0"/>
              <w:spacing w:line="240" w:lineRule="atLeast"/>
              <w:textAlignment w:val="auto"/>
              <w:rPr>
                <w:rFonts w:eastAsia="黑体"/>
                <w:kern w:val="0"/>
                <w:sz w:val="28"/>
                <w:szCs w:val="28"/>
              </w:rPr>
            </w:pPr>
          </w:p>
        </w:tc>
      </w:tr>
      <w:tr w14:paraId="3CC875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8" w:hRule="atLeast"/>
        </w:trPr>
        <w:tc>
          <w:tcPr>
            <w:tcW w:w="4077" w:type="dxa"/>
            <w:gridSpan w:val="2"/>
            <w:vAlign w:val="center"/>
          </w:tcPr>
          <w:p w14:paraId="2B90B919">
            <w:pPr>
              <w:widowControl w:val="0"/>
              <w:spacing w:line="240" w:lineRule="atLeast"/>
              <w:jc w:val="center"/>
              <w:textAlignment w:val="auto"/>
              <w:rPr>
                <w:rFonts w:eastAsia="黑体"/>
                <w:kern w:val="0"/>
                <w:sz w:val="28"/>
                <w:szCs w:val="28"/>
              </w:rPr>
            </w:pPr>
            <w:r>
              <w:rPr>
                <w:rFonts w:hint="eastAsia" w:eastAsia="黑体"/>
                <w:kern w:val="0"/>
                <w:sz w:val="28"/>
                <w:szCs w:val="28"/>
              </w:rPr>
              <w:t>合计</w:t>
            </w:r>
          </w:p>
        </w:tc>
        <w:tc>
          <w:tcPr>
            <w:tcW w:w="1560" w:type="dxa"/>
            <w:vAlign w:val="center"/>
          </w:tcPr>
          <w:p w14:paraId="46B7AA4A">
            <w:pPr>
              <w:widowControl w:val="0"/>
              <w:spacing w:line="240" w:lineRule="atLeast"/>
              <w:jc w:val="center"/>
              <w:textAlignment w:val="auto"/>
              <w:rPr>
                <w:rFonts w:eastAsia="黑体"/>
                <w:kern w:val="0"/>
                <w:sz w:val="28"/>
                <w:szCs w:val="28"/>
              </w:rPr>
            </w:pPr>
          </w:p>
        </w:tc>
        <w:tc>
          <w:tcPr>
            <w:tcW w:w="1559" w:type="dxa"/>
            <w:vAlign w:val="center"/>
          </w:tcPr>
          <w:p w14:paraId="2CAB9603">
            <w:pPr>
              <w:widowControl w:val="0"/>
              <w:spacing w:line="240" w:lineRule="atLeast"/>
              <w:jc w:val="center"/>
              <w:textAlignment w:val="auto"/>
              <w:rPr>
                <w:rFonts w:eastAsia="黑体"/>
                <w:kern w:val="0"/>
                <w:sz w:val="28"/>
                <w:szCs w:val="28"/>
              </w:rPr>
            </w:pPr>
          </w:p>
        </w:tc>
        <w:tc>
          <w:tcPr>
            <w:tcW w:w="1750" w:type="dxa"/>
            <w:vAlign w:val="center"/>
          </w:tcPr>
          <w:p w14:paraId="11F27C3D">
            <w:pPr>
              <w:widowControl w:val="0"/>
              <w:spacing w:line="240" w:lineRule="atLeast"/>
              <w:jc w:val="center"/>
              <w:textAlignment w:val="auto"/>
              <w:rPr>
                <w:rFonts w:eastAsia="黑体"/>
                <w:kern w:val="0"/>
                <w:sz w:val="28"/>
                <w:szCs w:val="28"/>
              </w:rPr>
            </w:pPr>
          </w:p>
        </w:tc>
      </w:tr>
    </w:tbl>
    <w:p w14:paraId="1EF5EC17">
      <w:pPr>
        <w:widowControl w:val="0"/>
        <w:tabs>
          <w:tab w:val="left" w:pos="6135"/>
        </w:tabs>
        <w:textAlignment w:val="auto"/>
        <w:rPr>
          <w:rFonts w:eastAsia="黑体"/>
        </w:rPr>
      </w:pPr>
      <w:r>
        <w:rPr>
          <w:rFonts w:hint="eastAsia" w:eastAsia="黑体"/>
          <w:sz w:val="18"/>
          <w:szCs w:val="18"/>
        </w:rPr>
        <w:t>注：本表适用于建安工程招标控制价或投标报价汇总。</w:t>
      </w:r>
    </w:p>
    <w:p w14:paraId="1CCE3962">
      <w:pPr>
        <w:widowControl w:val="0"/>
        <w:tabs>
          <w:tab w:val="left" w:pos="6135"/>
        </w:tabs>
        <w:jc w:val="right"/>
        <w:textAlignment w:val="auto"/>
        <w:rPr>
          <w:rFonts w:eastAsia="黑体"/>
        </w:rPr>
      </w:pPr>
      <w:r>
        <w:rPr>
          <w:rFonts w:hint="eastAsia" w:eastAsia="黑体"/>
        </w:rPr>
        <w:t>表</w:t>
      </w:r>
      <w:r>
        <w:rPr>
          <w:rFonts w:eastAsia="黑体"/>
        </w:rPr>
        <w:t>-02</w:t>
      </w:r>
    </w:p>
    <w:p w14:paraId="128E5783">
      <w:pPr>
        <w:widowControl w:val="0"/>
        <w:tabs>
          <w:tab w:val="left" w:pos="6135"/>
        </w:tabs>
        <w:jc w:val="center"/>
        <w:textAlignment w:val="auto"/>
        <w:rPr>
          <w:rFonts w:eastAsia="黑体"/>
          <w:sz w:val="32"/>
          <w:szCs w:val="32"/>
        </w:rPr>
      </w:pPr>
    </w:p>
    <w:p w14:paraId="724AF93A">
      <w:pPr>
        <w:widowControl w:val="0"/>
        <w:tabs>
          <w:tab w:val="left" w:pos="6135"/>
        </w:tabs>
        <w:jc w:val="center"/>
        <w:textAlignment w:val="auto"/>
        <w:rPr>
          <w:rFonts w:eastAsia="黑体"/>
          <w:sz w:val="32"/>
          <w:szCs w:val="32"/>
        </w:rPr>
      </w:pPr>
    </w:p>
    <w:p w14:paraId="675AF148">
      <w:pPr>
        <w:widowControl w:val="0"/>
        <w:tabs>
          <w:tab w:val="left" w:pos="6135"/>
        </w:tabs>
        <w:jc w:val="center"/>
        <w:textAlignment w:val="auto"/>
        <w:rPr>
          <w:rFonts w:eastAsia="黑体"/>
          <w:sz w:val="32"/>
          <w:szCs w:val="32"/>
        </w:rPr>
      </w:pPr>
    </w:p>
    <w:p w14:paraId="6D3E4787">
      <w:pPr>
        <w:widowControl w:val="0"/>
        <w:tabs>
          <w:tab w:val="left" w:pos="6135"/>
        </w:tabs>
        <w:jc w:val="center"/>
        <w:textAlignment w:val="auto"/>
        <w:rPr>
          <w:rFonts w:eastAsia="黑体"/>
          <w:sz w:val="32"/>
          <w:szCs w:val="32"/>
        </w:rPr>
      </w:pPr>
      <w:r>
        <w:rPr>
          <w:rFonts w:eastAsia="黑体"/>
          <w:sz w:val="32"/>
          <w:szCs w:val="32"/>
        </w:rPr>
        <w:t>E.2</w:t>
      </w:r>
      <w:r>
        <w:rPr>
          <w:rFonts w:hint="eastAsia" w:eastAsia="黑体"/>
          <w:sz w:val="32"/>
          <w:szCs w:val="32"/>
        </w:rPr>
        <w:t>单项工程招标控制价</w:t>
      </w:r>
      <w:r>
        <w:rPr>
          <w:rFonts w:eastAsia="黑体"/>
          <w:sz w:val="32"/>
          <w:szCs w:val="32"/>
        </w:rPr>
        <w:t>/</w:t>
      </w:r>
      <w:r>
        <w:rPr>
          <w:rFonts w:hint="eastAsia" w:eastAsia="黑体"/>
          <w:sz w:val="32"/>
          <w:szCs w:val="32"/>
        </w:rPr>
        <w:t>投标报价汇总表</w:t>
      </w:r>
    </w:p>
    <w:p w14:paraId="03418800">
      <w:pPr>
        <w:widowControl w:val="0"/>
        <w:spacing w:line="240" w:lineRule="atLeast"/>
        <w:textAlignment w:val="auto"/>
        <w:rPr>
          <w:sz w:val="30"/>
          <w:szCs w:val="20"/>
        </w:rPr>
      </w:pPr>
    </w:p>
    <w:p w14:paraId="7B12CB2A">
      <w:pPr>
        <w:widowControl w:val="0"/>
        <w:spacing w:line="240" w:lineRule="atLeast"/>
        <w:textAlignment w:val="auto"/>
        <w:rPr>
          <w:rFonts w:eastAsia="黑体"/>
          <w:sz w:val="24"/>
        </w:rPr>
      </w:pPr>
      <w:r>
        <w:rPr>
          <w:rFonts w:hint="eastAsia" w:eastAsia="黑体"/>
          <w:sz w:val="24"/>
        </w:rPr>
        <w:t>工程名称：</w:t>
      </w:r>
      <w:r>
        <w:rPr>
          <w:rFonts w:eastAsia="黑体"/>
          <w:sz w:val="24"/>
        </w:rPr>
        <w:t xml:space="preserve">                                                 </w:t>
      </w:r>
      <w:r>
        <w:rPr>
          <w:rFonts w:hint="eastAsia" w:eastAsia="黑体"/>
          <w:sz w:val="24"/>
        </w:rPr>
        <w:t>第</w:t>
      </w:r>
      <w:r>
        <w:rPr>
          <w:rFonts w:eastAsia="黑体"/>
          <w:sz w:val="24"/>
        </w:rPr>
        <w:t xml:space="preserve">  </w:t>
      </w:r>
      <w:r>
        <w:rPr>
          <w:rFonts w:hint="eastAsia" w:eastAsia="黑体"/>
          <w:sz w:val="24"/>
        </w:rPr>
        <w:t>页共</w:t>
      </w:r>
      <w:r>
        <w:rPr>
          <w:rFonts w:eastAsia="黑体"/>
          <w:sz w:val="24"/>
        </w:rPr>
        <w:t xml:space="preserve">   </w:t>
      </w:r>
      <w:r>
        <w:rPr>
          <w:rFonts w:hint="eastAsia" w:eastAsia="黑体"/>
          <w:sz w:val="24"/>
        </w:rPr>
        <w:t>页</w:t>
      </w:r>
    </w:p>
    <w:tbl>
      <w:tblPr>
        <w:tblStyle w:val="4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3"/>
        <w:gridCol w:w="2996"/>
        <w:gridCol w:w="1517"/>
        <w:gridCol w:w="1484"/>
        <w:gridCol w:w="1662"/>
      </w:tblGrid>
      <w:tr w14:paraId="186846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893" w:type="dxa"/>
            <w:vMerge w:val="restart"/>
            <w:vAlign w:val="center"/>
          </w:tcPr>
          <w:p w14:paraId="431B10ED">
            <w:pPr>
              <w:widowControl w:val="0"/>
              <w:spacing w:line="240" w:lineRule="atLeast"/>
              <w:jc w:val="center"/>
              <w:textAlignment w:val="auto"/>
              <w:rPr>
                <w:rFonts w:eastAsia="黑体"/>
                <w:kern w:val="0"/>
                <w:sz w:val="24"/>
              </w:rPr>
            </w:pPr>
            <w:r>
              <w:rPr>
                <w:rFonts w:hint="eastAsia" w:eastAsia="黑体"/>
                <w:kern w:val="0"/>
                <w:sz w:val="24"/>
              </w:rPr>
              <w:t>序号</w:t>
            </w:r>
          </w:p>
        </w:tc>
        <w:tc>
          <w:tcPr>
            <w:tcW w:w="3184" w:type="dxa"/>
            <w:vMerge w:val="restart"/>
            <w:vAlign w:val="center"/>
          </w:tcPr>
          <w:p w14:paraId="2EFD24E5">
            <w:pPr>
              <w:widowControl w:val="0"/>
              <w:spacing w:line="240" w:lineRule="atLeast"/>
              <w:jc w:val="center"/>
              <w:textAlignment w:val="auto"/>
              <w:rPr>
                <w:rFonts w:eastAsia="黑体"/>
                <w:kern w:val="0"/>
                <w:sz w:val="24"/>
              </w:rPr>
            </w:pPr>
            <w:r>
              <w:rPr>
                <w:rFonts w:hint="eastAsia" w:eastAsia="黑体"/>
                <w:kern w:val="0"/>
                <w:sz w:val="24"/>
              </w:rPr>
              <w:t>单项工程名称</w:t>
            </w:r>
          </w:p>
        </w:tc>
        <w:tc>
          <w:tcPr>
            <w:tcW w:w="1560" w:type="dxa"/>
            <w:vMerge w:val="restart"/>
            <w:vAlign w:val="center"/>
          </w:tcPr>
          <w:p w14:paraId="41D97E8C">
            <w:pPr>
              <w:widowControl w:val="0"/>
              <w:spacing w:line="240" w:lineRule="atLeast"/>
              <w:jc w:val="center"/>
              <w:textAlignment w:val="auto"/>
              <w:rPr>
                <w:rFonts w:eastAsia="黑体"/>
                <w:kern w:val="0"/>
                <w:sz w:val="24"/>
              </w:rPr>
            </w:pPr>
            <w:r>
              <w:rPr>
                <w:rFonts w:hint="eastAsia" w:eastAsia="黑体"/>
                <w:kern w:val="0"/>
                <w:sz w:val="24"/>
              </w:rPr>
              <w:t>金额（元）</w:t>
            </w:r>
          </w:p>
        </w:tc>
        <w:tc>
          <w:tcPr>
            <w:tcW w:w="3309" w:type="dxa"/>
            <w:gridSpan w:val="2"/>
            <w:vAlign w:val="center"/>
          </w:tcPr>
          <w:p w14:paraId="7D778E0F">
            <w:pPr>
              <w:widowControl w:val="0"/>
              <w:spacing w:line="240" w:lineRule="atLeast"/>
              <w:jc w:val="center"/>
              <w:textAlignment w:val="auto"/>
              <w:rPr>
                <w:rFonts w:eastAsia="黑体"/>
                <w:kern w:val="0"/>
                <w:sz w:val="24"/>
              </w:rPr>
            </w:pPr>
            <w:r>
              <w:rPr>
                <w:rFonts w:hint="eastAsia" w:eastAsia="黑体"/>
                <w:kern w:val="0"/>
                <w:sz w:val="24"/>
              </w:rPr>
              <w:t>其中：（元）</w:t>
            </w:r>
          </w:p>
        </w:tc>
      </w:tr>
      <w:tr w14:paraId="5788FC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893" w:type="dxa"/>
            <w:vMerge w:val="continue"/>
            <w:vAlign w:val="center"/>
          </w:tcPr>
          <w:p w14:paraId="6B871919">
            <w:pPr>
              <w:widowControl w:val="0"/>
              <w:spacing w:line="240" w:lineRule="atLeast"/>
              <w:jc w:val="center"/>
              <w:textAlignment w:val="auto"/>
              <w:rPr>
                <w:rFonts w:eastAsia="黑体"/>
                <w:kern w:val="0"/>
                <w:sz w:val="24"/>
              </w:rPr>
            </w:pPr>
          </w:p>
        </w:tc>
        <w:tc>
          <w:tcPr>
            <w:tcW w:w="3184" w:type="dxa"/>
            <w:vMerge w:val="continue"/>
            <w:vAlign w:val="center"/>
          </w:tcPr>
          <w:p w14:paraId="6A69453F">
            <w:pPr>
              <w:widowControl w:val="0"/>
              <w:spacing w:line="240" w:lineRule="atLeast"/>
              <w:jc w:val="center"/>
              <w:textAlignment w:val="auto"/>
              <w:rPr>
                <w:rFonts w:eastAsia="黑体"/>
                <w:kern w:val="0"/>
                <w:sz w:val="24"/>
              </w:rPr>
            </w:pPr>
          </w:p>
        </w:tc>
        <w:tc>
          <w:tcPr>
            <w:tcW w:w="1560" w:type="dxa"/>
            <w:vMerge w:val="continue"/>
            <w:vAlign w:val="center"/>
          </w:tcPr>
          <w:p w14:paraId="644A5FB9">
            <w:pPr>
              <w:widowControl w:val="0"/>
              <w:spacing w:line="240" w:lineRule="atLeast"/>
              <w:jc w:val="center"/>
              <w:textAlignment w:val="auto"/>
              <w:rPr>
                <w:rFonts w:eastAsia="黑体"/>
                <w:kern w:val="0"/>
                <w:sz w:val="24"/>
              </w:rPr>
            </w:pPr>
          </w:p>
        </w:tc>
        <w:tc>
          <w:tcPr>
            <w:tcW w:w="1559" w:type="dxa"/>
            <w:vAlign w:val="center"/>
          </w:tcPr>
          <w:p w14:paraId="4FDF04F0">
            <w:pPr>
              <w:widowControl w:val="0"/>
              <w:spacing w:line="240" w:lineRule="atLeast"/>
              <w:jc w:val="center"/>
              <w:textAlignment w:val="auto"/>
              <w:rPr>
                <w:rFonts w:eastAsia="黑体"/>
                <w:kern w:val="0"/>
                <w:sz w:val="24"/>
              </w:rPr>
            </w:pPr>
            <w:r>
              <w:rPr>
                <w:rFonts w:hint="eastAsia" w:eastAsia="黑体"/>
                <w:kern w:val="0"/>
                <w:sz w:val="24"/>
              </w:rPr>
              <w:t>暂估价</w:t>
            </w:r>
          </w:p>
        </w:tc>
        <w:tc>
          <w:tcPr>
            <w:tcW w:w="1750" w:type="dxa"/>
            <w:vAlign w:val="center"/>
          </w:tcPr>
          <w:p w14:paraId="397F8B69">
            <w:pPr>
              <w:widowControl w:val="0"/>
              <w:spacing w:line="240" w:lineRule="atLeast"/>
              <w:jc w:val="center"/>
              <w:textAlignment w:val="auto"/>
              <w:rPr>
                <w:rFonts w:eastAsia="黑体"/>
                <w:kern w:val="0"/>
                <w:sz w:val="24"/>
              </w:rPr>
            </w:pPr>
            <w:r>
              <w:rPr>
                <w:rFonts w:hint="eastAsia" w:eastAsia="黑体"/>
                <w:kern w:val="0"/>
                <w:sz w:val="24"/>
              </w:rPr>
              <w:t>安全文明</w:t>
            </w:r>
          </w:p>
          <w:p w14:paraId="513B9BE2">
            <w:pPr>
              <w:widowControl w:val="0"/>
              <w:spacing w:line="240" w:lineRule="atLeast"/>
              <w:jc w:val="center"/>
              <w:textAlignment w:val="auto"/>
              <w:rPr>
                <w:rFonts w:eastAsia="黑体"/>
                <w:kern w:val="0"/>
                <w:sz w:val="24"/>
              </w:rPr>
            </w:pPr>
            <w:r>
              <w:rPr>
                <w:rFonts w:hint="eastAsia" w:eastAsia="黑体"/>
                <w:kern w:val="0"/>
                <w:sz w:val="24"/>
              </w:rPr>
              <w:t>施工费</w:t>
            </w:r>
          </w:p>
        </w:tc>
      </w:tr>
      <w:tr w14:paraId="6F2355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14" w:hRule="atLeast"/>
        </w:trPr>
        <w:tc>
          <w:tcPr>
            <w:tcW w:w="893" w:type="dxa"/>
          </w:tcPr>
          <w:p w14:paraId="325A9968">
            <w:pPr>
              <w:widowControl w:val="0"/>
              <w:spacing w:line="240" w:lineRule="atLeast"/>
              <w:textAlignment w:val="auto"/>
              <w:rPr>
                <w:rFonts w:eastAsia="黑体"/>
                <w:kern w:val="0"/>
                <w:sz w:val="28"/>
                <w:szCs w:val="28"/>
              </w:rPr>
            </w:pPr>
          </w:p>
        </w:tc>
        <w:tc>
          <w:tcPr>
            <w:tcW w:w="3184" w:type="dxa"/>
          </w:tcPr>
          <w:p w14:paraId="12C6B966">
            <w:pPr>
              <w:widowControl w:val="0"/>
              <w:spacing w:line="240" w:lineRule="atLeast"/>
              <w:textAlignment w:val="auto"/>
              <w:rPr>
                <w:rFonts w:eastAsia="黑体"/>
                <w:kern w:val="0"/>
                <w:sz w:val="28"/>
                <w:szCs w:val="28"/>
              </w:rPr>
            </w:pPr>
          </w:p>
        </w:tc>
        <w:tc>
          <w:tcPr>
            <w:tcW w:w="1560" w:type="dxa"/>
          </w:tcPr>
          <w:p w14:paraId="5E7341F4">
            <w:pPr>
              <w:widowControl w:val="0"/>
              <w:spacing w:line="240" w:lineRule="atLeast"/>
              <w:textAlignment w:val="auto"/>
              <w:rPr>
                <w:rFonts w:eastAsia="黑体"/>
                <w:kern w:val="0"/>
                <w:sz w:val="28"/>
                <w:szCs w:val="28"/>
              </w:rPr>
            </w:pPr>
          </w:p>
        </w:tc>
        <w:tc>
          <w:tcPr>
            <w:tcW w:w="1559" w:type="dxa"/>
          </w:tcPr>
          <w:p w14:paraId="26A5E578">
            <w:pPr>
              <w:widowControl w:val="0"/>
              <w:spacing w:line="240" w:lineRule="atLeast"/>
              <w:textAlignment w:val="auto"/>
              <w:rPr>
                <w:rFonts w:eastAsia="黑体"/>
                <w:kern w:val="0"/>
                <w:sz w:val="28"/>
                <w:szCs w:val="28"/>
              </w:rPr>
            </w:pPr>
          </w:p>
        </w:tc>
        <w:tc>
          <w:tcPr>
            <w:tcW w:w="1750" w:type="dxa"/>
          </w:tcPr>
          <w:p w14:paraId="6E02DBA1">
            <w:pPr>
              <w:widowControl w:val="0"/>
              <w:spacing w:line="240" w:lineRule="atLeast"/>
              <w:textAlignment w:val="auto"/>
              <w:rPr>
                <w:rFonts w:eastAsia="黑体"/>
                <w:kern w:val="0"/>
                <w:sz w:val="28"/>
                <w:szCs w:val="28"/>
              </w:rPr>
            </w:pPr>
          </w:p>
        </w:tc>
      </w:tr>
      <w:tr w14:paraId="492C32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trPr>
        <w:tc>
          <w:tcPr>
            <w:tcW w:w="4077" w:type="dxa"/>
            <w:gridSpan w:val="2"/>
            <w:vAlign w:val="center"/>
          </w:tcPr>
          <w:p w14:paraId="46F49167">
            <w:pPr>
              <w:widowControl w:val="0"/>
              <w:spacing w:line="240" w:lineRule="atLeast"/>
              <w:jc w:val="center"/>
              <w:textAlignment w:val="auto"/>
              <w:rPr>
                <w:rFonts w:eastAsia="黑体"/>
                <w:kern w:val="0"/>
                <w:sz w:val="28"/>
                <w:szCs w:val="28"/>
              </w:rPr>
            </w:pPr>
            <w:r>
              <w:rPr>
                <w:rFonts w:hint="eastAsia" w:eastAsia="黑体"/>
                <w:kern w:val="0"/>
                <w:sz w:val="28"/>
                <w:szCs w:val="28"/>
              </w:rPr>
              <w:t>合计</w:t>
            </w:r>
          </w:p>
        </w:tc>
        <w:tc>
          <w:tcPr>
            <w:tcW w:w="1560" w:type="dxa"/>
            <w:vAlign w:val="center"/>
          </w:tcPr>
          <w:p w14:paraId="39A9885C">
            <w:pPr>
              <w:widowControl w:val="0"/>
              <w:spacing w:line="240" w:lineRule="atLeast"/>
              <w:jc w:val="center"/>
              <w:textAlignment w:val="auto"/>
              <w:rPr>
                <w:rFonts w:eastAsia="黑体"/>
                <w:kern w:val="0"/>
                <w:sz w:val="28"/>
                <w:szCs w:val="28"/>
              </w:rPr>
            </w:pPr>
          </w:p>
        </w:tc>
        <w:tc>
          <w:tcPr>
            <w:tcW w:w="1559" w:type="dxa"/>
            <w:vAlign w:val="center"/>
          </w:tcPr>
          <w:p w14:paraId="6E6F1D30">
            <w:pPr>
              <w:widowControl w:val="0"/>
              <w:spacing w:line="240" w:lineRule="atLeast"/>
              <w:jc w:val="center"/>
              <w:textAlignment w:val="auto"/>
              <w:rPr>
                <w:rFonts w:eastAsia="黑体"/>
                <w:kern w:val="0"/>
                <w:sz w:val="28"/>
                <w:szCs w:val="28"/>
              </w:rPr>
            </w:pPr>
          </w:p>
        </w:tc>
        <w:tc>
          <w:tcPr>
            <w:tcW w:w="1750" w:type="dxa"/>
            <w:vAlign w:val="center"/>
          </w:tcPr>
          <w:p w14:paraId="3F510ABB">
            <w:pPr>
              <w:widowControl w:val="0"/>
              <w:spacing w:line="240" w:lineRule="atLeast"/>
              <w:jc w:val="center"/>
              <w:textAlignment w:val="auto"/>
              <w:rPr>
                <w:rFonts w:eastAsia="黑体"/>
                <w:kern w:val="0"/>
                <w:sz w:val="28"/>
                <w:szCs w:val="28"/>
              </w:rPr>
            </w:pPr>
          </w:p>
        </w:tc>
      </w:tr>
    </w:tbl>
    <w:p w14:paraId="2A795083">
      <w:pPr>
        <w:widowControl w:val="0"/>
        <w:spacing w:line="360" w:lineRule="auto"/>
        <w:jc w:val="left"/>
        <w:textAlignment w:val="auto"/>
        <w:rPr>
          <w:rFonts w:eastAsia="黑体"/>
        </w:rPr>
      </w:pPr>
      <w:r>
        <w:rPr>
          <w:rFonts w:hint="eastAsia" w:eastAsia="黑体"/>
          <w:sz w:val="18"/>
          <w:szCs w:val="18"/>
        </w:rPr>
        <w:t>注：本表适用于单项工程招标控制价或投标报价汇总。暂估价包括“</w:t>
      </w:r>
      <w:r>
        <w:rPr>
          <w:rFonts w:eastAsia="黑体"/>
          <w:sz w:val="18"/>
          <w:szCs w:val="18"/>
        </w:rPr>
        <w:t>F.1</w:t>
      </w:r>
      <w:r>
        <w:rPr>
          <w:rFonts w:hint="eastAsia" w:eastAsia="黑体"/>
          <w:sz w:val="18"/>
          <w:szCs w:val="18"/>
        </w:rPr>
        <w:t>分部分项工程和单价措施项目清单与计价表”中的暂估价和“</w:t>
      </w:r>
      <w:r>
        <w:rPr>
          <w:rFonts w:eastAsia="黑体"/>
          <w:sz w:val="18"/>
          <w:szCs w:val="18"/>
        </w:rPr>
        <w:t>G.1</w:t>
      </w:r>
      <w:r>
        <w:rPr>
          <w:rFonts w:hint="eastAsia" w:eastAsia="黑体"/>
          <w:sz w:val="18"/>
          <w:szCs w:val="18"/>
        </w:rPr>
        <w:t>其他项目清单与计价汇总表”中的专业工程暂估价。</w:t>
      </w:r>
    </w:p>
    <w:p w14:paraId="457F25F0">
      <w:pPr>
        <w:widowControl w:val="0"/>
        <w:tabs>
          <w:tab w:val="left" w:pos="6135"/>
        </w:tabs>
        <w:textAlignment w:val="auto"/>
        <w:rPr>
          <w:rFonts w:eastAsia="黑体"/>
        </w:rPr>
      </w:pPr>
    </w:p>
    <w:p w14:paraId="22970BC0">
      <w:pPr>
        <w:widowControl w:val="0"/>
        <w:spacing w:line="240" w:lineRule="atLeast"/>
        <w:jc w:val="right"/>
        <w:textAlignment w:val="auto"/>
        <w:rPr>
          <w:sz w:val="30"/>
          <w:szCs w:val="21"/>
        </w:rPr>
      </w:pPr>
      <w:r>
        <w:rPr>
          <w:rFonts w:hint="eastAsia" w:eastAsia="黑体"/>
        </w:rPr>
        <w:t>表</w:t>
      </w:r>
      <w:r>
        <w:rPr>
          <w:rFonts w:eastAsia="黑体"/>
        </w:rPr>
        <w:t>-03</w:t>
      </w:r>
    </w:p>
    <w:p w14:paraId="01A5164E">
      <w:pPr>
        <w:widowControl w:val="0"/>
        <w:tabs>
          <w:tab w:val="left" w:pos="6135"/>
        </w:tabs>
        <w:jc w:val="center"/>
        <w:textAlignment w:val="auto"/>
        <w:rPr>
          <w:rFonts w:eastAsia="黑体"/>
          <w:sz w:val="32"/>
          <w:szCs w:val="32"/>
        </w:rPr>
      </w:pPr>
    </w:p>
    <w:p w14:paraId="69959433">
      <w:pPr>
        <w:widowControl w:val="0"/>
        <w:tabs>
          <w:tab w:val="left" w:pos="6135"/>
        </w:tabs>
        <w:jc w:val="center"/>
        <w:textAlignment w:val="auto"/>
        <w:rPr>
          <w:rFonts w:eastAsia="黑体"/>
          <w:sz w:val="32"/>
          <w:szCs w:val="32"/>
        </w:rPr>
      </w:pPr>
    </w:p>
    <w:p w14:paraId="010DC224">
      <w:pPr>
        <w:widowControl w:val="0"/>
        <w:tabs>
          <w:tab w:val="left" w:pos="6135"/>
        </w:tabs>
        <w:jc w:val="center"/>
        <w:textAlignment w:val="auto"/>
        <w:rPr>
          <w:rFonts w:eastAsia="黑体"/>
          <w:sz w:val="32"/>
          <w:szCs w:val="32"/>
        </w:rPr>
      </w:pPr>
      <w:r>
        <w:rPr>
          <w:rFonts w:eastAsia="黑体"/>
          <w:sz w:val="32"/>
          <w:szCs w:val="32"/>
        </w:rPr>
        <w:t>E.3</w:t>
      </w:r>
      <w:r>
        <w:rPr>
          <w:rFonts w:hint="eastAsia" w:eastAsia="黑体"/>
          <w:sz w:val="32"/>
          <w:szCs w:val="32"/>
        </w:rPr>
        <w:t>单位工程招标控制价</w:t>
      </w:r>
      <w:r>
        <w:rPr>
          <w:rFonts w:eastAsia="黑体"/>
          <w:sz w:val="32"/>
          <w:szCs w:val="32"/>
        </w:rPr>
        <w:t>/</w:t>
      </w:r>
      <w:r>
        <w:rPr>
          <w:rFonts w:hint="eastAsia" w:eastAsia="黑体"/>
          <w:sz w:val="32"/>
          <w:szCs w:val="32"/>
        </w:rPr>
        <w:t>投标报价汇总表</w:t>
      </w:r>
    </w:p>
    <w:p w14:paraId="10199C3D">
      <w:pPr>
        <w:widowControl w:val="0"/>
        <w:spacing w:line="240" w:lineRule="atLeast"/>
        <w:textAlignment w:val="auto"/>
        <w:rPr>
          <w:sz w:val="30"/>
          <w:szCs w:val="20"/>
        </w:rPr>
      </w:pPr>
    </w:p>
    <w:p w14:paraId="2571D1B8">
      <w:pPr>
        <w:widowControl w:val="0"/>
        <w:spacing w:line="240" w:lineRule="atLeast"/>
        <w:textAlignment w:val="auto"/>
        <w:rPr>
          <w:rFonts w:eastAsia="黑体"/>
          <w:sz w:val="24"/>
        </w:rPr>
      </w:pPr>
      <w:r>
        <w:rPr>
          <w:rFonts w:hint="eastAsia" w:eastAsia="黑体"/>
          <w:sz w:val="24"/>
        </w:rPr>
        <w:t>工程名称：</w:t>
      </w:r>
      <w:r>
        <w:rPr>
          <w:rFonts w:eastAsia="黑体"/>
          <w:sz w:val="24"/>
        </w:rPr>
        <w:t xml:space="preserve">                    </w:t>
      </w:r>
      <w:r>
        <w:rPr>
          <w:rFonts w:hint="eastAsia" w:eastAsia="黑体"/>
          <w:sz w:val="24"/>
        </w:rPr>
        <w:t>标段：</w:t>
      </w:r>
      <w:r>
        <w:rPr>
          <w:rFonts w:eastAsia="黑体"/>
          <w:sz w:val="24"/>
        </w:rPr>
        <w:t xml:space="preserve">                    </w:t>
      </w:r>
      <w:r>
        <w:rPr>
          <w:rFonts w:hint="eastAsia" w:eastAsia="黑体"/>
          <w:sz w:val="24"/>
        </w:rPr>
        <w:t>第</w:t>
      </w:r>
      <w:r>
        <w:rPr>
          <w:rFonts w:eastAsia="黑体"/>
          <w:sz w:val="24"/>
        </w:rPr>
        <w:t xml:space="preserve">  </w:t>
      </w:r>
      <w:r>
        <w:rPr>
          <w:rFonts w:hint="eastAsia" w:eastAsia="黑体"/>
          <w:sz w:val="24"/>
        </w:rPr>
        <w:t>页共</w:t>
      </w:r>
      <w:r>
        <w:rPr>
          <w:rFonts w:eastAsia="黑体"/>
          <w:sz w:val="24"/>
        </w:rPr>
        <w:t xml:space="preserve">   </w:t>
      </w:r>
      <w:r>
        <w:rPr>
          <w:rFonts w:hint="eastAsia" w:eastAsia="黑体"/>
          <w:sz w:val="24"/>
        </w:rPr>
        <w:t>页</w:t>
      </w:r>
    </w:p>
    <w:tbl>
      <w:tblPr>
        <w:tblStyle w:val="4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8"/>
        <w:gridCol w:w="4789"/>
        <w:gridCol w:w="1134"/>
        <w:gridCol w:w="1712"/>
      </w:tblGrid>
      <w:tr w14:paraId="71529C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848" w:type="dxa"/>
            <w:vAlign w:val="center"/>
          </w:tcPr>
          <w:p w14:paraId="145171EB">
            <w:pPr>
              <w:widowControl w:val="0"/>
              <w:spacing w:line="240" w:lineRule="atLeast"/>
              <w:jc w:val="center"/>
              <w:textAlignment w:val="auto"/>
              <w:rPr>
                <w:rFonts w:eastAsia="黑体"/>
                <w:kern w:val="0"/>
                <w:sz w:val="24"/>
              </w:rPr>
            </w:pPr>
            <w:r>
              <w:rPr>
                <w:rFonts w:hint="eastAsia" w:eastAsia="黑体"/>
                <w:kern w:val="0"/>
                <w:sz w:val="24"/>
              </w:rPr>
              <w:t>序号</w:t>
            </w:r>
          </w:p>
        </w:tc>
        <w:tc>
          <w:tcPr>
            <w:tcW w:w="4789" w:type="dxa"/>
            <w:vAlign w:val="center"/>
          </w:tcPr>
          <w:p w14:paraId="576E22B3">
            <w:pPr>
              <w:widowControl w:val="0"/>
              <w:spacing w:line="240" w:lineRule="atLeast"/>
              <w:jc w:val="center"/>
              <w:textAlignment w:val="auto"/>
              <w:rPr>
                <w:rFonts w:eastAsia="黑体"/>
                <w:kern w:val="0"/>
                <w:sz w:val="24"/>
              </w:rPr>
            </w:pPr>
            <w:r>
              <w:rPr>
                <w:rFonts w:hint="eastAsia" w:eastAsia="黑体"/>
                <w:kern w:val="0"/>
                <w:sz w:val="24"/>
              </w:rPr>
              <w:t>汇总内容</w:t>
            </w:r>
          </w:p>
        </w:tc>
        <w:tc>
          <w:tcPr>
            <w:tcW w:w="1134" w:type="dxa"/>
            <w:vAlign w:val="center"/>
          </w:tcPr>
          <w:p w14:paraId="6D529A8D">
            <w:pPr>
              <w:widowControl w:val="0"/>
              <w:spacing w:line="240" w:lineRule="atLeast"/>
              <w:jc w:val="center"/>
              <w:textAlignment w:val="auto"/>
              <w:rPr>
                <w:rFonts w:eastAsia="黑体"/>
                <w:kern w:val="0"/>
                <w:sz w:val="24"/>
              </w:rPr>
            </w:pPr>
            <w:r>
              <w:rPr>
                <w:rFonts w:hint="eastAsia" w:eastAsia="黑体"/>
                <w:kern w:val="0"/>
                <w:sz w:val="24"/>
              </w:rPr>
              <w:t>金额（元）</w:t>
            </w:r>
          </w:p>
        </w:tc>
        <w:tc>
          <w:tcPr>
            <w:tcW w:w="1712" w:type="dxa"/>
            <w:vAlign w:val="center"/>
          </w:tcPr>
          <w:p w14:paraId="70ACFE08">
            <w:pPr>
              <w:widowControl w:val="0"/>
              <w:spacing w:line="240" w:lineRule="atLeast"/>
              <w:jc w:val="center"/>
              <w:textAlignment w:val="auto"/>
              <w:rPr>
                <w:rFonts w:eastAsia="黑体"/>
                <w:kern w:val="0"/>
                <w:sz w:val="24"/>
              </w:rPr>
            </w:pPr>
            <w:r>
              <w:rPr>
                <w:rFonts w:hint="eastAsia" w:eastAsia="黑体"/>
                <w:kern w:val="0"/>
                <w:sz w:val="24"/>
              </w:rPr>
              <w:t>其中：暂估价（元）</w:t>
            </w:r>
          </w:p>
        </w:tc>
      </w:tr>
      <w:tr w14:paraId="45C6EB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8" w:type="dxa"/>
            <w:vAlign w:val="center"/>
          </w:tcPr>
          <w:p w14:paraId="4651E9B0">
            <w:pPr>
              <w:widowControl w:val="0"/>
              <w:spacing w:line="240" w:lineRule="atLeast"/>
              <w:jc w:val="center"/>
              <w:textAlignment w:val="auto"/>
              <w:rPr>
                <w:rFonts w:eastAsia="黑体"/>
                <w:kern w:val="0"/>
                <w:sz w:val="24"/>
              </w:rPr>
            </w:pPr>
            <w:r>
              <w:rPr>
                <w:rFonts w:eastAsia="黑体"/>
                <w:kern w:val="0"/>
                <w:sz w:val="24"/>
              </w:rPr>
              <w:t>1</w:t>
            </w:r>
          </w:p>
        </w:tc>
        <w:tc>
          <w:tcPr>
            <w:tcW w:w="4789" w:type="dxa"/>
            <w:vAlign w:val="center"/>
          </w:tcPr>
          <w:p w14:paraId="5C925792">
            <w:pPr>
              <w:widowControl w:val="0"/>
              <w:spacing w:line="240" w:lineRule="atLeast"/>
              <w:textAlignment w:val="auto"/>
              <w:rPr>
                <w:rFonts w:eastAsia="黑体"/>
                <w:kern w:val="0"/>
                <w:sz w:val="24"/>
              </w:rPr>
            </w:pPr>
            <w:r>
              <w:rPr>
                <w:rFonts w:hint="eastAsia" w:eastAsia="黑体"/>
                <w:kern w:val="0"/>
                <w:sz w:val="24"/>
              </w:rPr>
              <w:t>分部分项工程</w:t>
            </w:r>
          </w:p>
        </w:tc>
        <w:tc>
          <w:tcPr>
            <w:tcW w:w="1134" w:type="dxa"/>
            <w:vAlign w:val="center"/>
          </w:tcPr>
          <w:p w14:paraId="082B3A28">
            <w:pPr>
              <w:widowControl w:val="0"/>
              <w:spacing w:line="240" w:lineRule="atLeast"/>
              <w:jc w:val="center"/>
              <w:textAlignment w:val="auto"/>
              <w:rPr>
                <w:rFonts w:eastAsia="黑体"/>
                <w:kern w:val="0"/>
                <w:sz w:val="44"/>
                <w:szCs w:val="44"/>
              </w:rPr>
            </w:pPr>
          </w:p>
        </w:tc>
        <w:tc>
          <w:tcPr>
            <w:tcW w:w="1712" w:type="dxa"/>
            <w:vAlign w:val="center"/>
          </w:tcPr>
          <w:p w14:paraId="64106F9E">
            <w:pPr>
              <w:widowControl w:val="0"/>
              <w:spacing w:line="240" w:lineRule="atLeast"/>
              <w:jc w:val="center"/>
              <w:textAlignment w:val="auto"/>
              <w:rPr>
                <w:rFonts w:eastAsia="黑体"/>
                <w:kern w:val="0"/>
                <w:sz w:val="44"/>
                <w:szCs w:val="44"/>
              </w:rPr>
            </w:pPr>
          </w:p>
        </w:tc>
      </w:tr>
      <w:tr w14:paraId="2925B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8" w:type="dxa"/>
            <w:vAlign w:val="center"/>
          </w:tcPr>
          <w:p w14:paraId="31F673DB">
            <w:pPr>
              <w:widowControl w:val="0"/>
              <w:spacing w:line="240" w:lineRule="atLeast"/>
              <w:jc w:val="center"/>
              <w:textAlignment w:val="auto"/>
              <w:rPr>
                <w:rFonts w:eastAsia="黑体"/>
                <w:kern w:val="0"/>
                <w:sz w:val="24"/>
              </w:rPr>
            </w:pPr>
            <w:r>
              <w:rPr>
                <w:rFonts w:eastAsia="黑体"/>
                <w:kern w:val="0"/>
                <w:sz w:val="24"/>
              </w:rPr>
              <w:t>1.1</w:t>
            </w:r>
          </w:p>
        </w:tc>
        <w:tc>
          <w:tcPr>
            <w:tcW w:w="4789" w:type="dxa"/>
            <w:vAlign w:val="center"/>
          </w:tcPr>
          <w:p w14:paraId="45163900">
            <w:pPr>
              <w:widowControl w:val="0"/>
              <w:spacing w:line="240" w:lineRule="atLeast"/>
              <w:jc w:val="center"/>
              <w:textAlignment w:val="auto"/>
              <w:rPr>
                <w:rFonts w:eastAsia="黑体"/>
                <w:kern w:val="0"/>
                <w:sz w:val="44"/>
                <w:szCs w:val="44"/>
              </w:rPr>
            </w:pPr>
          </w:p>
        </w:tc>
        <w:tc>
          <w:tcPr>
            <w:tcW w:w="1134" w:type="dxa"/>
            <w:vAlign w:val="center"/>
          </w:tcPr>
          <w:p w14:paraId="27A36774">
            <w:pPr>
              <w:widowControl w:val="0"/>
              <w:spacing w:line="240" w:lineRule="atLeast"/>
              <w:jc w:val="center"/>
              <w:textAlignment w:val="auto"/>
              <w:rPr>
                <w:rFonts w:eastAsia="黑体"/>
                <w:kern w:val="0"/>
                <w:sz w:val="44"/>
                <w:szCs w:val="44"/>
              </w:rPr>
            </w:pPr>
          </w:p>
        </w:tc>
        <w:tc>
          <w:tcPr>
            <w:tcW w:w="1712" w:type="dxa"/>
            <w:vAlign w:val="center"/>
          </w:tcPr>
          <w:p w14:paraId="1A64F457">
            <w:pPr>
              <w:widowControl w:val="0"/>
              <w:spacing w:line="240" w:lineRule="atLeast"/>
              <w:jc w:val="center"/>
              <w:textAlignment w:val="auto"/>
              <w:rPr>
                <w:rFonts w:eastAsia="黑体"/>
                <w:kern w:val="0"/>
                <w:sz w:val="44"/>
                <w:szCs w:val="44"/>
              </w:rPr>
            </w:pPr>
          </w:p>
        </w:tc>
      </w:tr>
      <w:tr w14:paraId="0E9E7B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8" w:type="dxa"/>
            <w:vAlign w:val="center"/>
          </w:tcPr>
          <w:p w14:paraId="038529A7">
            <w:pPr>
              <w:widowControl w:val="0"/>
              <w:spacing w:line="240" w:lineRule="atLeast"/>
              <w:jc w:val="center"/>
              <w:textAlignment w:val="auto"/>
              <w:rPr>
                <w:rFonts w:eastAsia="黑体"/>
                <w:kern w:val="0"/>
                <w:sz w:val="24"/>
              </w:rPr>
            </w:pPr>
            <w:r>
              <w:rPr>
                <w:rFonts w:eastAsia="黑体"/>
                <w:kern w:val="0"/>
                <w:sz w:val="24"/>
              </w:rPr>
              <w:t>1.2</w:t>
            </w:r>
          </w:p>
        </w:tc>
        <w:tc>
          <w:tcPr>
            <w:tcW w:w="4789" w:type="dxa"/>
            <w:vAlign w:val="center"/>
          </w:tcPr>
          <w:p w14:paraId="3FF3119E">
            <w:pPr>
              <w:widowControl w:val="0"/>
              <w:spacing w:line="240" w:lineRule="atLeast"/>
              <w:jc w:val="center"/>
              <w:textAlignment w:val="auto"/>
              <w:rPr>
                <w:rFonts w:eastAsia="黑体"/>
                <w:kern w:val="0"/>
                <w:sz w:val="44"/>
                <w:szCs w:val="44"/>
              </w:rPr>
            </w:pPr>
          </w:p>
        </w:tc>
        <w:tc>
          <w:tcPr>
            <w:tcW w:w="1134" w:type="dxa"/>
            <w:vAlign w:val="center"/>
          </w:tcPr>
          <w:p w14:paraId="77BAC0A6">
            <w:pPr>
              <w:widowControl w:val="0"/>
              <w:spacing w:line="240" w:lineRule="atLeast"/>
              <w:jc w:val="center"/>
              <w:textAlignment w:val="auto"/>
              <w:rPr>
                <w:rFonts w:eastAsia="黑体"/>
                <w:kern w:val="0"/>
                <w:sz w:val="44"/>
                <w:szCs w:val="44"/>
              </w:rPr>
            </w:pPr>
          </w:p>
        </w:tc>
        <w:tc>
          <w:tcPr>
            <w:tcW w:w="1712" w:type="dxa"/>
            <w:vAlign w:val="center"/>
          </w:tcPr>
          <w:p w14:paraId="2C7E98E1">
            <w:pPr>
              <w:widowControl w:val="0"/>
              <w:spacing w:line="240" w:lineRule="atLeast"/>
              <w:jc w:val="center"/>
              <w:textAlignment w:val="auto"/>
              <w:rPr>
                <w:rFonts w:eastAsia="黑体"/>
                <w:kern w:val="0"/>
                <w:sz w:val="44"/>
                <w:szCs w:val="44"/>
              </w:rPr>
            </w:pPr>
          </w:p>
        </w:tc>
      </w:tr>
      <w:tr w14:paraId="321BA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8" w:type="dxa"/>
            <w:vAlign w:val="center"/>
          </w:tcPr>
          <w:p w14:paraId="2B15F199">
            <w:pPr>
              <w:widowControl w:val="0"/>
              <w:spacing w:line="240" w:lineRule="atLeast"/>
              <w:jc w:val="center"/>
              <w:textAlignment w:val="auto"/>
              <w:rPr>
                <w:rFonts w:eastAsia="黑体"/>
                <w:kern w:val="0"/>
                <w:sz w:val="24"/>
              </w:rPr>
            </w:pPr>
            <w:r>
              <w:rPr>
                <w:rFonts w:eastAsia="黑体"/>
                <w:kern w:val="0"/>
                <w:sz w:val="24"/>
              </w:rPr>
              <w:t>1.3</w:t>
            </w:r>
          </w:p>
        </w:tc>
        <w:tc>
          <w:tcPr>
            <w:tcW w:w="4789" w:type="dxa"/>
            <w:vAlign w:val="center"/>
          </w:tcPr>
          <w:p w14:paraId="0480B61B">
            <w:pPr>
              <w:widowControl w:val="0"/>
              <w:spacing w:line="240" w:lineRule="atLeast"/>
              <w:jc w:val="center"/>
              <w:textAlignment w:val="auto"/>
              <w:rPr>
                <w:rFonts w:eastAsia="黑体"/>
                <w:kern w:val="0"/>
                <w:sz w:val="44"/>
                <w:szCs w:val="44"/>
              </w:rPr>
            </w:pPr>
          </w:p>
        </w:tc>
        <w:tc>
          <w:tcPr>
            <w:tcW w:w="1134" w:type="dxa"/>
            <w:vAlign w:val="center"/>
          </w:tcPr>
          <w:p w14:paraId="011E208F">
            <w:pPr>
              <w:widowControl w:val="0"/>
              <w:spacing w:line="240" w:lineRule="atLeast"/>
              <w:jc w:val="center"/>
              <w:textAlignment w:val="auto"/>
              <w:rPr>
                <w:rFonts w:eastAsia="黑体"/>
                <w:kern w:val="0"/>
                <w:sz w:val="44"/>
                <w:szCs w:val="44"/>
              </w:rPr>
            </w:pPr>
          </w:p>
        </w:tc>
        <w:tc>
          <w:tcPr>
            <w:tcW w:w="1712" w:type="dxa"/>
            <w:vAlign w:val="center"/>
          </w:tcPr>
          <w:p w14:paraId="3541C7EA">
            <w:pPr>
              <w:widowControl w:val="0"/>
              <w:spacing w:line="240" w:lineRule="atLeast"/>
              <w:jc w:val="center"/>
              <w:textAlignment w:val="auto"/>
              <w:rPr>
                <w:rFonts w:eastAsia="黑体"/>
                <w:kern w:val="0"/>
                <w:sz w:val="44"/>
                <w:szCs w:val="44"/>
              </w:rPr>
            </w:pPr>
          </w:p>
        </w:tc>
      </w:tr>
      <w:tr w14:paraId="0E59E8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8" w:type="dxa"/>
            <w:vAlign w:val="center"/>
          </w:tcPr>
          <w:p w14:paraId="6167183D">
            <w:pPr>
              <w:widowControl w:val="0"/>
              <w:spacing w:line="240" w:lineRule="atLeast"/>
              <w:jc w:val="center"/>
              <w:textAlignment w:val="auto"/>
              <w:rPr>
                <w:rFonts w:eastAsia="黑体"/>
                <w:kern w:val="0"/>
                <w:sz w:val="24"/>
              </w:rPr>
            </w:pPr>
            <w:r>
              <w:rPr>
                <w:rFonts w:eastAsia="黑体"/>
                <w:kern w:val="0"/>
                <w:sz w:val="24"/>
              </w:rPr>
              <w:t>1.4</w:t>
            </w:r>
          </w:p>
        </w:tc>
        <w:tc>
          <w:tcPr>
            <w:tcW w:w="4789" w:type="dxa"/>
            <w:vAlign w:val="center"/>
          </w:tcPr>
          <w:p w14:paraId="104320AD">
            <w:pPr>
              <w:widowControl w:val="0"/>
              <w:spacing w:line="240" w:lineRule="atLeast"/>
              <w:jc w:val="center"/>
              <w:textAlignment w:val="auto"/>
              <w:rPr>
                <w:rFonts w:eastAsia="黑体"/>
                <w:kern w:val="0"/>
                <w:sz w:val="44"/>
                <w:szCs w:val="44"/>
              </w:rPr>
            </w:pPr>
          </w:p>
        </w:tc>
        <w:tc>
          <w:tcPr>
            <w:tcW w:w="1134" w:type="dxa"/>
            <w:vAlign w:val="center"/>
          </w:tcPr>
          <w:p w14:paraId="3A332ED4">
            <w:pPr>
              <w:widowControl w:val="0"/>
              <w:spacing w:line="240" w:lineRule="atLeast"/>
              <w:jc w:val="center"/>
              <w:textAlignment w:val="auto"/>
              <w:rPr>
                <w:rFonts w:eastAsia="黑体"/>
                <w:kern w:val="0"/>
                <w:sz w:val="44"/>
                <w:szCs w:val="44"/>
              </w:rPr>
            </w:pPr>
          </w:p>
        </w:tc>
        <w:tc>
          <w:tcPr>
            <w:tcW w:w="1712" w:type="dxa"/>
            <w:vAlign w:val="center"/>
          </w:tcPr>
          <w:p w14:paraId="51035B44">
            <w:pPr>
              <w:widowControl w:val="0"/>
              <w:spacing w:line="240" w:lineRule="atLeast"/>
              <w:jc w:val="center"/>
              <w:textAlignment w:val="auto"/>
              <w:rPr>
                <w:rFonts w:eastAsia="黑体"/>
                <w:kern w:val="0"/>
                <w:sz w:val="44"/>
                <w:szCs w:val="44"/>
              </w:rPr>
            </w:pPr>
          </w:p>
        </w:tc>
      </w:tr>
      <w:tr w14:paraId="22A6D5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8" w:type="dxa"/>
            <w:vAlign w:val="center"/>
          </w:tcPr>
          <w:p w14:paraId="4AA2BC54">
            <w:pPr>
              <w:widowControl w:val="0"/>
              <w:spacing w:line="240" w:lineRule="atLeast"/>
              <w:jc w:val="center"/>
              <w:textAlignment w:val="auto"/>
              <w:rPr>
                <w:rFonts w:eastAsia="黑体"/>
                <w:kern w:val="0"/>
                <w:sz w:val="24"/>
              </w:rPr>
            </w:pPr>
            <w:r>
              <w:rPr>
                <w:rFonts w:eastAsia="黑体"/>
                <w:kern w:val="0"/>
                <w:sz w:val="24"/>
              </w:rPr>
              <w:t>1.5</w:t>
            </w:r>
          </w:p>
        </w:tc>
        <w:tc>
          <w:tcPr>
            <w:tcW w:w="4789" w:type="dxa"/>
            <w:vAlign w:val="center"/>
          </w:tcPr>
          <w:p w14:paraId="1894C332">
            <w:pPr>
              <w:widowControl w:val="0"/>
              <w:spacing w:line="240" w:lineRule="atLeast"/>
              <w:jc w:val="center"/>
              <w:textAlignment w:val="auto"/>
              <w:rPr>
                <w:rFonts w:eastAsia="黑体"/>
                <w:kern w:val="0"/>
                <w:sz w:val="44"/>
                <w:szCs w:val="44"/>
              </w:rPr>
            </w:pPr>
          </w:p>
        </w:tc>
        <w:tc>
          <w:tcPr>
            <w:tcW w:w="1134" w:type="dxa"/>
            <w:vAlign w:val="center"/>
          </w:tcPr>
          <w:p w14:paraId="15186709">
            <w:pPr>
              <w:widowControl w:val="0"/>
              <w:spacing w:line="240" w:lineRule="atLeast"/>
              <w:jc w:val="center"/>
              <w:textAlignment w:val="auto"/>
              <w:rPr>
                <w:rFonts w:eastAsia="黑体"/>
                <w:kern w:val="0"/>
                <w:sz w:val="44"/>
                <w:szCs w:val="44"/>
              </w:rPr>
            </w:pPr>
          </w:p>
        </w:tc>
        <w:tc>
          <w:tcPr>
            <w:tcW w:w="1712" w:type="dxa"/>
            <w:vAlign w:val="center"/>
          </w:tcPr>
          <w:p w14:paraId="1242112C">
            <w:pPr>
              <w:widowControl w:val="0"/>
              <w:spacing w:line="240" w:lineRule="atLeast"/>
              <w:jc w:val="center"/>
              <w:textAlignment w:val="auto"/>
              <w:rPr>
                <w:rFonts w:eastAsia="黑体"/>
                <w:kern w:val="0"/>
                <w:sz w:val="44"/>
                <w:szCs w:val="44"/>
              </w:rPr>
            </w:pPr>
          </w:p>
        </w:tc>
      </w:tr>
      <w:tr w14:paraId="666C04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8" w:type="dxa"/>
            <w:vAlign w:val="center"/>
          </w:tcPr>
          <w:p w14:paraId="0BE75C64">
            <w:pPr>
              <w:widowControl w:val="0"/>
              <w:spacing w:line="240" w:lineRule="atLeast"/>
              <w:jc w:val="center"/>
              <w:textAlignment w:val="auto"/>
              <w:rPr>
                <w:rFonts w:eastAsia="黑体"/>
                <w:kern w:val="0"/>
                <w:sz w:val="24"/>
              </w:rPr>
            </w:pPr>
            <w:r>
              <w:rPr>
                <w:rFonts w:eastAsia="黑体"/>
                <w:kern w:val="0"/>
                <w:sz w:val="24"/>
              </w:rPr>
              <w:t>2</w:t>
            </w:r>
          </w:p>
        </w:tc>
        <w:tc>
          <w:tcPr>
            <w:tcW w:w="4789" w:type="dxa"/>
            <w:vAlign w:val="center"/>
          </w:tcPr>
          <w:p w14:paraId="53488FFF">
            <w:pPr>
              <w:jc w:val="left"/>
              <w:textAlignment w:val="center"/>
              <w:rPr>
                <w:rFonts w:eastAsia="黑体"/>
                <w:kern w:val="0"/>
                <w:sz w:val="24"/>
              </w:rPr>
            </w:pPr>
            <w:r>
              <w:rPr>
                <w:rFonts w:hint="eastAsia" w:eastAsia="黑体"/>
                <w:kern w:val="0"/>
                <w:sz w:val="24"/>
              </w:rPr>
              <w:t>施工技术措施项目费</w:t>
            </w:r>
          </w:p>
        </w:tc>
        <w:tc>
          <w:tcPr>
            <w:tcW w:w="1134" w:type="dxa"/>
            <w:vAlign w:val="center"/>
          </w:tcPr>
          <w:p w14:paraId="0CEF2BAF">
            <w:pPr>
              <w:widowControl w:val="0"/>
              <w:spacing w:line="240" w:lineRule="atLeast"/>
              <w:jc w:val="center"/>
              <w:textAlignment w:val="auto"/>
              <w:rPr>
                <w:rFonts w:eastAsia="黑体"/>
                <w:kern w:val="0"/>
                <w:sz w:val="44"/>
                <w:szCs w:val="44"/>
              </w:rPr>
            </w:pPr>
          </w:p>
        </w:tc>
        <w:tc>
          <w:tcPr>
            <w:tcW w:w="1712" w:type="dxa"/>
            <w:vAlign w:val="center"/>
          </w:tcPr>
          <w:p w14:paraId="4AFF1F82">
            <w:pPr>
              <w:widowControl w:val="0"/>
              <w:spacing w:line="240" w:lineRule="atLeast"/>
              <w:jc w:val="center"/>
              <w:textAlignment w:val="auto"/>
              <w:rPr>
                <w:rFonts w:eastAsia="黑体"/>
                <w:kern w:val="0"/>
                <w:sz w:val="44"/>
                <w:szCs w:val="44"/>
              </w:rPr>
            </w:pPr>
          </w:p>
        </w:tc>
      </w:tr>
      <w:tr w14:paraId="086228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8" w:type="dxa"/>
            <w:vAlign w:val="center"/>
          </w:tcPr>
          <w:p w14:paraId="34731D2A">
            <w:pPr>
              <w:widowControl w:val="0"/>
              <w:spacing w:line="240" w:lineRule="atLeast"/>
              <w:jc w:val="center"/>
              <w:textAlignment w:val="auto"/>
              <w:rPr>
                <w:rFonts w:eastAsia="黑体"/>
                <w:kern w:val="0"/>
                <w:sz w:val="24"/>
              </w:rPr>
            </w:pPr>
            <w:r>
              <w:rPr>
                <w:rFonts w:eastAsia="黑体"/>
                <w:kern w:val="0"/>
                <w:sz w:val="24"/>
              </w:rPr>
              <w:t>3</w:t>
            </w:r>
          </w:p>
        </w:tc>
        <w:tc>
          <w:tcPr>
            <w:tcW w:w="4789" w:type="dxa"/>
            <w:vAlign w:val="center"/>
          </w:tcPr>
          <w:p w14:paraId="441AAFD7">
            <w:pPr>
              <w:jc w:val="left"/>
              <w:textAlignment w:val="center"/>
              <w:rPr>
                <w:rFonts w:eastAsia="黑体"/>
                <w:kern w:val="0"/>
                <w:sz w:val="24"/>
              </w:rPr>
            </w:pPr>
            <w:r>
              <w:rPr>
                <w:rFonts w:hint="eastAsia" w:eastAsia="黑体"/>
                <w:kern w:val="0"/>
                <w:sz w:val="24"/>
              </w:rPr>
              <w:t>施工组织措施项目费</w:t>
            </w:r>
          </w:p>
        </w:tc>
        <w:tc>
          <w:tcPr>
            <w:tcW w:w="1134" w:type="dxa"/>
            <w:vAlign w:val="center"/>
          </w:tcPr>
          <w:p w14:paraId="43D6ED16">
            <w:pPr>
              <w:widowControl w:val="0"/>
              <w:spacing w:line="240" w:lineRule="atLeast"/>
              <w:jc w:val="center"/>
              <w:textAlignment w:val="auto"/>
              <w:rPr>
                <w:rFonts w:eastAsia="黑体"/>
                <w:kern w:val="0"/>
                <w:sz w:val="44"/>
                <w:szCs w:val="44"/>
              </w:rPr>
            </w:pPr>
          </w:p>
        </w:tc>
        <w:tc>
          <w:tcPr>
            <w:tcW w:w="1712" w:type="dxa"/>
            <w:vAlign w:val="center"/>
          </w:tcPr>
          <w:p w14:paraId="253209D5">
            <w:pPr>
              <w:widowControl w:val="0"/>
              <w:spacing w:line="240" w:lineRule="atLeast"/>
              <w:jc w:val="center"/>
              <w:textAlignment w:val="auto"/>
              <w:rPr>
                <w:rFonts w:eastAsia="黑体"/>
                <w:kern w:val="0"/>
                <w:sz w:val="44"/>
                <w:szCs w:val="44"/>
              </w:rPr>
            </w:pPr>
          </w:p>
        </w:tc>
      </w:tr>
      <w:tr w14:paraId="5BAAE7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8" w:type="dxa"/>
            <w:vAlign w:val="center"/>
          </w:tcPr>
          <w:p w14:paraId="5718E39C">
            <w:pPr>
              <w:widowControl w:val="0"/>
              <w:spacing w:line="240" w:lineRule="atLeast"/>
              <w:jc w:val="center"/>
              <w:textAlignment w:val="auto"/>
              <w:rPr>
                <w:rFonts w:eastAsia="黑体"/>
                <w:kern w:val="0"/>
                <w:sz w:val="24"/>
              </w:rPr>
            </w:pPr>
            <w:r>
              <w:rPr>
                <w:rFonts w:eastAsia="黑体"/>
                <w:kern w:val="0"/>
                <w:sz w:val="24"/>
              </w:rPr>
              <w:t>4</w:t>
            </w:r>
          </w:p>
        </w:tc>
        <w:tc>
          <w:tcPr>
            <w:tcW w:w="4789" w:type="dxa"/>
            <w:vAlign w:val="center"/>
          </w:tcPr>
          <w:p w14:paraId="185D9686">
            <w:pPr>
              <w:widowControl w:val="0"/>
              <w:spacing w:line="240" w:lineRule="atLeast"/>
              <w:jc w:val="left"/>
              <w:textAlignment w:val="auto"/>
              <w:rPr>
                <w:rFonts w:eastAsia="黑体"/>
                <w:kern w:val="0"/>
                <w:sz w:val="24"/>
              </w:rPr>
            </w:pPr>
            <w:r>
              <w:rPr>
                <w:rFonts w:hint="eastAsia" w:eastAsia="黑体"/>
                <w:kern w:val="0"/>
                <w:sz w:val="24"/>
              </w:rPr>
              <w:t>其他项目费</w:t>
            </w:r>
          </w:p>
        </w:tc>
        <w:tc>
          <w:tcPr>
            <w:tcW w:w="1134" w:type="dxa"/>
            <w:vAlign w:val="center"/>
          </w:tcPr>
          <w:p w14:paraId="370FCF38">
            <w:pPr>
              <w:widowControl w:val="0"/>
              <w:spacing w:line="240" w:lineRule="atLeast"/>
              <w:jc w:val="center"/>
              <w:textAlignment w:val="auto"/>
              <w:rPr>
                <w:rFonts w:eastAsia="黑体"/>
                <w:kern w:val="0"/>
                <w:sz w:val="44"/>
                <w:szCs w:val="44"/>
              </w:rPr>
            </w:pPr>
          </w:p>
        </w:tc>
        <w:tc>
          <w:tcPr>
            <w:tcW w:w="1712" w:type="dxa"/>
            <w:vAlign w:val="center"/>
          </w:tcPr>
          <w:p w14:paraId="661A4100">
            <w:pPr>
              <w:widowControl w:val="0"/>
              <w:spacing w:line="240" w:lineRule="atLeast"/>
              <w:jc w:val="center"/>
              <w:textAlignment w:val="auto"/>
              <w:rPr>
                <w:rFonts w:eastAsia="黑体"/>
                <w:kern w:val="0"/>
                <w:sz w:val="44"/>
                <w:szCs w:val="44"/>
              </w:rPr>
            </w:pPr>
          </w:p>
        </w:tc>
      </w:tr>
      <w:tr w14:paraId="4BD54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8" w:type="dxa"/>
            <w:vAlign w:val="center"/>
          </w:tcPr>
          <w:p w14:paraId="419CA43A">
            <w:pPr>
              <w:widowControl w:val="0"/>
              <w:spacing w:line="240" w:lineRule="atLeast"/>
              <w:jc w:val="center"/>
              <w:textAlignment w:val="auto"/>
              <w:rPr>
                <w:rFonts w:eastAsia="黑体"/>
                <w:kern w:val="0"/>
                <w:sz w:val="24"/>
              </w:rPr>
            </w:pPr>
            <w:r>
              <w:rPr>
                <w:rFonts w:eastAsia="黑体"/>
                <w:kern w:val="0"/>
                <w:sz w:val="24"/>
              </w:rPr>
              <w:t>4.1</w:t>
            </w:r>
          </w:p>
        </w:tc>
        <w:tc>
          <w:tcPr>
            <w:tcW w:w="4789" w:type="dxa"/>
            <w:vAlign w:val="center"/>
          </w:tcPr>
          <w:p w14:paraId="672E2499">
            <w:pPr>
              <w:widowControl w:val="0"/>
              <w:spacing w:line="240" w:lineRule="atLeast"/>
              <w:jc w:val="left"/>
              <w:textAlignment w:val="auto"/>
              <w:rPr>
                <w:rFonts w:eastAsia="黑体"/>
                <w:kern w:val="0"/>
                <w:sz w:val="24"/>
              </w:rPr>
            </w:pPr>
            <w:r>
              <w:rPr>
                <w:rFonts w:hint="eastAsia" w:eastAsia="黑体"/>
                <w:kern w:val="0"/>
                <w:sz w:val="24"/>
              </w:rPr>
              <w:t>暂列金额</w:t>
            </w:r>
          </w:p>
        </w:tc>
        <w:tc>
          <w:tcPr>
            <w:tcW w:w="1134" w:type="dxa"/>
            <w:vAlign w:val="center"/>
          </w:tcPr>
          <w:p w14:paraId="527C365B">
            <w:pPr>
              <w:widowControl w:val="0"/>
              <w:spacing w:line="240" w:lineRule="atLeast"/>
              <w:jc w:val="center"/>
              <w:textAlignment w:val="auto"/>
              <w:rPr>
                <w:rFonts w:eastAsia="黑体"/>
                <w:kern w:val="0"/>
                <w:sz w:val="44"/>
                <w:szCs w:val="44"/>
              </w:rPr>
            </w:pPr>
          </w:p>
        </w:tc>
        <w:tc>
          <w:tcPr>
            <w:tcW w:w="1712" w:type="dxa"/>
            <w:vAlign w:val="center"/>
          </w:tcPr>
          <w:p w14:paraId="75B4A0AA">
            <w:pPr>
              <w:widowControl w:val="0"/>
              <w:spacing w:line="240" w:lineRule="atLeast"/>
              <w:jc w:val="center"/>
              <w:textAlignment w:val="auto"/>
              <w:rPr>
                <w:rFonts w:eastAsia="黑体"/>
                <w:kern w:val="0"/>
                <w:sz w:val="44"/>
                <w:szCs w:val="44"/>
              </w:rPr>
            </w:pPr>
          </w:p>
        </w:tc>
      </w:tr>
      <w:tr w14:paraId="02FDCA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8" w:type="dxa"/>
            <w:vAlign w:val="center"/>
          </w:tcPr>
          <w:p w14:paraId="0AF6B265">
            <w:pPr>
              <w:widowControl w:val="0"/>
              <w:spacing w:line="240" w:lineRule="atLeast"/>
              <w:jc w:val="center"/>
              <w:textAlignment w:val="auto"/>
              <w:rPr>
                <w:rFonts w:eastAsia="黑体"/>
                <w:kern w:val="0"/>
                <w:sz w:val="24"/>
              </w:rPr>
            </w:pPr>
            <w:r>
              <w:rPr>
                <w:rFonts w:eastAsia="黑体"/>
                <w:kern w:val="0"/>
                <w:sz w:val="24"/>
              </w:rPr>
              <w:t>4.2</w:t>
            </w:r>
          </w:p>
        </w:tc>
        <w:tc>
          <w:tcPr>
            <w:tcW w:w="4789" w:type="dxa"/>
            <w:vAlign w:val="center"/>
          </w:tcPr>
          <w:p w14:paraId="1799A2AC">
            <w:pPr>
              <w:widowControl w:val="0"/>
              <w:spacing w:line="240" w:lineRule="atLeast"/>
              <w:jc w:val="left"/>
              <w:textAlignment w:val="auto"/>
              <w:rPr>
                <w:rFonts w:eastAsia="黑体"/>
                <w:kern w:val="0"/>
                <w:sz w:val="24"/>
              </w:rPr>
            </w:pPr>
            <w:r>
              <w:rPr>
                <w:rFonts w:hint="eastAsia" w:eastAsia="黑体"/>
                <w:kern w:val="0"/>
                <w:sz w:val="24"/>
              </w:rPr>
              <w:t>专业工程暂估价</w:t>
            </w:r>
          </w:p>
        </w:tc>
        <w:tc>
          <w:tcPr>
            <w:tcW w:w="1134" w:type="dxa"/>
            <w:vAlign w:val="center"/>
          </w:tcPr>
          <w:p w14:paraId="023B6CED">
            <w:pPr>
              <w:widowControl w:val="0"/>
              <w:spacing w:line="240" w:lineRule="atLeast"/>
              <w:jc w:val="center"/>
              <w:textAlignment w:val="auto"/>
              <w:rPr>
                <w:rFonts w:eastAsia="黑体"/>
                <w:kern w:val="0"/>
                <w:sz w:val="44"/>
                <w:szCs w:val="44"/>
              </w:rPr>
            </w:pPr>
          </w:p>
        </w:tc>
        <w:tc>
          <w:tcPr>
            <w:tcW w:w="1712" w:type="dxa"/>
            <w:vAlign w:val="center"/>
          </w:tcPr>
          <w:p w14:paraId="1FD58CAD">
            <w:pPr>
              <w:widowControl w:val="0"/>
              <w:spacing w:line="240" w:lineRule="atLeast"/>
              <w:jc w:val="center"/>
              <w:textAlignment w:val="auto"/>
              <w:rPr>
                <w:rFonts w:eastAsia="黑体"/>
                <w:kern w:val="0"/>
                <w:sz w:val="44"/>
                <w:szCs w:val="44"/>
              </w:rPr>
            </w:pPr>
          </w:p>
        </w:tc>
      </w:tr>
      <w:tr w14:paraId="21060A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8" w:type="dxa"/>
            <w:vAlign w:val="center"/>
          </w:tcPr>
          <w:p w14:paraId="1137F013">
            <w:pPr>
              <w:widowControl w:val="0"/>
              <w:spacing w:line="240" w:lineRule="atLeast"/>
              <w:jc w:val="center"/>
              <w:textAlignment w:val="auto"/>
              <w:rPr>
                <w:rFonts w:eastAsia="黑体"/>
                <w:kern w:val="0"/>
                <w:sz w:val="24"/>
              </w:rPr>
            </w:pPr>
            <w:r>
              <w:rPr>
                <w:rFonts w:eastAsia="黑体"/>
                <w:kern w:val="0"/>
                <w:sz w:val="24"/>
              </w:rPr>
              <w:t>4.3</w:t>
            </w:r>
          </w:p>
        </w:tc>
        <w:tc>
          <w:tcPr>
            <w:tcW w:w="4789" w:type="dxa"/>
            <w:vAlign w:val="center"/>
          </w:tcPr>
          <w:p w14:paraId="5DB1F509">
            <w:pPr>
              <w:widowControl w:val="0"/>
              <w:spacing w:line="240" w:lineRule="atLeast"/>
              <w:jc w:val="left"/>
              <w:textAlignment w:val="auto"/>
              <w:rPr>
                <w:rFonts w:eastAsia="黑体"/>
                <w:kern w:val="0"/>
                <w:sz w:val="24"/>
              </w:rPr>
            </w:pPr>
            <w:r>
              <w:rPr>
                <w:rFonts w:hint="eastAsia" w:eastAsia="黑体"/>
                <w:kern w:val="0"/>
                <w:sz w:val="24"/>
              </w:rPr>
              <w:t>计日工</w:t>
            </w:r>
          </w:p>
        </w:tc>
        <w:tc>
          <w:tcPr>
            <w:tcW w:w="1134" w:type="dxa"/>
            <w:vAlign w:val="center"/>
          </w:tcPr>
          <w:p w14:paraId="03DBE4D5">
            <w:pPr>
              <w:widowControl w:val="0"/>
              <w:spacing w:line="240" w:lineRule="atLeast"/>
              <w:jc w:val="center"/>
              <w:textAlignment w:val="auto"/>
              <w:rPr>
                <w:rFonts w:eastAsia="黑体"/>
                <w:kern w:val="0"/>
                <w:sz w:val="44"/>
                <w:szCs w:val="44"/>
              </w:rPr>
            </w:pPr>
          </w:p>
        </w:tc>
        <w:tc>
          <w:tcPr>
            <w:tcW w:w="1712" w:type="dxa"/>
            <w:vAlign w:val="center"/>
          </w:tcPr>
          <w:p w14:paraId="7E6342D2">
            <w:pPr>
              <w:widowControl w:val="0"/>
              <w:spacing w:line="240" w:lineRule="atLeast"/>
              <w:jc w:val="center"/>
              <w:textAlignment w:val="auto"/>
              <w:rPr>
                <w:rFonts w:eastAsia="黑体"/>
                <w:kern w:val="0"/>
                <w:sz w:val="44"/>
                <w:szCs w:val="44"/>
              </w:rPr>
            </w:pPr>
          </w:p>
        </w:tc>
      </w:tr>
      <w:tr w14:paraId="6A065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8" w:type="dxa"/>
            <w:vAlign w:val="center"/>
          </w:tcPr>
          <w:p w14:paraId="7CB72921">
            <w:pPr>
              <w:widowControl w:val="0"/>
              <w:spacing w:line="240" w:lineRule="atLeast"/>
              <w:jc w:val="center"/>
              <w:textAlignment w:val="auto"/>
              <w:rPr>
                <w:rFonts w:eastAsia="黑体"/>
                <w:kern w:val="0"/>
                <w:sz w:val="24"/>
              </w:rPr>
            </w:pPr>
            <w:r>
              <w:rPr>
                <w:rFonts w:eastAsia="黑体"/>
                <w:kern w:val="0"/>
                <w:sz w:val="24"/>
              </w:rPr>
              <w:t>4.4</w:t>
            </w:r>
          </w:p>
        </w:tc>
        <w:tc>
          <w:tcPr>
            <w:tcW w:w="4789" w:type="dxa"/>
            <w:vAlign w:val="center"/>
          </w:tcPr>
          <w:p w14:paraId="7E991A5A">
            <w:pPr>
              <w:widowControl w:val="0"/>
              <w:spacing w:line="240" w:lineRule="atLeast"/>
              <w:jc w:val="left"/>
              <w:textAlignment w:val="auto"/>
              <w:rPr>
                <w:rFonts w:eastAsia="黑体"/>
                <w:kern w:val="0"/>
                <w:sz w:val="24"/>
              </w:rPr>
            </w:pPr>
            <w:r>
              <w:rPr>
                <w:rFonts w:hint="eastAsia" w:eastAsia="黑体"/>
                <w:kern w:val="0"/>
                <w:sz w:val="24"/>
              </w:rPr>
              <w:t>总承包服务费</w:t>
            </w:r>
          </w:p>
        </w:tc>
        <w:tc>
          <w:tcPr>
            <w:tcW w:w="1134" w:type="dxa"/>
            <w:vAlign w:val="center"/>
          </w:tcPr>
          <w:p w14:paraId="54A0B90B">
            <w:pPr>
              <w:widowControl w:val="0"/>
              <w:spacing w:line="240" w:lineRule="atLeast"/>
              <w:jc w:val="center"/>
              <w:textAlignment w:val="auto"/>
              <w:rPr>
                <w:rFonts w:eastAsia="黑体"/>
                <w:kern w:val="0"/>
                <w:sz w:val="44"/>
                <w:szCs w:val="44"/>
              </w:rPr>
            </w:pPr>
          </w:p>
        </w:tc>
        <w:tc>
          <w:tcPr>
            <w:tcW w:w="1712" w:type="dxa"/>
            <w:vAlign w:val="center"/>
          </w:tcPr>
          <w:p w14:paraId="54AADE00">
            <w:pPr>
              <w:widowControl w:val="0"/>
              <w:spacing w:line="240" w:lineRule="atLeast"/>
              <w:jc w:val="center"/>
              <w:textAlignment w:val="auto"/>
              <w:rPr>
                <w:rFonts w:eastAsia="黑体"/>
                <w:kern w:val="0"/>
                <w:sz w:val="44"/>
                <w:szCs w:val="44"/>
              </w:rPr>
            </w:pPr>
          </w:p>
        </w:tc>
      </w:tr>
      <w:tr w14:paraId="325D20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8" w:type="dxa"/>
            <w:vAlign w:val="center"/>
          </w:tcPr>
          <w:p w14:paraId="71DA596D">
            <w:pPr>
              <w:widowControl w:val="0"/>
              <w:spacing w:line="240" w:lineRule="atLeast"/>
              <w:jc w:val="center"/>
              <w:textAlignment w:val="auto"/>
              <w:rPr>
                <w:rFonts w:eastAsia="黑体"/>
                <w:kern w:val="0"/>
                <w:sz w:val="24"/>
              </w:rPr>
            </w:pPr>
            <w:r>
              <w:rPr>
                <w:rFonts w:eastAsia="黑体"/>
                <w:kern w:val="0"/>
                <w:sz w:val="24"/>
              </w:rPr>
              <w:t>5</w:t>
            </w:r>
          </w:p>
        </w:tc>
        <w:tc>
          <w:tcPr>
            <w:tcW w:w="4789" w:type="dxa"/>
            <w:vAlign w:val="center"/>
          </w:tcPr>
          <w:p w14:paraId="1633CC8C">
            <w:pPr>
              <w:widowControl w:val="0"/>
              <w:spacing w:line="240" w:lineRule="atLeast"/>
              <w:jc w:val="left"/>
              <w:textAlignment w:val="auto"/>
              <w:rPr>
                <w:rFonts w:eastAsia="黑体"/>
                <w:kern w:val="0"/>
                <w:sz w:val="24"/>
              </w:rPr>
            </w:pPr>
            <w:r>
              <w:rPr>
                <w:rFonts w:hint="eastAsia" w:eastAsia="黑体"/>
                <w:kern w:val="0"/>
                <w:sz w:val="24"/>
              </w:rPr>
              <w:t>税金（扣除不列入计税范围的工程设备费）</w:t>
            </w:r>
          </w:p>
        </w:tc>
        <w:tc>
          <w:tcPr>
            <w:tcW w:w="1134" w:type="dxa"/>
            <w:vAlign w:val="center"/>
          </w:tcPr>
          <w:p w14:paraId="4F71FCED">
            <w:pPr>
              <w:widowControl w:val="0"/>
              <w:spacing w:line="240" w:lineRule="atLeast"/>
              <w:jc w:val="center"/>
              <w:textAlignment w:val="auto"/>
              <w:rPr>
                <w:rFonts w:eastAsia="黑体"/>
                <w:kern w:val="0"/>
                <w:sz w:val="44"/>
                <w:szCs w:val="44"/>
              </w:rPr>
            </w:pPr>
          </w:p>
        </w:tc>
        <w:tc>
          <w:tcPr>
            <w:tcW w:w="1712" w:type="dxa"/>
            <w:vAlign w:val="center"/>
          </w:tcPr>
          <w:p w14:paraId="63C7F7A7">
            <w:pPr>
              <w:widowControl w:val="0"/>
              <w:spacing w:line="240" w:lineRule="atLeast"/>
              <w:jc w:val="center"/>
              <w:textAlignment w:val="auto"/>
              <w:rPr>
                <w:rFonts w:eastAsia="黑体"/>
                <w:kern w:val="0"/>
                <w:sz w:val="44"/>
                <w:szCs w:val="44"/>
              </w:rPr>
            </w:pPr>
          </w:p>
        </w:tc>
      </w:tr>
      <w:tr w14:paraId="679FC4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8" w:type="dxa"/>
            <w:vAlign w:val="center"/>
          </w:tcPr>
          <w:p w14:paraId="3ADFFD96">
            <w:pPr>
              <w:widowControl w:val="0"/>
              <w:spacing w:line="240" w:lineRule="atLeast"/>
              <w:jc w:val="center"/>
              <w:textAlignment w:val="auto"/>
              <w:rPr>
                <w:rFonts w:eastAsia="黑体"/>
                <w:kern w:val="0"/>
                <w:sz w:val="24"/>
              </w:rPr>
            </w:pPr>
            <w:r>
              <w:rPr>
                <w:rFonts w:eastAsia="黑体"/>
                <w:kern w:val="0"/>
                <w:sz w:val="24"/>
              </w:rPr>
              <w:t>6</w:t>
            </w:r>
          </w:p>
        </w:tc>
        <w:tc>
          <w:tcPr>
            <w:tcW w:w="4789" w:type="dxa"/>
            <w:vAlign w:val="center"/>
          </w:tcPr>
          <w:p w14:paraId="2B2C9E2F">
            <w:pPr>
              <w:widowControl w:val="0"/>
              <w:spacing w:line="240" w:lineRule="atLeast"/>
              <w:jc w:val="left"/>
              <w:textAlignment w:val="auto"/>
              <w:rPr>
                <w:rFonts w:eastAsia="黑体"/>
                <w:kern w:val="0"/>
                <w:sz w:val="24"/>
              </w:rPr>
            </w:pPr>
            <w:r>
              <w:rPr>
                <w:rFonts w:hint="eastAsia" w:eastAsia="黑体"/>
                <w:kern w:val="0"/>
                <w:sz w:val="24"/>
              </w:rPr>
              <w:t>单位工程造价</w:t>
            </w:r>
          </w:p>
        </w:tc>
        <w:tc>
          <w:tcPr>
            <w:tcW w:w="1134" w:type="dxa"/>
            <w:vAlign w:val="center"/>
          </w:tcPr>
          <w:p w14:paraId="303E079D">
            <w:pPr>
              <w:widowControl w:val="0"/>
              <w:spacing w:line="240" w:lineRule="atLeast"/>
              <w:jc w:val="center"/>
              <w:textAlignment w:val="auto"/>
              <w:rPr>
                <w:rFonts w:eastAsia="黑体"/>
                <w:kern w:val="0"/>
                <w:sz w:val="44"/>
                <w:szCs w:val="44"/>
              </w:rPr>
            </w:pPr>
          </w:p>
        </w:tc>
        <w:tc>
          <w:tcPr>
            <w:tcW w:w="1712" w:type="dxa"/>
            <w:vAlign w:val="center"/>
          </w:tcPr>
          <w:p w14:paraId="61C24F96">
            <w:pPr>
              <w:widowControl w:val="0"/>
              <w:spacing w:line="240" w:lineRule="atLeast"/>
              <w:jc w:val="center"/>
              <w:textAlignment w:val="auto"/>
              <w:rPr>
                <w:rFonts w:eastAsia="黑体"/>
                <w:kern w:val="0"/>
                <w:sz w:val="44"/>
                <w:szCs w:val="44"/>
              </w:rPr>
            </w:pPr>
          </w:p>
        </w:tc>
      </w:tr>
      <w:tr w14:paraId="1EDD22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trPr>
        <w:tc>
          <w:tcPr>
            <w:tcW w:w="5637" w:type="dxa"/>
            <w:gridSpan w:val="2"/>
            <w:vAlign w:val="center"/>
          </w:tcPr>
          <w:p w14:paraId="5DE30BC3">
            <w:pPr>
              <w:widowControl w:val="0"/>
              <w:spacing w:line="240" w:lineRule="atLeast"/>
              <w:textAlignment w:val="auto"/>
              <w:rPr>
                <w:rFonts w:eastAsia="黑体"/>
                <w:kern w:val="0"/>
                <w:sz w:val="24"/>
              </w:rPr>
            </w:pPr>
            <w:r>
              <w:rPr>
                <w:rFonts w:hint="eastAsia" w:eastAsia="黑体"/>
                <w:kern w:val="0"/>
                <w:sz w:val="24"/>
              </w:rPr>
              <w:t>最高投标限价</w:t>
            </w:r>
            <w:r>
              <w:rPr>
                <w:rFonts w:eastAsia="黑体"/>
                <w:kern w:val="0"/>
                <w:sz w:val="24"/>
              </w:rPr>
              <w:t>/</w:t>
            </w:r>
            <w:r>
              <w:rPr>
                <w:rFonts w:hint="eastAsia" w:eastAsia="黑体"/>
                <w:kern w:val="0"/>
                <w:sz w:val="24"/>
              </w:rPr>
              <w:t>投标报价合计</w:t>
            </w:r>
            <w:r>
              <w:rPr>
                <w:rFonts w:eastAsia="黑体"/>
                <w:kern w:val="0"/>
                <w:sz w:val="24"/>
              </w:rPr>
              <w:t>=1+2+3+4+5</w:t>
            </w:r>
          </w:p>
        </w:tc>
        <w:tc>
          <w:tcPr>
            <w:tcW w:w="1134" w:type="dxa"/>
            <w:vAlign w:val="center"/>
          </w:tcPr>
          <w:p w14:paraId="64AD17DA">
            <w:pPr>
              <w:widowControl w:val="0"/>
              <w:spacing w:line="240" w:lineRule="atLeast"/>
              <w:jc w:val="center"/>
              <w:textAlignment w:val="auto"/>
              <w:rPr>
                <w:rFonts w:eastAsia="黑体"/>
                <w:kern w:val="0"/>
                <w:sz w:val="44"/>
                <w:szCs w:val="44"/>
              </w:rPr>
            </w:pPr>
          </w:p>
        </w:tc>
        <w:tc>
          <w:tcPr>
            <w:tcW w:w="1712" w:type="dxa"/>
            <w:vAlign w:val="center"/>
          </w:tcPr>
          <w:p w14:paraId="1D5C9AE0">
            <w:pPr>
              <w:widowControl w:val="0"/>
              <w:spacing w:line="240" w:lineRule="atLeast"/>
              <w:jc w:val="center"/>
              <w:textAlignment w:val="auto"/>
              <w:rPr>
                <w:rFonts w:eastAsia="黑体"/>
                <w:kern w:val="0"/>
                <w:sz w:val="44"/>
                <w:szCs w:val="44"/>
              </w:rPr>
            </w:pPr>
          </w:p>
        </w:tc>
      </w:tr>
    </w:tbl>
    <w:p w14:paraId="01683780">
      <w:pPr>
        <w:widowControl w:val="0"/>
        <w:spacing w:line="360" w:lineRule="auto"/>
        <w:jc w:val="left"/>
        <w:textAlignment w:val="auto"/>
        <w:rPr>
          <w:rFonts w:eastAsia="黑体"/>
        </w:rPr>
      </w:pPr>
      <w:r>
        <w:rPr>
          <w:rFonts w:hint="eastAsia" w:eastAsia="黑体"/>
          <w:sz w:val="18"/>
          <w:szCs w:val="18"/>
        </w:rPr>
        <w:t>注：本表适用于单位工程招标控制价或投标报价的汇总，如无单位工程划分，单项工程也使用本表汇总。</w:t>
      </w:r>
    </w:p>
    <w:p w14:paraId="0F93A9B4">
      <w:pPr>
        <w:widowControl w:val="0"/>
        <w:tabs>
          <w:tab w:val="left" w:pos="6135"/>
        </w:tabs>
        <w:textAlignment w:val="auto"/>
        <w:rPr>
          <w:rFonts w:eastAsia="黑体"/>
        </w:rPr>
      </w:pPr>
    </w:p>
    <w:p w14:paraId="5723EECA">
      <w:pPr>
        <w:pStyle w:val="19"/>
      </w:pPr>
    </w:p>
    <w:p w14:paraId="57D7641D">
      <w:pPr>
        <w:pStyle w:val="19"/>
      </w:pPr>
    </w:p>
    <w:p w14:paraId="73C21E2A">
      <w:pPr>
        <w:pStyle w:val="19"/>
      </w:pPr>
    </w:p>
    <w:p w14:paraId="2524F958">
      <w:pPr>
        <w:widowControl w:val="0"/>
        <w:tabs>
          <w:tab w:val="left" w:pos="6135"/>
        </w:tabs>
        <w:jc w:val="right"/>
        <w:textAlignment w:val="auto"/>
        <w:rPr>
          <w:rFonts w:eastAsia="黑体"/>
        </w:rPr>
      </w:pPr>
      <w:r>
        <w:rPr>
          <w:rFonts w:hint="eastAsia" w:eastAsia="黑体"/>
        </w:rPr>
        <w:t>表</w:t>
      </w:r>
      <w:r>
        <w:rPr>
          <w:rFonts w:eastAsia="黑体"/>
        </w:rPr>
        <w:t>-04</w:t>
      </w:r>
    </w:p>
    <w:p w14:paraId="42D0C28C">
      <w:pPr>
        <w:widowControl w:val="0"/>
        <w:spacing w:line="240" w:lineRule="atLeast"/>
        <w:textAlignment w:val="auto"/>
        <w:rPr>
          <w:sz w:val="18"/>
          <w:szCs w:val="18"/>
        </w:rPr>
      </w:pPr>
    </w:p>
    <w:p w14:paraId="750E76C2">
      <w:pPr>
        <w:widowControl w:val="0"/>
        <w:tabs>
          <w:tab w:val="left" w:pos="6135"/>
        </w:tabs>
        <w:jc w:val="center"/>
        <w:textAlignment w:val="auto"/>
        <w:rPr>
          <w:rFonts w:eastAsia="黑体"/>
          <w:sz w:val="32"/>
          <w:szCs w:val="32"/>
        </w:rPr>
      </w:pPr>
      <w:r>
        <w:rPr>
          <w:rFonts w:eastAsia="黑体"/>
          <w:sz w:val="32"/>
          <w:szCs w:val="32"/>
        </w:rPr>
        <w:t>F.1</w:t>
      </w:r>
      <w:r>
        <w:rPr>
          <w:rFonts w:hint="eastAsia" w:eastAsia="黑体"/>
          <w:sz w:val="32"/>
          <w:szCs w:val="32"/>
        </w:rPr>
        <w:t>分部分项工程和单价措施项目清单与计价表</w:t>
      </w:r>
    </w:p>
    <w:p w14:paraId="57632FA2">
      <w:pPr>
        <w:widowControl w:val="0"/>
        <w:tabs>
          <w:tab w:val="left" w:pos="12120"/>
        </w:tabs>
        <w:spacing w:line="360" w:lineRule="auto"/>
        <w:ind w:left="105" w:hanging="105" w:hangingChars="50"/>
        <w:textAlignment w:val="auto"/>
        <w:rPr>
          <w:szCs w:val="21"/>
        </w:rPr>
      </w:pPr>
      <w:r>
        <w:rPr>
          <w:rFonts w:hint="eastAsia"/>
          <w:szCs w:val="21"/>
        </w:rPr>
        <w:t>工程名称：</w:t>
      </w:r>
      <w:r>
        <w:rPr>
          <w:szCs w:val="21"/>
        </w:rPr>
        <w:t xml:space="preserve">                         </w:t>
      </w:r>
      <w:r>
        <w:rPr>
          <w:rFonts w:hint="eastAsia"/>
          <w:szCs w:val="21"/>
        </w:rPr>
        <w:t>标段：</w:t>
      </w:r>
      <w:r>
        <w:rPr>
          <w:szCs w:val="21"/>
        </w:rPr>
        <w:t xml:space="preserve">                         </w:t>
      </w:r>
      <w:r>
        <w:rPr>
          <w:rFonts w:hint="eastAsia"/>
          <w:szCs w:val="21"/>
        </w:rPr>
        <w:t>第</w:t>
      </w:r>
      <w:r>
        <w:rPr>
          <w:szCs w:val="21"/>
        </w:rPr>
        <w:t xml:space="preserve">   </w:t>
      </w:r>
      <w:r>
        <w:rPr>
          <w:rFonts w:hint="eastAsia"/>
          <w:szCs w:val="21"/>
        </w:rPr>
        <w:t>页</w:t>
      </w:r>
      <w:r>
        <w:rPr>
          <w:szCs w:val="21"/>
        </w:rPr>
        <w:t xml:space="preserve"> </w:t>
      </w:r>
      <w:r>
        <w:rPr>
          <w:rFonts w:hint="eastAsia"/>
          <w:szCs w:val="21"/>
        </w:rPr>
        <w:t>共</w:t>
      </w:r>
      <w:r>
        <w:rPr>
          <w:szCs w:val="21"/>
        </w:rPr>
        <w:t xml:space="preserve">    </w:t>
      </w:r>
      <w:r>
        <w:rPr>
          <w:rFonts w:hint="eastAsia"/>
          <w:szCs w:val="21"/>
        </w:rPr>
        <w:t>页</w:t>
      </w:r>
    </w:p>
    <w:tbl>
      <w:tblPr>
        <w:tblStyle w:val="45"/>
        <w:tblW w:w="8787"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28" w:type="dxa"/>
          <w:bottom w:w="0" w:type="dxa"/>
          <w:right w:w="28" w:type="dxa"/>
        </w:tblCellMar>
      </w:tblPr>
      <w:tblGrid>
        <w:gridCol w:w="499"/>
        <w:gridCol w:w="1137"/>
        <w:gridCol w:w="1326"/>
        <w:gridCol w:w="1138"/>
        <w:gridCol w:w="575"/>
        <w:gridCol w:w="886"/>
        <w:gridCol w:w="957"/>
        <w:gridCol w:w="911"/>
        <w:gridCol w:w="1358"/>
      </w:tblGrid>
      <w:tr w14:paraId="679CB56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65" w:hRule="atLeast"/>
          <w:jc w:val="center"/>
        </w:trPr>
        <w:tc>
          <w:tcPr>
            <w:tcW w:w="499" w:type="dxa"/>
            <w:vMerge w:val="restart"/>
            <w:tcBorders>
              <w:top w:val="single" w:color="auto" w:sz="8" w:space="0"/>
            </w:tcBorders>
            <w:vAlign w:val="center"/>
          </w:tcPr>
          <w:p w14:paraId="672C2346">
            <w:pPr>
              <w:widowControl w:val="0"/>
              <w:jc w:val="center"/>
              <w:textAlignment w:val="auto"/>
              <w:rPr>
                <w:sz w:val="24"/>
              </w:rPr>
            </w:pPr>
            <w:r>
              <w:rPr>
                <w:rFonts w:hint="eastAsia"/>
                <w:sz w:val="24"/>
              </w:rPr>
              <w:t>序号</w:t>
            </w:r>
          </w:p>
        </w:tc>
        <w:tc>
          <w:tcPr>
            <w:tcW w:w="1137" w:type="dxa"/>
            <w:vMerge w:val="restart"/>
            <w:tcBorders>
              <w:top w:val="single" w:color="auto" w:sz="8" w:space="0"/>
            </w:tcBorders>
            <w:vAlign w:val="center"/>
          </w:tcPr>
          <w:p w14:paraId="7B0ABD10">
            <w:pPr>
              <w:widowControl w:val="0"/>
              <w:jc w:val="center"/>
              <w:textAlignment w:val="auto"/>
              <w:rPr>
                <w:sz w:val="24"/>
              </w:rPr>
            </w:pPr>
            <w:r>
              <w:rPr>
                <w:rFonts w:hint="eastAsia"/>
                <w:sz w:val="24"/>
              </w:rPr>
              <w:t>项目编码</w:t>
            </w:r>
          </w:p>
        </w:tc>
        <w:tc>
          <w:tcPr>
            <w:tcW w:w="1326" w:type="dxa"/>
            <w:vMerge w:val="restart"/>
            <w:tcBorders>
              <w:top w:val="single" w:color="auto" w:sz="8" w:space="0"/>
            </w:tcBorders>
            <w:vAlign w:val="center"/>
          </w:tcPr>
          <w:p w14:paraId="65A405AF">
            <w:pPr>
              <w:widowControl w:val="0"/>
              <w:jc w:val="center"/>
              <w:textAlignment w:val="auto"/>
              <w:rPr>
                <w:sz w:val="24"/>
              </w:rPr>
            </w:pPr>
            <w:r>
              <w:rPr>
                <w:rFonts w:hint="eastAsia"/>
                <w:sz w:val="24"/>
              </w:rPr>
              <w:t>项目名称</w:t>
            </w:r>
          </w:p>
        </w:tc>
        <w:tc>
          <w:tcPr>
            <w:tcW w:w="1138" w:type="dxa"/>
            <w:vMerge w:val="restart"/>
            <w:tcBorders>
              <w:top w:val="single" w:color="auto" w:sz="8" w:space="0"/>
            </w:tcBorders>
            <w:vAlign w:val="center"/>
          </w:tcPr>
          <w:p w14:paraId="07748995">
            <w:pPr>
              <w:widowControl w:val="0"/>
              <w:jc w:val="center"/>
              <w:textAlignment w:val="auto"/>
              <w:rPr>
                <w:sz w:val="24"/>
              </w:rPr>
            </w:pPr>
            <w:r>
              <w:rPr>
                <w:rFonts w:hint="eastAsia"/>
                <w:sz w:val="24"/>
              </w:rPr>
              <w:t>项目特征描述</w:t>
            </w:r>
          </w:p>
        </w:tc>
        <w:tc>
          <w:tcPr>
            <w:tcW w:w="575" w:type="dxa"/>
            <w:vMerge w:val="restart"/>
            <w:tcBorders>
              <w:top w:val="single" w:color="auto" w:sz="8" w:space="0"/>
            </w:tcBorders>
            <w:vAlign w:val="center"/>
          </w:tcPr>
          <w:p w14:paraId="1A7E3E79">
            <w:pPr>
              <w:widowControl w:val="0"/>
              <w:jc w:val="center"/>
              <w:textAlignment w:val="auto"/>
              <w:rPr>
                <w:sz w:val="24"/>
              </w:rPr>
            </w:pPr>
            <w:r>
              <w:rPr>
                <w:rFonts w:hint="eastAsia"/>
                <w:sz w:val="24"/>
              </w:rPr>
              <w:t>计量单位</w:t>
            </w:r>
          </w:p>
        </w:tc>
        <w:tc>
          <w:tcPr>
            <w:tcW w:w="886" w:type="dxa"/>
            <w:vMerge w:val="restart"/>
            <w:tcBorders>
              <w:top w:val="single" w:color="auto" w:sz="8" w:space="0"/>
            </w:tcBorders>
            <w:vAlign w:val="center"/>
          </w:tcPr>
          <w:p w14:paraId="7AA9A50C">
            <w:pPr>
              <w:widowControl w:val="0"/>
              <w:jc w:val="center"/>
              <w:textAlignment w:val="auto"/>
              <w:rPr>
                <w:sz w:val="24"/>
              </w:rPr>
            </w:pPr>
            <w:r>
              <w:rPr>
                <w:rFonts w:hint="eastAsia"/>
                <w:sz w:val="24"/>
              </w:rPr>
              <w:t>工程量</w:t>
            </w:r>
          </w:p>
        </w:tc>
        <w:tc>
          <w:tcPr>
            <w:tcW w:w="3226" w:type="dxa"/>
            <w:gridSpan w:val="3"/>
            <w:tcBorders>
              <w:top w:val="single" w:color="auto" w:sz="8" w:space="0"/>
            </w:tcBorders>
            <w:vAlign w:val="center"/>
          </w:tcPr>
          <w:p w14:paraId="3636718D">
            <w:pPr>
              <w:widowControl w:val="0"/>
              <w:jc w:val="center"/>
              <w:textAlignment w:val="auto"/>
              <w:rPr>
                <w:sz w:val="24"/>
              </w:rPr>
            </w:pPr>
            <w:r>
              <w:rPr>
                <w:rFonts w:hint="eastAsia"/>
                <w:sz w:val="24"/>
              </w:rPr>
              <w:t>金额（元）</w:t>
            </w:r>
          </w:p>
        </w:tc>
      </w:tr>
      <w:tr w14:paraId="2B785FD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435" w:hRule="atLeast"/>
          <w:jc w:val="center"/>
        </w:trPr>
        <w:tc>
          <w:tcPr>
            <w:tcW w:w="499" w:type="dxa"/>
            <w:vMerge w:val="continue"/>
            <w:vAlign w:val="center"/>
          </w:tcPr>
          <w:p w14:paraId="46D756BD">
            <w:pPr>
              <w:widowControl w:val="0"/>
              <w:jc w:val="center"/>
              <w:textAlignment w:val="auto"/>
              <w:rPr>
                <w:rFonts w:eastAsia="黑体"/>
                <w:sz w:val="24"/>
              </w:rPr>
            </w:pPr>
          </w:p>
        </w:tc>
        <w:tc>
          <w:tcPr>
            <w:tcW w:w="1137" w:type="dxa"/>
            <w:vMerge w:val="continue"/>
            <w:vAlign w:val="center"/>
          </w:tcPr>
          <w:p w14:paraId="22B9B9B5">
            <w:pPr>
              <w:widowControl w:val="0"/>
              <w:jc w:val="center"/>
              <w:textAlignment w:val="auto"/>
              <w:rPr>
                <w:rFonts w:eastAsia="黑体"/>
                <w:sz w:val="24"/>
              </w:rPr>
            </w:pPr>
          </w:p>
        </w:tc>
        <w:tc>
          <w:tcPr>
            <w:tcW w:w="1326" w:type="dxa"/>
            <w:vMerge w:val="continue"/>
            <w:vAlign w:val="center"/>
          </w:tcPr>
          <w:p w14:paraId="78F07F03">
            <w:pPr>
              <w:widowControl w:val="0"/>
              <w:jc w:val="center"/>
              <w:textAlignment w:val="auto"/>
              <w:rPr>
                <w:rFonts w:eastAsia="黑体"/>
                <w:sz w:val="24"/>
              </w:rPr>
            </w:pPr>
          </w:p>
        </w:tc>
        <w:tc>
          <w:tcPr>
            <w:tcW w:w="1138" w:type="dxa"/>
            <w:vMerge w:val="continue"/>
            <w:vAlign w:val="center"/>
          </w:tcPr>
          <w:p w14:paraId="6B01EE68">
            <w:pPr>
              <w:widowControl w:val="0"/>
              <w:jc w:val="center"/>
              <w:textAlignment w:val="auto"/>
              <w:rPr>
                <w:rFonts w:eastAsia="黑体"/>
                <w:sz w:val="24"/>
              </w:rPr>
            </w:pPr>
          </w:p>
        </w:tc>
        <w:tc>
          <w:tcPr>
            <w:tcW w:w="575" w:type="dxa"/>
            <w:vMerge w:val="continue"/>
            <w:vAlign w:val="center"/>
          </w:tcPr>
          <w:p w14:paraId="2A1F1DCA">
            <w:pPr>
              <w:widowControl w:val="0"/>
              <w:jc w:val="center"/>
              <w:textAlignment w:val="auto"/>
              <w:rPr>
                <w:rFonts w:eastAsia="黑体"/>
                <w:sz w:val="24"/>
              </w:rPr>
            </w:pPr>
          </w:p>
        </w:tc>
        <w:tc>
          <w:tcPr>
            <w:tcW w:w="886" w:type="dxa"/>
            <w:vMerge w:val="continue"/>
            <w:vAlign w:val="center"/>
          </w:tcPr>
          <w:p w14:paraId="0D1ACABC">
            <w:pPr>
              <w:widowControl w:val="0"/>
              <w:jc w:val="center"/>
              <w:textAlignment w:val="auto"/>
              <w:rPr>
                <w:rFonts w:eastAsia="黑体"/>
                <w:sz w:val="24"/>
              </w:rPr>
            </w:pPr>
          </w:p>
        </w:tc>
        <w:tc>
          <w:tcPr>
            <w:tcW w:w="957" w:type="dxa"/>
            <w:vMerge w:val="restart"/>
            <w:vAlign w:val="center"/>
          </w:tcPr>
          <w:p w14:paraId="644CAE01">
            <w:pPr>
              <w:widowControl w:val="0"/>
              <w:jc w:val="center"/>
              <w:textAlignment w:val="auto"/>
              <w:rPr>
                <w:sz w:val="24"/>
              </w:rPr>
            </w:pPr>
            <w:r>
              <w:rPr>
                <w:rFonts w:hint="eastAsia"/>
                <w:sz w:val="24"/>
              </w:rPr>
              <w:t>综合</w:t>
            </w:r>
          </w:p>
          <w:p w14:paraId="134B49B2">
            <w:pPr>
              <w:widowControl w:val="0"/>
              <w:jc w:val="center"/>
              <w:textAlignment w:val="auto"/>
              <w:rPr>
                <w:sz w:val="24"/>
              </w:rPr>
            </w:pPr>
            <w:r>
              <w:rPr>
                <w:rFonts w:hint="eastAsia"/>
                <w:sz w:val="24"/>
              </w:rPr>
              <w:t>单价</w:t>
            </w:r>
          </w:p>
        </w:tc>
        <w:tc>
          <w:tcPr>
            <w:tcW w:w="911" w:type="dxa"/>
            <w:vMerge w:val="restart"/>
            <w:vAlign w:val="center"/>
          </w:tcPr>
          <w:p w14:paraId="09E13408">
            <w:pPr>
              <w:widowControl w:val="0"/>
              <w:jc w:val="center"/>
              <w:textAlignment w:val="auto"/>
              <w:rPr>
                <w:sz w:val="24"/>
              </w:rPr>
            </w:pPr>
            <w:r>
              <w:rPr>
                <w:rFonts w:hint="eastAsia"/>
                <w:sz w:val="24"/>
              </w:rPr>
              <w:t>合价</w:t>
            </w:r>
          </w:p>
        </w:tc>
        <w:tc>
          <w:tcPr>
            <w:tcW w:w="1358" w:type="dxa"/>
            <w:vAlign w:val="center"/>
          </w:tcPr>
          <w:p w14:paraId="1A8B06B7">
            <w:pPr>
              <w:widowControl w:val="0"/>
              <w:jc w:val="center"/>
              <w:textAlignment w:val="auto"/>
              <w:rPr>
                <w:sz w:val="24"/>
              </w:rPr>
            </w:pPr>
            <w:r>
              <w:rPr>
                <w:rFonts w:hint="eastAsia"/>
                <w:sz w:val="24"/>
              </w:rPr>
              <w:t>其中</w:t>
            </w:r>
          </w:p>
        </w:tc>
      </w:tr>
      <w:tr w14:paraId="46EAF4D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397" w:hRule="atLeast"/>
          <w:jc w:val="center"/>
        </w:trPr>
        <w:tc>
          <w:tcPr>
            <w:tcW w:w="499" w:type="dxa"/>
            <w:vMerge w:val="continue"/>
            <w:vAlign w:val="center"/>
          </w:tcPr>
          <w:p w14:paraId="4EDDE2DE">
            <w:pPr>
              <w:widowControl w:val="0"/>
              <w:jc w:val="center"/>
              <w:textAlignment w:val="auto"/>
              <w:rPr>
                <w:rFonts w:eastAsia="黑体"/>
                <w:sz w:val="24"/>
              </w:rPr>
            </w:pPr>
          </w:p>
        </w:tc>
        <w:tc>
          <w:tcPr>
            <w:tcW w:w="1137" w:type="dxa"/>
            <w:vMerge w:val="continue"/>
            <w:vAlign w:val="center"/>
          </w:tcPr>
          <w:p w14:paraId="09FAF003">
            <w:pPr>
              <w:widowControl w:val="0"/>
              <w:jc w:val="center"/>
              <w:textAlignment w:val="auto"/>
              <w:rPr>
                <w:rFonts w:eastAsia="黑体"/>
                <w:sz w:val="24"/>
              </w:rPr>
            </w:pPr>
          </w:p>
        </w:tc>
        <w:tc>
          <w:tcPr>
            <w:tcW w:w="1326" w:type="dxa"/>
            <w:vMerge w:val="continue"/>
            <w:vAlign w:val="center"/>
          </w:tcPr>
          <w:p w14:paraId="6F30F2DE">
            <w:pPr>
              <w:widowControl w:val="0"/>
              <w:jc w:val="center"/>
              <w:textAlignment w:val="auto"/>
              <w:rPr>
                <w:rFonts w:eastAsia="黑体"/>
                <w:sz w:val="24"/>
              </w:rPr>
            </w:pPr>
          </w:p>
        </w:tc>
        <w:tc>
          <w:tcPr>
            <w:tcW w:w="1138" w:type="dxa"/>
            <w:vMerge w:val="continue"/>
            <w:vAlign w:val="center"/>
          </w:tcPr>
          <w:p w14:paraId="07448013">
            <w:pPr>
              <w:widowControl w:val="0"/>
              <w:jc w:val="center"/>
              <w:textAlignment w:val="auto"/>
              <w:rPr>
                <w:rFonts w:eastAsia="黑体"/>
                <w:sz w:val="24"/>
              </w:rPr>
            </w:pPr>
          </w:p>
        </w:tc>
        <w:tc>
          <w:tcPr>
            <w:tcW w:w="575" w:type="dxa"/>
            <w:vMerge w:val="continue"/>
            <w:vAlign w:val="center"/>
          </w:tcPr>
          <w:p w14:paraId="49A9D542">
            <w:pPr>
              <w:widowControl w:val="0"/>
              <w:jc w:val="center"/>
              <w:textAlignment w:val="auto"/>
              <w:rPr>
                <w:rFonts w:eastAsia="黑体"/>
                <w:sz w:val="24"/>
              </w:rPr>
            </w:pPr>
          </w:p>
        </w:tc>
        <w:tc>
          <w:tcPr>
            <w:tcW w:w="886" w:type="dxa"/>
            <w:vMerge w:val="continue"/>
            <w:vAlign w:val="center"/>
          </w:tcPr>
          <w:p w14:paraId="26F849C1">
            <w:pPr>
              <w:widowControl w:val="0"/>
              <w:jc w:val="center"/>
              <w:textAlignment w:val="auto"/>
              <w:rPr>
                <w:rFonts w:eastAsia="黑体"/>
                <w:sz w:val="24"/>
              </w:rPr>
            </w:pPr>
          </w:p>
        </w:tc>
        <w:tc>
          <w:tcPr>
            <w:tcW w:w="957" w:type="dxa"/>
            <w:vMerge w:val="continue"/>
            <w:vAlign w:val="center"/>
          </w:tcPr>
          <w:p w14:paraId="3815D6C2">
            <w:pPr>
              <w:widowControl w:val="0"/>
              <w:jc w:val="center"/>
              <w:textAlignment w:val="auto"/>
              <w:rPr>
                <w:sz w:val="24"/>
              </w:rPr>
            </w:pPr>
          </w:p>
        </w:tc>
        <w:tc>
          <w:tcPr>
            <w:tcW w:w="911" w:type="dxa"/>
            <w:vMerge w:val="continue"/>
            <w:vAlign w:val="center"/>
          </w:tcPr>
          <w:p w14:paraId="1FE213C4">
            <w:pPr>
              <w:widowControl w:val="0"/>
              <w:jc w:val="center"/>
              <w:textAlignment w:val="auto"/>
              <w:rPr>
                <w:sz w:val="24"/>
              </w:rPr>
            </w:pPr>
          </w:p>
        </w:tc>
        <w:tc>
          <w:tcPr>
            <w:tcW w:w="1358" w:type="dxa"/>
            <w:vAlign w:val="center"/>
          </w:tcPr>
          <w:p w14:paraId="6E37BB04">
            <w:pPr>
              <w:widowControl w:val="0"/>
              <w:jc w:val="center"/>
              <w:textAlignment w:val="auto"/>
              <w:rPr>
                <w:sz w:val="24"/>
              </w:rPr>
            </w:pPr>
            <w:r>
              <w:rPr>
                <w:rFonts w:hint="eastAsia"/>
                <w:sz w:val="24"/>
              </w:rPr>
              <w:t>暂估价</w:t>
            </w:r>
          </w:p>
        </w:tc>
      </w:tr>
      <w:tr w14:paraId="62DB707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535" w:hRule="atLeast"/>
          <w:jc w:val="center"/>
        </w:trPr>
        <w:tc>
          <w:tcPr>
            <w:tcW w:w="499" w:type="dxa"/>
            <w:vAlign w:val="center"/>
          </w:tcPr>
          <w:p w14:paraId="7DFBDB6A">
            <w:pPr>
              <w:widowControl w:val="0"/>
              <w:spacing w:line="360" w:lineRule="auto"/>
              <w:jc w:val="center"/>
              <w:textAlignment w:val="auto"/>
              <w:rPr>
                <w:sz w:val="24"/>
              </w:rPr>
            </w:pPr>
          </w:p>
        </w:tc>
        <w:tc>
          <w:tcPr>
            <w:tcW w:w="1137" w:type="dxa"/>
            <w:vAlign w:val="center"/>
          </w:tcPr>
          <w:p w14:paraId="57BA20B9">
            <w:pPr>
              <w:widowControl w:val="0"/>
              <w:spacing w:line="360" w:lineRule="auto"/>
              <w:jc w:val="center"/>
              <w:textAlignment w:val="auto"/>
              <w:rPr>
                <w:sz w:val="24"/>
              </w:rPr>
            </w:pPr>
          </w:p>
        </w:tc>
        <w:tc>
          <w:tcPr>
            <w:tcW w:w="1326" w:type="dxa"/>
            <w:vAlign w:val="center"/>
          </w:tcPr>
          <w:p w14:paraId="77FD5E19">
            <w:pPr>
              <w:widowControl w:val="0"/>
              <w:spacing w:line="360" w:lineRule="auto"/>
              <w:jc w:val="center"/>
              <w:textAlignment w:val="auto"/>
              <w:rPr>
                <w:sz w:val="24"/>
              </w:rPr>
            </w:pPr>
          </w:p>
        </w:tc>
        <w:tc>
          <w:tcPr>
            <w:tcW w:w="1138" w:type="dxa"/>
            <w:vAlign w:val="center"/>
          </w:tcPr>
          <w:p w14:paraId="4EDAD9F2">
            <w:pPr>
              <w:widowControl w:val="0"/>
              <w:spacing w:line="360" w:lineRule="auto"/>
              <w:jc w:val="center"/>
              <w:textAlignment w:val="auto"/>
              <w:rPr>
                <w:sz w:val="24"/>
              </w:rPr>
            </w:pPr>
          </w:p>
        </w:tc>
        <w:tc>
          <w:tcPr>
            <w:tcW w:w="575" w:type="dxa"/>
            <w:vAlign w:val="center"/>
          </w:tcPr>
          <w:p w14:paraId="6F0B1E5C">
            <w:pPr>
              <w:widowControl w:val="0"/>
              <w:spacing w:line="360" w:lineRule="auto"/>
              <w:jc w:val="center"/>
              <w:textAlignment w:val="auto"/>
              <w:rPr>
                <w:sz w:val="24"/>
              </w:rPr>
            </w:pPr>
          </w:p>
        </w:tc>
        <w:tc>
          <w:tcPr>
            <w:tcW w:w="886" w:type="dxa"/>
            <w:vAlign w:val="center"/>
          </w:tcPr>
          <w:p w14:paraId="2AE55D55">
            <w:pPr>
              <w:widowControl w:val="0"/>
              <w:spacing w:line="360" w:lineRule="auto"/>
              <w:jc w:val="center"/>
              <w:textAlignment w:val="auto"/>
              <w:rPr>
                <w:sz w:val="24"/>
              </w:rPr>
            </w:pPr>
          </w:p>
        </w:tc>
        <w:tc>
          <w:tcPr>
            <w:tcW w:w="957" w:type="dxa"/>
            <w:vAlign w:val="center"/>
          </w:tcPr>
          <w:p w14:paraId="132723EF">
            <w:pPr>
              <w:widowControl w:val="0"/>
              <w:spacing w:line="360" w:lineRule="auto"/>
              <w:jc w:val="center"/>
              <w:textAlignment w:val="auto"/>
              <w:rPr>
                <w:sz w:val="24"/>
              </w:rPr>
            </w:pPr>
          </w:p>
        </w:tc>
        <w:tc>
          <w:tcPr>
            <w:tcW w:w="911" w:type="dxa"/>
            <w:vAlign w:val="center"/>
          </w:tcPr>
          <w:p w14:paraId="306407E7">
            <w:pPr>
              <w:widowControl w:val="0"/>
              <w:spacing w:line="360" w:lineRule="auto"/>
              <w:jc w:val="center"/>
              <w:textAlignment w:val="auto"/>
              <w:rPr>
                <w:sz w:val="24"/>
              </w:rPr>
            </w:pPr>
          </w:p>
        </w:tc>
        <w:tc>
          <w:tcPr>
            <w:tcW w:w="1358" w:type="dxa"/>
            <w:vAlign w:val="center"/>
          </w:tcPr>
          <w:p w14:paraId="7BE8D999">
            <w:pPr>
              <w:widowControl w:val="0"/>
              <w:spacing w:line="360" w:lineRule="auto"/>
              <w:jc w:val="center"/>
              <w:textAlignment w:val="auto"/>
              <w:rPr>
                <w:sz w:val="24"/>
              </w:rPr>
            </w:pPr>
          </w:p>
        </w:tc>
      </w:tr>
      <w:tr w14:paraId="16F345E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536" w:hRule="atLeast"/>
          <w:jc w:val="center"/>
        </w:trPr>
        <w:tc>
          <w:tcPr>
            <w:tcW w:w="499" w:type="dxa"/>
            <w:vAlign w:val="center"/>
          </w:tcPr>
          <w:p w14:paraId="6BAF87D0">
            <w:pPr>
              <w:widowControl w:val="0"/>
              <w:spacing w:line="360" w:lineRule="auto"/>
              <w:jc w:val="center"/>
              <w:textAlignment w:val="auto"/>
              <w:rPr>
                <w:sz w:val="24"/>
              </w:rPr>
            </w:pPr>
          </w:p>
        </w:tc>
        <w:tc>
          <w:tcPr>
            <w:tcW w:w="1137" w:type="dxa"/>
            <w:vAlign w:val="center"/>
          </w:tcPr>
          <w:p w14:paraId="189A6A89">
            <w:pPr>
              <w:widowControl w:val="0"/>
              <w:spacing w:line="360" w:lineRule="auto"/>
              <w:jc w:val="center"/>
              <w:textAlignment w:val="auto"/>
              <w:rPr>
                <w:sz w:val="24"/>
              </w:rPr>
            </w:pPr>
          </w:p>
        </w:tc>
        <w:tc>
          <w:tcPr>
            <w:tcW w:w="1326" w:type="dxa"/>
            <w:vAlign w:val="center"/>
          </w:tcPr>
          <w:p w14:paraId="3128C78E">
            <w:pPr>
              <w:widowControl w:val="0"/>
              <w:spacing w:line="360" w:lineRule="auto"/>
              <w:jc w:val="center"/>
              <w:textAlignment w:val="auto"/>
              <w:rPr>
                <w:sz w:val="24"/>
              </w:rPr>
            </w:pPr>
          </w:p>
        </w:tc>
        <w:tc>
          <w:tcPr>
            <w:tcW w:w="1138" w:type="dxa"/>
            <w:vAlign w:val="center"/>
          </w:tcPr>
          <w:p w14:paraId="0AFDA1A5">
            <w:pPr>
              <w:widowControl w:val="0"/>
              <w:spacing w:line="360" w:lineRule="auto"/>
              <w:jc w:val="center"/>
              <w:textAlignment w:val="auto"/>
              <w:rPr>
                <w:sz w:val="24"/>
              </w:rPr>
            </w:pPr>
          </w:p>
        </w:tc>
        <w:tc>
          <w:tcPr>
            <w:tcW w:w="575" w:type="dxa"/>
            <w:vAlign w:val="center"/>
          </w:tcPr>
          <w:p w14:paraId="0ABC761C">
            <w:pPr>
              <w:widowControl w:val="0"/>
              <w:spacing w:line="360" w:lineRule="auto"/>
              <w:jc w:val="center"/>
              <w:textAlignment w:val="auto"/>
              <w:rPr>
                <w:sz w:val="24"/>
              </w:rPr>
            </w:pPr>
          </w:p>
        </w:tc>
        <w:tc>
          <w:tcPr>
            <w:tcW w:w="886" w:type="dxa"/>
            <w:vAlign w:val="center"/>
          </w:tcPr>
          <w:p w14:paraId="0BEB04F3">
            <w:pPr>
              <w:widowControl w:val="0"/>
              <w:spacing w:line="360" w:lineRule="auto"/>
              <w:jc w:val="center"/>
              <w:textAlignment w:val="auto"/>
              <w:rPr>
                <w:sz w:val="24"/>
              </w:rPr>
            </w:pPr>
          </w:p>
        </w:tc>
        <w:tc>
          <w:tcPr>
            <w:tcW w:w="957" w:type="dxa"/>
            <w:vAlign w:val="center"/>
          </w:tcPr>
          <w:p w14:paraId="1EF3512A">
            <w:pPr>
              <w:widowControl w:val="0"/>
              <w:spacing w:line="360" w:lineRule="auto"/>
              <w:jc w:val="center"/>
              <w:textAlignment w:val="auto"/>
              <w:rPr>
                <w:sz w:val="24"/>
              </w:rPr>
            </w:pPr>
          </w:p>
        </w:tc>
        <w:tc>
          <w:tcPr>
            <w:tcW w:w="911" w:type="dxa"/>
            <w:vAlign w:val="center"/>
          </w:tcPr>
          <w:p w14:paraId="3C5EC90D">
            <w:pPr>
              <w:widowControl w:val="0"/>
              <w:spacing w:line="360" w:lineRule="auto"/>
              <w:jc w:val="center"/>
              <w:textAlignment w:val="auto"/>
              <w:rPr>
                <w:sz w:val="24"/>
              </w:rPr>
            </w:pPr>
          </w:p>
        </w:tc>
        <w:tc>
          <w:tcPr>
            <w:tcW w:w="1358" w:type="dxa"/>
            <w:vAlign w:val="center"/>
          </w:tcPr>
          <w:p w14:paraId="7C96E724">
            <w:pPr>
              <w:widowControl w:val="0"/>
              <w:spacing w:line="360" w:lineRule="auto"/>
              <w:jc w:val="center"/>
              <w:textAlignment w:val="auto"/>
              <w:rPr>
                <w:sz w:val="24"/>
              </w:rPr>
            </w:pPr>
          </w:p>
        </w:tc>
      </w:tr>
      <w:tr w14:paraId="2B6694B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536" w:hRule="atLeast"/>
          <w:jc w:val="center"/>
        </w:trPr>
        <w:tc>
          <w:tcPr>
            <w:tcW w:w="499" w:type="dxa"/>
            <w:vAlign w:val="center"/>
          </w:tcPr>
          <w:p w14:paraId="7BBCC805">
            <w:pPr>
              <w:widowControl w:val="0"/>
              <w:spacing w:line="360" w:lineRule="auto"/>
              <w:jc w:val="center"/>
              <w:textAlignment w:val="auto"/>
              <w:rPr>
                <w:sz w:val="24"/>
              </w:rPr>
            </w:pPr>
          </w:p>
        </w:tc>
        <w:tc>
          <w:tcPr>
            <w:tcW w:w="1137" w:type="dxa"/>
            <w:vAlign w:val="center"/>
          </w:tcPr>
          <w:p w14:paraId="5EA1E17B">
            <w:pPr>
              <w:widowControl w:val="0"/>
              <w:spacing w:line="360" w:lineRule="auto"/>
              <w:jc w:val="center"/>
              <w:textAlignment w:val="auto"/>
              <w:rPr>
                <w:sz w:val="24"/>
              </w:rPr>
            </w:pPr>
          </w:p>
        </w:tc>
        <w:tc>
          <w:tcPr>
            <w:tcW w:w="1326" w:type="dxa"/>
            <w:vAlign w:val="center"/>
          </w:tcPr>
          <w:p w14:paraId="6275E677">
            <w:pPr>
              <w:widowControl w:val="0"/>
              <w:spacing w:line="360" w:lineRule="auto"/>
              <w:jc w:val="center"/>
              <w:textAlignment w:val="auto"/>
              <w:rPr>
                <w:sz w:val="24"/>
              </w:rPr>
            </w:pPr>
          </w:p>
        </w:tc>
        <w:tc>
          <w:tcPr>
            <w:tcW w:w="1138" w:type="dxa"/>
            <w:vAlign w:val="center"/>
          </w:tcPr>
          <w:p w14:paraId="3268A5E0">
            <w:pPr>
              <w:widowControl w:val="0"/>
              <w:spacing w:line="360" w:lineRule="auto"/>
              <w:jc w:val="center"/>
              <w:textAlignment w:val="auto"/>
              <w:rPr>
                <w:sz w:val="24"/>
              </w:rPr>
            </w:pPr>
          </w:p>
        </w:tc>
        <w:tc>
          <w:tcPr>
            <w:tcW w:w="575" w:type="dxa"/>
            <w:vAlign w:val="center"/>
          </w:tcPr>
          <w:p w14:paraId="1DD3D35C">
            <w:pPr>
              <w:widowControl w:val="0"/>
              <w:spacing w:line="360" w:lineRule="auto"/>
              <w:jc w:val="center"/>
              <w:textAlignment w:val="auto"/>
              <w:rPr>
                <w:sz w:val="24"/>
              </w:rPr>
            </w:pPr>
          </w:p>
        </w:tc>
        <w:tc>
          <w:tcPr>
            <w:tcW w:w="886" w:type="dxa"/>
            <w:vAlign w:val="center"/>
          </w:tcPr>
          <w:p w14:paraId="332041C9">
            <w:pPr>
              <w:widowControl w:val="0"/>
              <w:spacing w:line="360" w:lineRule="auto"/>
              <w:jc w:val="center"/>
              <w:textAlignment w:val="auto"/>
              <w:rPr>
                <w:sz w:val="24"/>
              </w:rPr>
            </w:pPr>
          </w:p>
        </w:tc>
        <w:tc>
          <w:tcPr>
            <w:tcW w:w="957" w:type="dxa"/>
            <w:vAlign w:val="center"/>
          </w:tcPr>
          <w:p w14:paraId="20244314">
            <w:pPr>
              <w:widowControl w:val="0"/>
              <w:spacing w:line="360" w:lineRule="auto"/>
              <w:jc w:val="center"/>
              <w:textAlignment w:val="auto"/>
              <w:rPr>
                <w:sz w:val="24"/>
              </w:rPr>
            </w:pPr>
          </w:p>
        </w:tc>
        <w:tc>
          <w:tcPr>
            <w:tcW w:w="911" w:type="dxa"/>
            <w:vAlign w:val="center"/>
          </w:tcPr>
          <w:p w14:paraId="5FF62C8B">
            <w:pPr>
              <w:widowControl w:val="0"/>
              <w:spacing w:line="360" w:lineRule="auto"/>
              <w:jc w:val="center"/>
              <w:textAlignment w:val="auto"/>
              <w:rPr>
                <w:sz w:val="24"/>
              </w:rPr>
            </w:pPr>
          </w:p>
        </w:tc>
        <w:tc>
          <w:tcPr>
            <w:tcW w:w="1358" w:type="dxa"/>
            <w:vAlign w:val="center"/>
          </w:tcPr>
          <w:p w14:paraId="532B0C6F">
            <w:pPr>
              <w:widowControl w:val="0"/>
              <w:spacing w:line="360" w:lineRule="auto"/>
              <w:jc w:val="center"/>
              <w:textAlignment w:val="auto"/>
              <w:rPr>
                <w:sz w:val="24"/>
              </w:rPr>
            </w:pPr>
          </w:p>
        </w:tc>
      </w:tr>
      <w:tr w14:paraId="2B16463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536" w:hRule="atLeast"/>
          <w:jc w:val="center"/>
        </w:trPr>
        <w:tc>
          <w:tcPr>
            <w:tcW w:w="499" w:type="dxa"/>
            <w:vAlign w:val="center"/>
          </w:tcPr>
          <w:p w14:paraId="149B661D">
            <w:pPr>
              <w:widowControl w:val="0"/>
              <w:spacing w:line="360" w:lineRule="auto"/>
              <w:jc w:val="center"/>
              <w:textAlignment w:val="auto"/>
              <w:rPr>
                <w:sz w:val="24"/>
              </w:rPr>
            </w:pPr>
          </w:p>
        </w:tc>
        <w:tc>
          <w:tcPr>
            <w:tcW w:w="1137" w:type="dxa"/>
            <w:vAlign w:val="center"/>
          </w:tcPr>
          <w:p w14:paraId="490F5295">
            <w:pPr>
              <w:widowControl w:val="0"/>
              <w:spacing w:line="360" w:lineRule="auto"/>
              <w:jc w:val="center"/>
              <w:textAlignment w:val="auto"/>
              <w:rPr>
                <w:sz w:val="24"/>
              </w:rPr>
            </w:pPr>
          </w:p>
        </w:tc>
        <w:tc>
          <w:tcPr>
            <w:tcW w:w="1326" w:type="dxa"/>
            <w:vAlign w:val="center"/>
          </w:tcPr>
          <w:p w14:paraId="07CB0A6B">
            <w:pPr>
              <w:widowControl w:val="0"/>
              <w:spacing w:line="360" w:lineRule="auto"/>
              <w:jc w:val="center"/>
              <w:textAlignment w:val="auto"/>
              <w:rPr>
                <w:sz w:val="24"/>
              </w:rPr>
            </w:pPr>
          </w:p>
        </w:tc>
        <w:tc>
          <w:tcPr>
            <w:tcW w:w="1138" w:type="dxa"/>
            <w:vAlign w:val="center"/>
          </w:tcPr>
          <w:p w14:paraId="31A16FAD">
            <w:pPr>
              <w:widowControl w:val="0"/>
              <w:spacing w:line="360" w:lineRule="auto"/>
              <w:jc w:val="center"/>
              <w:textAlignment w:val="auto"/>
              <w:rPr>
                <w:sz w:val="24"/>
              </w:rPr>
            </w:pPr>
          </w:p>
        </w:tc>
        <w:tc>
          <w:tcPr>
            <w:tcW w:w="575" w:type="dxa"/>
            <w:vAlign w:val="center"/>
          </w:tcPr>
          <w:p w14:paraId="321E44BD">
            <w:pPr>
              <w:widowControl w:val="0"/>
              <w:spacing w:line="360" w:lineRule="auto"/>
              <w:jc w:val="center"/>
              <w:textAlignment w:val="auto"/>
              <w:rPr>
                <w:sz w:val="24"/>
              </w:rPr>
            </w:pPr>
          </w:p>
        </w:tc>
        <w:tc>
          <w:tcPr>
            <w:tcW w:w="886" w:type="dxa"/>
            <w:vAlign w:val="center"/>
          </w:tcPr>
          <w:p w14:paraId="48B6A87E">
            <w:pPr>
              <w:widowControl w:val="0"/>
              <w:spacing w:line="360" w:lineRule="auto"/>
              <w:jc w:val="center"/>
              <w:textAlignment w:val="auto"/>
              <w:rPr>
                <w:sz w:val="24"/>
              </w:rPr>
            </w:pPr>
          </w:p>
        </w:tc>
        <w:tc>
          <w:tcPr>
            <w:tcW w:w="957" w:type="dxa"/>
            <w:vAlign w:val="center"/>
          </w:tcPr>
          <w:p w14:paraId="0C2C1363">
            <w:pPr>
              <w:widowControl w:val="0"/>
              <w:spacing w:line="360" w:lineRule="auto"/>
              <w:jc w:val="center"/>
              <w:textAlignment w:val="auto"/>
              <w:rPr>
                <w:sz w:val="24"/>
              </w:rPr>
            </w:pPr>
          </w:p>
        </w:tc>
        <w:tc>
          <w:tcPr>
            <w:tcW w:w="911" w:type="dxa"/>
            <w:vAlign w:val="center"/>
          </w:tcPr>
          <w:p w14:paraId="20B76869">
            <w:pPr>
              <w:widowControl w:val="0"/>
              <w:spacing w:line="360" w:lineRule="auto"/>
              <w:jc w:val="center"/>
              <w:textAlignment w:val="auto"/>
              <w:rPr>
                <w:sz w:val="24"/>
              </w:rPr>
            </w:pPr>
          </w:p>
        </w:tc>
        <w:tc>
          <w:tcPr>
            <w:tcW w:w="1358" w:type="dxa"/>
            <w:vAlign w:val="center"/>
          </w:tcPr>
          <w:p w14:paraId="22B9A765">
            <w:pPr>
              <w:widowControl w:val="0"/>
              <w:spacing w:line="360" w:lineRule="auto"/>
              <w:jc w:val="center"/>
              <w:textAlignment w:val="auto"/>
              <w:rPr>
                <w:sz w:val="24"/>
              </w:rPr>
            </w:pPr>
          </w:p>
        </w:tc>
      </w:tr>
      <w:tr w14:paraId="77CDDD7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536" w:hRule="atLeast"/>
          <w:jc w:val="center"/>
        </w:trPr>
        <w:tc>
          <w:tcPr>
            <w:tcW w:w="499" w:type="dxa"/>
            <w:vAlign w:val="center"/>
          </w:tcPr>
          <w:p w14:paraId="6A1CAFD7">
            <w:pPr>
              <w:widowControl w:val="0"/>
              <w:spacing w:line="360" w:lineRule="auto"/>
              <w:jc w:val="center"/>
              <w:textAlignment w:val="auto"/>
              <w:rPr>
                <w:sz w:val="24"/>
              </w:rPr>
            </w:pPr>
          </w:p>
        </w:tc>
        <w:tc>
          <w:tcPr>
            <w:tcW w:w="1137" w:type="dxa"/>
            <w:vAlign w:val="center"/>
          </w:tcPr>
          <w:p w14:paraId="0FF0C015">
            <w:pPr>
              <w:widowControl w:val="0"/>
              <w:spacing w:line="360" w:lineRule="auto"/>
              <w:jc w:val="center"/>
              <w:textAlignment w:val="auto"/>
              <w:rPr>
                <w:sz w:val="24"/>
              </w:rPr>
            </w:pPr>
          </w:p>
        </w:tc>
        <w:tc>
          <w:tcPr>
            <w:tcW w:w="1326" w:type="dxa"/>
            <w:vAlign w:val="center"/>
          </w:tcPr>
          <w:p w14:paraId="2538CB32">
            <w:pPr>
              <w:widowControl w:val="0"/>
              <w:spacing w:line="360" w:lineRule="auto"/>
              <w:jc w:val="center"/>
              <w:textAlignment w:val="auto"/>
              <w:rPr>
                <w:sz w:val="24"/>
              </w:rPr>
            </w:pPr>
          </w:p>
        </w:tc>
        <w:tc>
          <w:tcPr>
            <w:tcW w:w="1138" w:type="dxa"/>
            <w:vAlign w:val="center"/>
          </w:tcPr>
          <w:p w14:paraId="253C6050">
            <w:pPr>
              <w:widowControl w:val="0"/>
              <w:spacing w:line="360" w:lineRule="auto"/>
              <w:jc w:val="center"/>
              <w:textAlignment w:val="auto"/>
              <w:rPr>
                <w:sz w:val="24"/>
              </w:rPr>
            </w:pPr>
          </w:p>
        </w:tc>
        <w:tc>
          <w:tcPr>
            <w:tcW w:w="575" w:type="dxa"/>
            <w:vAlign w:val="center"/>
          </w:tcPr>
          <w:p w14:paraId="22073226">
            <w:pPr>
              <w:widowControl w:val="0"/>
              <w:spacing w:line="360" w:lineRule="auto"/>
              <w:jc w:val="center"/>
              <w:textAlignment w:val="auto"/>
              <w:rPr>
                <w:sz w:val="24"/>
              </w:rPr>
            </w:pPr>
          </w:p>
        </w:tc>
        <w:tc>
          <w:tcPr>
            <w:tcW w:w="886" w:type="dxa"/>
            <w:vAlign w:val="center"/>
          </w:tcPr>
          <w:p w14:paraId="13A15AA5">
            <w:pPr>
              <w:widowControl w:val="0"/>
              <w:spacing w:line="360" w:lineRule="auto"/>
              <w:jc w:val="center"/>
              <w:textAlignment w:val="auto"/>
              <w:rPr>
                <w:sz w:val="24"/>
              </w:rPr>
            </w:pPr>
          </w:p>
        </w:tc>
        <w:tc>
          <w:tcPr>
            <w:tcW w:w="957" w:type="dxa"/>
            <w:vAlign w:val="center"/>
          </w:tcPr>
          <w:p w14:paraId="7A4F7F49">
            <w:pPr>
              <w:widowControl w:val="0"/>
              <w:spacing w:line="360" w:lineRule="auto"/>
              <w:jc w:val="center"/>
              <w:textAlignment w:val="auto"/>
              <w:rPr>
                <w:sz w:val="24"/>
              </w:rPr>
            </w:pPr>
          </w:p>
        </w:tc>
        <w:tc>
          <w:tcPr>
            <w:tcW w:w="911" w:type="dxa"/>
            <w:vAlign w:val="center"/>
          </w:tcPr>
          <w:p w14:paraId="0FE3B3AB">
            <w:pPr>
              <w:widowControl w:val="0"/>
              <w:spacing w:line="360" w:lineRule="auto"/>
              <w:jc w:val="center"/>
              <w:textAlignment w:val="auto"/>
              <w:rPr>
                <w:sz w:val="24"/>
              </w:rPr>
            </w:pPr>
          </w:p>
        </w:tc>
        <w:tc>
          <w:tcPr>
            <w:tcW w:w="1358" w:type="dxa"/>
            <w:vAlign w:val="center"/>
          </w:tcPr>
          <w:p w14:paraId="6512DBBE">
            <w:pPr>
              <w:widowControl w:val="0"/>
              <w:spacing w:line="360" w:lineRule="auto"/>
              <w:jc w:val="center"/>
              <w:textAlignment w:val="auto"/>
              <w:rPr>
                <w:sz w:val="24"/>
              </w:rPr>
            </w:pPr>
          </w:p>
        </w:tc>
      </w:tr>
      <w:tr w14:paraId="21F8C88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536" w:hRule="atLeast"/>
          <w:jc w:val="center"/>
        </w:trPr>
        <w:tc>
          <w:tcPr>
            <w:tcW w:w="499" w:type="dxa"/>
            <w:vAlign w:val="center"/>
          </w:tcPr>
          <w:p w14:paraId="6D535AFC">
            <w:pPr>
              <w:widowControl w:val="0"/>
              <w:spacing w:line="360" w:lineRule="auto"/>
              <w:jc w:val="center"/>
              <w:textAlignment w:val="auto"/>
              <w:rPr>
                <w:sz w:val="24"/>
              </w:rPr>
            </w:pPr>
          </w:p>
        </w:tc>
        <w:tc>
          <w:tcPr>
            <w:tcW w:w="1137" w:type="dxa"/>
            <w:vAlign w:val="center"/>
          </w:tcPr>
          <w:p w14:paraId="652A544C">
            <w:pPr>
              <w:widowControl w:val="0"/>
              <w:spacing w:line="360" w:lineRule="auto"/>
              <w:jc w:val="center"/>
              <w:textAlignment w:val="auto"/>
              <w:rPr>
                <w:sz w:val="24"/>
              </w:rPr>
            </w:pPr>
          </w:p>
        </w:tc>
        <w:tc>
          <w:tcPr>
            <w:tcW w:w="1326" w:type="dxa"/>
            <w:vAlign w:val="center"/>
          </w:tcPr>
          <w:p w14:paraId="467797C2">
            <w:pPr>
              <w:widowControl w:val="0"/>
              <w:spacing w:line="360" w:lineRule="auto"/>
              <w:jc w:val="center"/>
              <w:textAlignment w:val="auto"/>
              <w:rPr>
                <w:sz w:val="24"/>
              </w:rPr>
            </w:pPr>
          </w:p>
        </w:tc>
        <w:tc>
          <w:tcPr>
            <w:tcW w:w="1138" w:type="dxa"/>
            <w:vAlign w:val="center"/>
          </w:tcPr>
          <w:p w14:paraId="5878C3FF">
            <w:pPr>
              <w:widowControl w:val="0"/>
              <w:spacing w:line="360" w:lineRule="auto"/>
              <w:jc w:val="center"/>
              <w:textAlignment w:val="auto"/>
              <w:rPr>
                <w:sz w:val="24"/>
              </w:rPr>
            </w:pPr>
          </w:p>
        </w:tc>
        <w:tc>
          <w:tcPr>
            <w:tcW w:w="575" w:type="dxa"/>
            <w:vAlign w:val="center"/>
          </w:tcPr>
          <w:p w14:paraId="4126F033">
            <w:pPr>
              <w:widowControl w:val="0"/>
              <w:spacing w:line="360" w:lineRule="auto"/>
              <w:jc w:val="center"/>
              <w:textAlignment w:val="auto"/>
              <w:rPr>
                <w:sz w:val="24"/>
              </w:rPr>
            </w:pPr>
          </w:p>
        </w:tc>
        <w:tc>
          <w:tcPr>
            <w:tcW w:w="886" w:type="dxa"/>
            <w:vAlign w:val="center"/>
          </w:tcPr>
          <w:p w14:paraId="2A0CF0FA">
            <w:pPr>
              <w:widowControl w:val="0"/>
              <w:spacing w:line="360" w:lineRule="auto"/>
              <w:jc w:val="center"/>
              <w:textAlignment w:val="auto"/>
              <w:rPr>
                <w:sz w:val="24"/>
              </w:rPr>
            </w:pPr>
          </w:p>
        </w:tc>
        <w:tc>
          <w:tcPr>
            <w:tcW w:w="957" w:type="dxa"/>
            <w:vAlign w:val="center"/>
          </w:tcPr>
          <w:p w14:paraId="093C0F86">
            <w:pPr>
              <w:widowControl w:val="0"/>
              <w:spacing w:line="360" w:lineRule="auto"/>
              <w:jc w:val="center"/>
              <w:textAlignment w:val="auto"/>
              <w:rPr>
                <w:sz w:val="24"/>
              </w:rPr>
            </w:pPr>
          </w:p>
        </w:tc>
        <w:tc>
          <w:tcPr>
            <w:tcW w:w="911" w:type="dxa"/>
            <w:vAlign w:val="center"/>
          </w:tcPr>
          <w:p w14:paraId="6E62BB7A">
            <w:pPr>
              <w:widowControl w:val="0"/>
              <w:spacing w:line="360" w:lineRule="auto"/>
              <w:jc w:val="center"/>
              <w:textAlignment w:val="auto"/>
              <w:rPr>
                <w:sz w:val="24"/>
              </w:rPr>
            </w:pPr>
          </w:p>
        </w:tc>
        <w:tc>
          <w:tcPr>
            <w:tcW w:w="1358" w:type="dxa"/>
            <w:vAlign w:val="center"/>
          </w:tcPr>
          <w:p w14:paraId="7646AEC4">
            <w:pPr>
              <w:widowControl w:val="0"/>
              <w:spacing w:line="360" w:lineRule="auto"/>
              <w:jc w:val="center"/>
              <w:textAlignment w:val="auto"/>
              <w:rPr>
                <w:sz w:val="24"/>
              </w:rPr>
            </w:pPr>
          </w:p>
        </w:tc>
      </w:tr>
      <w:tr w14:paraId="65F2263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535" w:hRule="atLeast"/>
          <w:jc w:val="center"/>
        </w:trPr>
        <w:tc>
          <w:tcPr>
            <w:tcW w:w="499" w:type="dxa"/>
            <w:vAlign w:val="center"/>
          </w:tcPr>
          <w:p w14:paraId="7CD25D36">
            <w:pPr>
              <w:widowControl w:val="0"/>
              <w:spacing w:line="360" w:lineRule="auto"/>
              <w:jc w:val="center"/>
              <w:textAlignment w:val="auto"/>
              <w:rPr>
                <w:sz w:val="24"/>
              </w:rPr>
            </w:pPr>
          </w:p>
        </w:tc>
        <w:tc>
          <w:tcPr>
            <w:tcW w:w="1137" w:type="dxa"/>
            <w:vAlign w:val="center"/>
          </w:tcPr>
          <w:p w14:paraId="1EF71686">
            <w:pPr>
              <w:widowControl w:val="0"/>
              <w:spacing w:line="360" w:lineRule="auto"/>
              <w:jc w:val="center"/>
              <w:textAlignment w:val="auto"/>
              <w:rPr>
                <w:sz w:val="24"/>
              </w:rPr>
            </w:pPr>
          </w:p>
        </w:tc>
        <w:tc>
          <w:tcPr>
            <w:tcW w:w="1326" w:type="dxa"/>
            <w:vAlign w:val="center"/>
          </w:tcPr>
          <w:p w14:paraId="15DD03B1">
            <w:pPr>
              <w:widowControl w:val="0"/>
              <w:spacing w:line="360" w:lineRule="auto"/>
              <w:jc w:val="center"/>
              <w:textAlignment w:val="auto"/>
              <w:rPr>
                <w:sz w:val="24"/>
              </w:rPr>
            </w:pPr>
          </w:p>
        </w:tc>
        <w:tc>
          <w:tcPr>
            <w:tcW w:w="1138" w:type="dxa"/>
            <w:vAlign w:val="center"/>
          </w:tcPr>
          <w:p w14:paraId="0493D965">
            <w:pPr>
              <w:widowControl w:val="0"/>
              <w:spacing w:line="360" w:lineRule="auto"/>
              <w:jc w:val="center"/>
              <w:textAlignment w:val="auto"/>
              <w:rPr>
                <w:sz w:val="24"/>
              </w:rPr>
            </w:pPr>
          </w:p>
        </w:tc>
        <w:tc>
          <w:tcPr>
            <w:tcW w:w="575" w:type="dxa"/>
            <w:vAlign w:val="center"/>
          </w:tcPr>
          <w:p w14:paraId="2EAEF0CF">
            <w:pPr>
              <w:widowControl w:val="0"/>
              <w:spacing w:line="360" w:lineRule="auto"/>
              <w:jc w:val="center"/>
              <w:textAlignment w:val="auto"/>
              <w:rPr>
                <w:sz w:val="24"/>
              </w:rPr>
            </w:pPr>
          </w:p>
        </w:tc>
        <w:tc>
          <w:tcPr>
            <w:tcW w:w="886" w:type="dxa"/>
            <w:vAlign w:val="center"/>
          </w:tcPr>
          <w:p w14:paraId="6491098D">
            <w:pPr>
              <w:widowControl w:val="0"/>
              <w:spacing w:line="360" w:lineRule="auto"/>
              <w:jc w:val="center"/>
              <w:textAlignment w:val="auto"/>
              <w:rPr>
                <w:sz w:val="24"/>
              </w:rPr>
            </w:pPr>
          </w:p>
        </w:tc>
        <w:tc>
          <w:tcPr>
            <w:tcW w:w="957" w:type="dxa"/>
            <w:vAlign w:val="center"/>
          </w:tcPr>
          <w:p w14:paraId="0D81ACB4">
            <w:pPr>
              <w:widowControl w:val="0"/>
              <w:spacing w:line="360" w:lineRule="auto"/>
              <w:jc w:val="center"/>
              <w:textAlignment w:val="auto"/>
              <w:rPr>
                <w:sz w:val="24"/>
              </w:rPr>
            </w:pPr>
          </w:p>
        </w:tc>
        <w:tc>
          <w:tcPr>
            <w:tcW w:w="911" w:type="dxa"/>
            <w:vAlign w:val="center"/>
          </w:tcPr>
          <w:p w14:paraId="7D1E0846">
            <w:pPr>
              <w:widowControl w:val="0"/>
              <w:spacing w:line="360" w:lineRule="auto"/>
              <w:jc w:val="center"/>
              <w:textAlignment w:val="auto"/>
              <w:rPr>
                <w:sz w:val="24"/>
              </w:rPr>
            </w:pPr>
          </w:p>
        </w:tc>
        <w:tc>
          <w:tcPr>
            <w:tcW w:w="1358" w:type="dxa"/>
            <w:vAlign w:val="center"/>
          </w:tcPr>
          <w:p w14:paraId="38D52D8B">
            <w:pPr>
              <w:widowControl w:val="0"/>
              <w:spacing w:line="360" w:lineRule="auto"/>
              <w:jc w:val="center"/>
              <w:textAlignment w:val="auto"/>
              <w:rPr>
                <w:sz w:val="24"/>
              </w:rPr>
            </w:pPr>
          </w:p>
        </w:tc>
      </w:tr>
      <w:tr w14:paraId="1A25889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536" w:hRule="atLeast"/>
          <w:jc w:val="center"/>
        </w:trPr>
        <w:tc>
          <w:tcPr>
            <w:tcW w:w="499" w:type="dxa"/>
            <w:vAlign w:val="center"/>
          </w:tcPr>
          <w:p w14:paraId="12D6E729">
            <w:pPr>
              <w:widowControl w:val="0"/>
              <w:spacing w:line="360" w:lineRule="auto"/>
              <w:jc w:val="center"/>
              <w:textAlignment w:val="auto"/>
              <w:rPr>
                <w:sz w:val="24"/>
              </w:rPr>
            </w:pPr>
          </w:p>
        </w:tc>
        <w:tc>
          <w:tcPr>
            <w:tcW w:w="1137" w:type="dxa"/>
            <w:vAlign w:val="center"/>
          </w:tcPr>
          <w:p w14:paraId="588C2724">
            <w:pPr>
              <w:widowControl w:val="0"/>
              <w:spacing w:line="360" w:lineRule="auto"/>
              <w:jc w:val="center"/>
              <w:textAlignment w:val="auto"/>
              <w:rPr>
                <w:sz w:val="24"/>
              </w:rPr>
            </w:pPr>
          </w:p>
        </w:tc>
        <w:tc>
          <w:tcPr>
            <w:tcW w:w="1326" w:type="dxa"/>
            <w:vAlign w:val="center"/>
          </w:tcPr>
          <w:p w14:paraId="5BB9E948">
            <w:pPr>
              <w:widowControl w:val="0"/>
              <w:spacing w:line="360" w:lineRule="auto"/>
              <w:jc w:val="center"/>
              <w:textAlignment w:val="auto"/>
              <w:rPr>
                <w:sz w:val="24"/>
              </w:rPr>
            </w:pPr>
          </w:p>
        </w:tc>
        <w:tc>
          <w:tcPr>
            <w:tcW w:w="1138" w:type="dxa"/>
            <w:vAlign w:val="center"/>
          </w:tcPr>
          <w:p w14:paraId="2626A142">
            <w:pPr>
              <w:widowControl w:val="0"/>
              <w:spacing w:line="360" w:lineRule="auto"/>
              <w:jc w:val="center"/>
              <w:textAlignment w:val="auto"/>
              <w:rPr>
                <w:sz w:val="24"/>
              </w:rPr>
            </w:pPr>
          </w:p>
        </w:tc>
        <w:tc>
          <w:tcPr>
            <w:tcW w:w="575" w:type="dxa"/>
            <w:vAlign w:val="center"/>
          </w:tcPr>
          <w:p w14:paraId="2F1DAE1D">
            <w:pPr>
              <w:widowControl w:val="0"/>
              <w:spacing w:line="360" w:lineRule="auto"/>
              <w:jc w:val="center"/>
              <w:textAlignment w:val="auto"/>
              <w:rPr>
                <w:sz w:val="24"/>
              </w:rPr>
            </w:pPr>
          </w:p>
        </w:tc>
        <w:tc>
          <w:tcPr>
            <w:tcW w:w="886" w:type="dxa"/>
            <w:vAlign w:val="center"/>
          </w:tcPr>
          <w:p w14:paraId="3D3785A6">
            <w:pPr>
              <w:widowControl w:val="0"/>
              <w:spacing w:line="360" w:lineRule="auto"/>
              <w:jc w:val="center"/>
              <w:textAlignment w:val="auto"/>
              <w:rPr>
                <w:sz w:val="24"/>
              </w:rPr>
            </w:pPr>
          </w:p>
        </w:tc>
        <w:tc>
          <w:tcPr>
            <w:tcW w:w="957" w:type="dxa"/>
            <w:vAlign w:val="center"/>
          </w:tcPr>
          <w:p w14:paraId="3D97FD85">
            <w:pPr>
              <w:widowControl w:val="0"/>
              <w:spacing w:line="360" w:lineRule="auto"/>
              <w:jc w:val="center"/>
              <w:textAlignment w:val="auto"/>
              <w:rPr>
                <w:sz w:val="24"/>
              </w:rPr>
            </w:pPr>
          </w:p>
        </w:tc>
        <w:tc>
          <w:tcPr>
            <w:tcW w:w="911" w:type="dxa"/>
            <w:vAlign w:val="center"/>
          </w:tcPr>
          <w:p w14:paraId="0B93FB56">
            <w:pPr>
              <w:widowControl w:val="0"/>
              <w:spacing w:line="360" w:lineRule="auto"/>
              <w:jc w:val="center"/>
              <w:textAlignment w:val="auto"/>
              <w:rPr>
                <w:sz w:val="24"/>
              </w:rPr>
            </w:pPr>
          </w:p>
        </w:tc>
        <w:tc>
          <w:tcPr>
            <w:tcW w:w="1358" w:type="dxa"/>
            <w:vAlign w:val="center"/>
          </w:tcPr>
          <w:p w14:paraId="6EA4B171">
            <w:pPr>
              <w:widowControl w:val="0"/>
              <w:spacing w:line="360" w:lineRule="auto"/>
              <w:jc w:val="center"/>
              <w:textAlignment w:val="auto"/>
              <w:rPr>
                <w:sz w:val="24"/>
              </w:rPr>
            </w:pPr>
          </w:p>
        </w:tc>
      </w:tr>
      <w:tr w14:paraId="6486474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536" w:hRule="atLeast"/>
          <w:jc w:val="center"/>
        </w:trPr>
        <w:tc>
          <w:tcPr>
            <w:tcW w:w="499" w:type="dxa"/>
            <w:vAlign w:val="center"/>
          </w:tcPr>
          <w:p w14:paraId="07B03580">
            <w:pPr>
              <w:widowControl w:val="0"/>
              <w:spacing w:line="360" w:lineRule="auto"/>
              <w:jc w:val="center"/>
              <w:textAlignment w:val="auto"/>
              <w:rPr>
                <w:sz w:val="24"/>
              </w:rPr>
            </w:pPr>
          </w:p>
        </w:tc>
        <w:tc>
          <w:tcPr>
            <w:tcW w:w="1137" w:type="dxa"/>
            <w:vAlign w:val="center"/>
          </w:tcPr>
          <w:p w14:paraId="5EAAC7AD">
            <w:pPr>
              <w:widowControl w:val="0"/>
              <w:spacing w:line="360" w:lineRule="auto"/>
              <w:jc w:val="center"/>
              <w:textAlignment w:val="auto"/>
              <w:rPr>
                <w:sz w:val="24"/>
              </w:rPr>
            </w:pPr>
          </w:p>
        </w:tc>
        <w:tc>
          <w:tcPr>
            <w:tcW w:w="1326" w:type="dxa"/>
            <w:vAlign w:val="center"/>
          </w:tcPr>
          <w:p w14:paraId="2EBFCDF9">
            <w:pPr>
              <w:widowControl w:val="0"/>
              <w:spacing w:line="360" w:lineRule="auto"/>
              <w:jc w:val="center"/>
              <w:textAlignment w:val="auto"/>
              <w:rPr>
                <w:sz w:val="24"/>
              </w:rPr>
            </w:pPr>
          </w:p>
        </w:tc>
        <w:tc>
          <w:tcPr>
            <w:tcW w:w="1138" w:type="dxa"/>
            <w:vAlign w:val="center"/>
          </w:tcPr>
          <w:p w14:paraId="6383F588">
            <w:pPr>
              <w:widowControl w:val="0"/>
              <w:spacing w:line="360" w:lineRule="auto"/>
              <w:jc w:val="center"/>
              <w:textAlignment w:val="auto"/>
              <w:rPr>
                <w:sz w:val="24"/>
              </w:rPr>
            </w:pPr>
          </w:p>
        </w:tc>
        <w:tc>
          <w:tcPr>
            <w:tcW w:w="575" w:type="dxa"/>
            <w:vAlign w:val="center"/>
          </w:tcPr>
          <w:p w14:paraId="06A91832">
            <w:pPr>
              <w:widowControl w:val="0"/>
              <w:spacing w:line="360" w:lineRule="auto"/>
              <w:jc w:val="center"/>
              <w:textAlignment w:val="auto"/>
              <w:rPr>
                <w:sz w:val="24"/>
              </w:rPr>
            </w:pPr>
          </w:p>
        </w:tc>
        <w:tc>
          <w:tcPr>
            <w:tcW w:w="886" w:type="dxa"/>
            <w:vAlign w:val="center"/>
          </w:tcPr>
          <w:p w14:paraId="484C569D">
            <w:pPr>
              <w:widowControl w:val="0"/>
              <w:spacing w:line="360" w:lineRule="auto"/>
              <w:jc w:val="center"/>
              <w:textAlignment w:val="auto"/>
              <w:rPr>
                <w:sz w:val="24"/>
              </w:rPr>
            </w:pPr>
          </w:p>
        </w:tc>
        <w:tc>
          <w:tcPr>
            <w:tcW w:w="957" w:type="dxa"/>
            <w:vAlign w:val="center"/>
          </w:tcPr>
          <w:p w14:paraId="3958ECCC">
            <w:pPr>
              <w:widowControl w:val="0"/>
              <w:spacing w:line="360" w:lineRule="auto"/>
              <w:jc w:val="center"/>
              <w:textAlignment w:val="auto"/>
              <w:rPr>
                <w:sz w:val="24"/>
              </w:rPr>
            </w:pPr>
          </w:p>
        </w:tc>
        <w:tc>
          <w:tcPr>
            <w:tcW w:w="911" w:type="dxa"/>
            <w:vAlign w:val="center"/>
          </w:tcPr>
          <w:p w14:paraId="68C8B488">
            <w:pPr>
              <w:widowControl w:val="0"/>
              <w:spacing w:line="360" w:lineRule="auto"/>
              <w:jc w:val="center"/>
              <w:textAlignment w:val="auto"/>
              <w:rPr>
                <w:sz w:val="24"/>
              </w:rPr>
            </w:pPr>
          </w:p>
        </w:tc>
        <w:tc>
          <w:tcPr>
            <w:tcW w:w="1358" w:type="dxa"/>
            <w:vAlign w:val="center"/>
          </w:tcPr>
          <w:p w14:paraId="3CFFB54F">
            <w:pPr>
              <w:widowControl w:val="0"/>
              <w:spacing w:line="360" w:lineRule="auto"/>
              <w:jc w:val="center"/>
              <w:textAlignment w:val="auto"/>
              <w:rPr>
                <w:sz w:val="24"/>
              </w:rPr>
            </w:pPr>
          </w:p>
        </w:tc>
      </w:tr>
      <w:tr w14:paraId="0E911FF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536" w:hRule="atLeast"/>
          <w:jc w:val="center"/>
        </w:trPr>
        <w:tc>
          <w:tcPr>
            <w:tcW w:w="499" w:type="dxa"/>
            <w:vAlign w:val="center"/>
          </w:tcPr>
          <w:p w14:paraId="2DB6ECAB">
            <w:pPr>
              <w:widowControl w:val="0"/>
              <w:spacing w:line="360" w:lineRule="auto"/>
              <w:jc w:val="center"/>
              <w:textAlignment w:val="auto"/>
              <w:rPr>
                <w:sz w:val="24"/>
              </w:rPr>
            </w:pPr>
          </w:p>
        </w:tc>
        <w:tc>
          <w:tcPr>
            <w:tcW w:w="1137" w:type="dxa"/>
            <w:vAlign w:val="center"/>
          </w:tcPr>
          <w:p w14:paraId="6DA575C3">
            <w:pPr>
              <w:widowControl w:val="0"/>
              <w:spacing w:line="360" w:lineRule="auto"/>
              <w:jc w:val="center"/>
              <w:textAlignment w:val="auto"/>
              <w:rPr>
                <w:sz w:val="24"/>
              </w:rPr>
            </w:pPr>
          </w:p>
        </w:tc>
        <w:tc>
          <w:tcPr>
            <w:tcW w:w="1326" w:type="dxa"/>
            <w:vAlign w:val="center"/>
          </w:tcPr>
          <w:p w14:paraId="41AAAA0A">
            <w:pPr>
              <w:widowControl w:val="0"/>
              <w:spacing w:line="360" w:lineRule="auto"/>
              <w:jc w:val="center"/>
              <w:textAlignment w:val="auto"/>
              <w:rPr>
                <w:sz w:val="24"/>
              </w:rPr>
            </w:pPr>
          </w:p>
        </w:tc>
        <w:tc>
          <w:tcPr>
            <w:tcW w:w="1138" w:type="dxa"/>
            <w:vAlign w:val="center"/>
          </w:tcPr>
          <w:p w14:paraId="0DB27EA7">
            <w:pPr>
              <w:widowControl w:val="0"/>
              <w:spacing w:line="360" w:lineRule="auto"/>
              <w:jc w:val="center"/>
              <w:textAlignment w:val="auto"/>
              <w:rPr>
                <w:sz w:val="24"/>
              </w:rPr>
            </w:pPr>
          </w:p>
        </w:tc>
        <w:tc>
          <w:tcPr>
            <w:tcW w:w="575" w:type="dxa"/>
            <w:vAlign w:val="center"/>
          </w:tcPr>
          <w:p w14:paraId="7BCD5D42">
            <w:pPr>
              <w:widowControl w:val="0"/>
              <w:spacing w:line="360" w:lineRule="auto"/>
              <w:jc w:val="center"/>
              <w:textAlignment w:val="auto"/>
              <w:rPr>
                <w:sz w:val="24"/>
              </w:rPr>
            </w:pPr>
          </w:p>
        </w:tc>
        <w:tc>
          <w:tcPr>
            <w:tcW w:w="886" w:type="dxa"/>
            <w:vAlign w:val="center"/>
          </w:tcPr>
          <w:p w14:paraId="12CFDDA2">
            <w:pPr>
              <w:widowControl w:val="0"/>
              <w:spacing w:line="360" w:lineRule="auto"/>
              <w:jc w:val="center"/>
              <w:textAlignment w:val="auto"/>
              <w:rPr>
                <w:sz w:val="24"/>
              </w:rPr>
            </w:pPr>
          </w:p>
        </w:tc>
        <w:tc>
          <w:tcPr>
            <w:tcW w:w="957" w:type="dxa"/>
            <w:vAlign w:val="center"/>
          </w:tcPr>
          <w:p w14:paraId="7E8420F4">
            <w:pPr>
              <w:widowControl w:val="0"/>
              <w:spacing w:line="360" w:lineRule="auto"/>
              <w:jc w:val="center"/>
              <w:textAlignment w:val="auto"/>
              <w:rPr>
                <w:sz w:val="24"/>
              </w:rPr>
            </w:pPr>
          </w:p>
        </w:tc>
        <w:tc>
          <w:tcPr>
            <w:tcW w:w="911" w:type="dxa"/>
            <w:vAlign w:val="center"/>
          </w:tcPr>
          <w:p w14:paraId="7F29CF65">
            <w:pPr>
              <w:widowControl w:val="0"/>
              <w:spacing w:line="360" w:lineRule="auto"/>
              <w:jc w:val="center"/>
              <w:textAlignment w:val="auto"/>
              <w:rPr>
                <w:sz w:val="24"/>
              </w:rPr>
            </w:pPr>
          </w:p>
        </w:tc>
        <w:tc>
          <w:tcPr>
            <w:tcW w:w="1358" w:type="dxa"/>
            <w:vAlign w:val="center"/>
          </w:tcPr>
          <w:p w14:paraId="5FD8671A">
            <w:pPr>
              <w:widowControl w:val="0"/>
              <w:spacing w:line="360" w:lineRule="auto"/>
              <w:jc w:val="center"/>
              <w:textAlignment w:val="auto"/>
              <w:rPr>
                <w:sz w:val="24"/>
              </w:rPr>
            </w:pPr>
          </w:p>
        </w:tc>
      </w:tr>
      <w:tr w14:paraId="4FDB6EE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536" w:hRule="atLeast"/>
          <w:jc w:val="center"/>
        </w:trPr>
        <w:tc>
          <w:tcPr>
            <w:tcW w:w="499" w:type="dxa"/>
            <w:vAlign w:val="center"/>
          </w:tcPr>
          <w:p w14:paraId="186EF21A">
            <w:pPr>
              <w:widowControl w:val="0"/>
              <w:spacing w:line="360" w:lineRule="auto"/>
              <w:jc w:val="center"/>
              <w:textAlignment w:val="auto"/>
              <w:rPr>
                <w:sz w:val="24"/>
              </w:rPr>
            </w:pPr>
          </w:p>
        </w:tc>
        <w:tc>
          <w:tcPr>
            <w:tcW w:w="1137" w:type="dxa"/>
            <w:vAlign w:val="center"/>
          </w:tcPr>
          <w:p w14:paraId="1589335B">
            <w:pPr>
              <w:widowControl w:val="0"/>
              <w:spacing w:line="360" w:lineRule="auto"/>
              <w:jc w:val="center"/>
              <w:textAlignment w:val="auto"/>
              <w:rPr>
                <w:sz w:val="24"/>
              </w:rPr>
            </w:pPr>
          </w:p>
        </w:tc>
        <w:tc>
          <w:tcPr>
            <w:tcW w:w="1326" w:type="dxa"/>
            <w:vAlign w:val="center"/>
          </w:tcPr>
          <w:p w14:paraId="16FE880B">
            <w:pPr>
              <w:widowControl w:val="0"/>
              <w:spacing w:line="360" w:lineRule="auto"/>
              <w:jc w:val="center"/>
              <w:textAlignment w:val="auto"/>
              <w:rPr>
                <w:sz w:val="24"/>
              </w:rPr>
            </w:pPr>
          </w:p>
        </w:tc>
        <w:tc>
          <w:tcPr>
            <w:tcW w:w="1138" w:type="dxa"/>
            <w:vAlign w:val="center"/>
          </w:tcPr>
          <w:p w14:paraId="35B24A9A">
            <w:pPr>
              <w:widowControl w:val="0"/>
              <w:spacing w:line="360" w:lineRule="auto"/>
              <w:jc w:val="center"/>
              <w:textAlignment w:val="auto"/>
              <w:rPr>
                <w:sz w:val="24"/>
              </w:rPr>
            </w:pPr>
          </w:p>
        </w:tc>
        <w:tc>
          <w:tcPr>
            <w:tcW w:w="575" w:type="dxa"/>
            <w:vAlign w:val="center"/>
          </w:tcPr>
          <w:p w14:paraId="20BD76A4">
            <w:pPr>
              <w:widowControl w:val="0"/>
              <w:spacing w:line="360" w:lineRule="auto"/>
              <w:jc w:val="center"/>
              <w:textAlignment w:val="auto"/>
              <w:rPr>
                <w:sz w:val="24"/>
              </w:rPr>
            </w:pPr>
          </w:p>
        </w:tc>
        <w:tc>
          <w:tcPr>
            <w:tcW w:w="886" w:type="dxa"/>
            <w:vAlign w:val="center"/>
          </w:tcPr>
          <w:p w14:paraId="7EC988C2">
            <w:pPr>
              <w:widowControl w:val="0"/>
              <w:spacing w:line="360" w:lineRule="auto"/>
              <w:jc w:val="center"/>
              <w:textAlignment w:val="auto"/>
              <w:rPr>
                <w:sz w:val="24"/>
              </w:rPr>
            </w:pPr>
          </w:p>
        </w:tc>
        <w:tc>
          <w:tcPr>
            <w:tcW w:w="957" w:type="dxa"/>
            <w:vAlign w:val="center"/>
          </w:tcPr>
          <w:p w14:paraId="6EC82F65">
            <w:pPr>
              <w:widowControl w:val="0"/>
              <w:spacing w:line="360" w:lineRule="auto"/>
              <w:jc w:val="center"/>
              <w:textAlignment w:val="auto"/>
              <w:rPr>
                <w:sz w:val="24"/>
              </w:rPr>
            </w:pPr>
          </w:p>
        </w:tc>
        <w:tc>
          <w:tcPr>
            <w:tcW w:w="911" w:type="dxa"/>
            <w:vAlign w:val="center"/>
          </w:tcPr>
          <w:p w14:paraId="0D4518C5">
            <w:pPr>
              <w:widowControl w:val="0"/>
              <w:spacing w:line="360" w:lineRule="auto"/>
              <w:jc w:val="center"/>
              <w:textAlignment w:val="auto"/>
              <w:rPr>
                <w:sz w:val="24"/>
              </w:rPr>
            </w:pPr>
          </w:p>
        </w:tc>
        <w:tc>
          <w:tcPr>
            <w:tcW w:w="1358" w:type="dxa"/>
            <w:vAlign w:val="center"/>
          </w:tcPr>
          <w:p w14:paraId="42096ED4">
            <w:pPr>
              <w:widowControl w:val="0"/>
              <w:spacing w:line="360" w:lineRule="auto"/>
              <w:jc w:val="center"/>
              <w:textAlignment w:val="auto"/>
              <w:rPr>
                <w:sz w:val="24"/>
              </w:rPr>
            </w:pPr>
          </w:p>
        </w:tc>
      </w:tr>
      <w:tr w14:paraId="5E34661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536" w:hRule="atLeast"/>
          <w:jc w:val="center"/>
        </w:trPr>
        <w:tc>
          <w:tcPr>
            <w:tcW w:w="499" w:type="dxa"/>
            <w:vAlign w:val="center"/>
          </w:tcPr>
          <w:p w14:paraId="4A90CC40">
            <w:pPr>
              <w:widowControl w:val="0"/>
              <w:spacing w:line="360" w:lineRule="auto"/>
              <w:jc w:val="center"/>
              <w:textAlignment w:val="auto"/>
              <w:rPr>
                <w:sz w:val="24"/>
              </w:rPr>
            </w:pPr>
          </w:p>
        </w:tc>
        <w:tc>
          <w:tcPr>
            <w:tcW w:w="1137" w:type="dxa"/>
            <w:vAlign w:val="center"/>
          </w:tcPr>
          <w:p w14:paraId="77A8681F">
            <w:pPr>
              <w:widowControl w:val="0"/>
              <w:spacing w:line="360" w:lineRule="auto"/>
              <w:jc w:val="center"/>
              <w:textAlignment w:val="auto"/>
              <w:rPr>
                <w:sz w:val="24"/>
              </w:rPr>
            </w:pPr>
          </w:p>
        </w:tc>
        <w:tc>
          <w:tcPr>
            <w:tcW w:w="1326" w:type="dxa"/>
            <w:vAlign w:val="center"/>
          </w:tcPr>
          <w:p w14:paraId="155F6612">
            <w:pPr>
              <w:widowControl w:val="0"/>
              <w:spacing w:line="360" w:lineRule="auto"/>
              <w:jc w:val="center"/>
              <w:textAlignment w:val="auto"/>
              <w:rPr>
                <w:sz w:val="24"/>
              </w:rPr>
            </w:pPr>
          </w:p>
        </w:tc>
        <w:tc>
          <w:tcPr>
            <w:tcW w:w="1138" w:type="dxa"/>
            <w:vAlign w:val="center"/>
          </w:tcPr>
          <w:p w14:paraId="014F05E1">
            <w:pPr>
              <w:widowControl w:val="0"/>
              <w:spacing w:line="360" w:lineRule="auto"/>
              <w:jc w:val="center"/>
              <w:textAlignment w:val="auto"/>
              <w:rPr>
                <w:sz w:val="24"/>
              </w:rPr>
            </w:pPr>
          </w:p>
        </w:tc>
        <w:tc>
          <w:tcPr>
            <w:tcW w:w="575" w:type="dxa"/>
            <w:vAlign w:val="center"/>
          </w:tcPr>
          <w:p w14:paraId="01427CBD">
            <w:pPr>
              <w:widowControl w:val="0"/>
              <w:spacing w:line="360" w:lineRule="auto"/>
              <w:jc w:val="center"/>
              <w:textAlignment w:val="auto"/>
              <w:rPr>
                <w:sz w:val="24"/>
              </w:rPr>
            </w:pPr>
          </w:p>
        </w:tc>
        <w:tc>
          <w:tcPr>
            <w:tcW w:w="886" w:type="dxa"/>
            <w:vAlign w:val="center"/>
          </w:tcPr>
          <w:p w14:paraId="01D1B43F">
            <w:pPr>
              <w:widowControl w:val="0"/>
              <w:spacing w:line="360" w:lineRule="auto"/>
              <w:jc w:val="center"/>
              <w:textAlignment w:val="auto"/>
              <w:rPr>
                <w:sz w:val="24"/>
              </w:rPr>
            </w:pPr>
          </w:p>
        </w:tc>
        <w:tc>
          <w:tcPr>
            <w:tcW w:w="957" w:type="dxa"/>
            <w:vAlign w:val="center"/>
          </w:tcPr>
          <w:p w14:paraId="78EB148F">
            <w:pPr>
              <w:widowControl w:val="0"/>
              <w:spacing w:line="360" w:lineRule="auto"/>
              <w:jc w:val="center"/>
              <w:textAlignment w:val="auto"/>
              <w:rPr>
                <w:sz w:val="24"/>
              </w:rPr>
            </w:pPr>
          </w:p>
        </w:tc>
        <w:tc>
          <w:tcPr>
            <w:tcW w:w="911" w:type="dxa"/>
            <w:vAlign w:val="center"/>
          </w:tcPr>
          <w:p w14:paraId="69189AAF">
            <w:pPr>
              <w:widowControl w:val="0"/>
              <w:spacing w:line="360" w:lineRule="auto"/>
              <w:jc w:val="center"/>
              <w:textAlignment w:val="auto"/>
              <w:rPr>
                <w:sz w:val="24"/>
              </w:rPr>
            </w:pPr>
          </w:p>
        </w:tc>
        <w:tc>
          <w:tcPr>
            <w:tcW w:w="1358" w:type="dxa"/>
            <w:vAlign w:val="center"/>
          </w:tcPr>
          <w:p w14:paraId="2155A155">
            <w:pPr>
              <w:widowControl w:val="0"/>
              <w:spacing w:line="360" w:lineRule="auto"/>
              <w:jc w:val="center"/>
              <w:textAlignment w:val="auto"/>
              <w:rPr>
                <w:sz w:val="24"/>
              </w:rPr>
            </w:pPr>
          </w:p>
        </w:tc>
      </w:tr>
      <w:tr w14:paraId="5565B1E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536" w:hRule="atLeast"/>
          <w:jc w:val="center"/>
        </w:trPr>
        <w:tc>
          <w:tcPr>
            <w:tcW w:w="499" w:type="dxa"/>
            <w:vAlign w:val="center"/>
          </w:tcPr>
          <w:p w14:paraId="6CC3CC34">
            <w:pPr>
              <w:widowControl w:val="0"/>
              <w:spacing w:line="360" w:lineRule="auto"/>
              <w:jc w:val="center"/>
              <w:textAlignment w:val="auto"/>
              <w:rPr>
                <w:sz w:val="24"/>
              </w:rPr>
            </w:pPr>
          </w:p>
        </w:tc>
        <w:tc>
          <w:tcPr>
            <w:tcW w:w="1137" w:type="dxa"/>
            <w:vAlign w:val="center"/>
          </w:tcPr>
          <w:p w14:paraId="1CFC2EEF">
            <w:pPr>
              <w:widowControl w:val="0"/>
              <w:spacing w:line="360" w:lineRule="auto"/>
              <w:jc w:val="center"/>
              <w:textAlignment w:val="auto"/>
              <w:rPr>
                <w:sz w:val="24"/>
              </w:rPr>
            </w:pPr>
          </w:p>
        </w:tc>
        <w:tc>
          <w:tcPr>
            <w:tcW w:w="1326" w:type="dxa"/>
            <w:vAlign w:val="center"/>
          </w:tcPr>
          <w:p w14:paraId="47A52219">
            <w:pPr>
              <w:widowControl w:val="0"/>
              <w:spacing w:line="360" w:lineRule="auto"/>
              <w:jc w:val="center"/>
              <w:textAlignment w:val="auto"/>
              <w:rPr>
                <w:sz w:val="24"/>
              </w:rPr>
            </w:pPr>
          </w:p>
        </w:tc>
        <w:tc>
          <w:tcPr>
            <w:tcW w:w="1138" w:type="dxa"/>
            <w:vAlign w:val="center"/>
          </w:tcPr>
          <w:p w14:paraId="2F414322">
            <w:pPr>
              <w:widowControl w:val="0"/>
              <w:spacing w:line="360" w:lineRule="auto"/>
              <w:jc w:val="center"/>
              <w:textAlignment w:val="auto"/>
              <w:rPr>
                <w:sz w:val="24"/>
              </w:rPr>
            </w:pPr>
          </w:p>
        </w:tc>
        <w:tc>
          <w:tcPr>
            <w:tcW w:w="575" w:type="dxa"/>
            <w:vAlign w:val="center"/>
          </w:tcPr>
          <w:p w14:paraId="3161BC31">
            <w:pPr>
              <w:widowControl w:val="0"/>
              <w:spacing w:line="360" w:lineRule="auto"/>
              <w:jc w:val="center"/>
              <w:textAlignment w:val="auto"/>
              <w:rPr>
                <w:sz w:val="24"/>
              </w:rPr>
            </w:pPr>
          </w:p>
        </w:tc>
        <w:tc>
          <w:tcPr>
            <w:tcW w:w="886" w:type="dxa"/>
            <w:vAlign w:val="center"/>
          </w:tcPr>
          <w:p w14:paraId="482F8567">
            <w:pPr>
              <w:widowControl w:val="0"/>
              <w:spacing w:line="360" w:lineRule="auto"/>
              <w:jc w:val="center"/>
              <w:textAlignment w:val="auto"/>
              <w:rPr>
                <w:sz w:val="24"/>
              </w:rPr>
            </w:pPr>
          </w:p>
        </w:tc>
        <w:tc>
          <w:tcPr>
            <w:tcW w:w="957" w:type="dxa"/>
            <w:vAlign w:val="center"/>
          </w:tcPr>
          <w:p w14:paraId="5B3063CF">
            <w:pPr>
              <w:widowControl w:val="0"/>
              <w:spacing w:line="360" w:lineRule="auto"/>
              <w:jc w:val="center"/>
              <w:textAlignment w:val="auto"/>
              <w:rPr>
                <w:sz w:val="24"/>
              </w:rPr>
            </w:pPr>
          </w:p>
        </w:tc>
        <w:tc>
          <w:tcPr>
            <w:tcW w:w="911" w:type="dxa"/>
            <w:vAlign w:val="center"/>
          </w:tcPr>
          <w:p w14:paraId="362643BE">
            <w:pPr>
              <w:widowControl w:val="0"/>
              <w:spacing w:line="360" w:lineRule="auto"/>
              <w:jc w:val="center"/>
              <w:textAlignment w:val="auto"/>
              <w:rPr>
                <w:sz w:val="24"/>
              </w:rPr>
            </w:pPr>
          </w:p>
        </w:tc>
        <w:tc>
          <w:tcPr>
            <w:tcW w:w="1358" w:type="dxa"/>
            <w:vAlign w:val="center"/>
          </w:tcPr>
          <w:p w14:paraId="6A3AF93D">
            <w:pPr>
              <w:widowControl w:val="0"/>
              <w:spacing w:line="360" w:lineRule="auto"/>
              <w:jc w:val="center"/>
              <w:textAlignment w:val="auto"/>
              <w:rPr>
                <w:sz w:val="24"/>
              </w:rPr>
            </w:pPr>
          </w:p>
        </w:tc>
      </w:tr>
      <w:tr w14:paraId="4CAF317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536" w:hRule="atLeast"/>
          <w:jc w:val="center"/>
        </w:trPr>
        <w:tc>
          <w:tcPr>
            <w:tcW w:w="499" w:type="dxa"/>
            <w:vAlign w:val="center"/>
          </w:tcPr>
          <w:p w14:paraId="35AF472C">
            <w:pPr>
              <w:widowControl w:val="0"/>
              <w:spacing w:line="360" w:lineRule="auto"/>
              <w:jc w:val="center"/>
              <w:textAlignment w:val="auto"/>
              <w:rPr>
                <w:sz w:val="24"/>
              </w:rPr>
            </w:pPr>
          </w:p>
        </w:tc>
        <w:tc>
          <w:tcPr>
            <w:tcW w:w="1137" w:type="dxa"/>
            <w:vAlign w:val="center"/>
          </w:tcPr>
          <w:p w14:paraId="6291B51E">
            <w:pPr>
              <w:widowControl w:val="0"/>
              <w:spacing w:line="360" w:lineRule="auto"/>
              <w:jc w:val="center"/>
              <w:textAlignment w:val="auto"/>
              <w:rPr>
                <w:sz w:val="24"/>
              </w:rPr>
            </w:pPr>
          </w:p>
        </w:tc>
        <w:tc>
          <w:tcPr>
            <w:tcW w:w="1326" w:type="dxa"/>
            <w:vAlign w:val="center"/>
          </w:tcPr>
          <w:p w14:paraId="6558140C">
            <w:pPr>
              <w:widowControl w:val="0"/>
              <w:spacing w:line="360" w:lineRule="auto"/>
              <w:jc w:val="center"/>
              <w:textAlignment w:val="auto"/>
              <w:rPr>
                <w:sz w:val="24"/>
              </w:rPr>
            </w:pPr>
          </w:p>
        </w:tc>
        <w:tc>
          <w:tcPr>
            <w:tcW w:w="1138" w:type="dxa"/>
            <w:vAlign w:val="center"/>
          </w:tcPr>
          <w:p w14:paraId="23052405">
            <w:pPr>
              <w:widowControl w:val="0"/>
              <w:spacing w:line="360" w:lineRule="auto"/>
              <w:jc w:val="center"/>
              <w:textAlignment w:val="auto"/>
              <w:rPr>
                <w:sz w:val="24"/>
              </w:rPr>
            </w:pPr>
          </w:p>
        </w:tc>
        <w:tc>
          <w:tcPr>
            <w:tcW w:w="575" w:type="dxa"/>
            <w:vAlign w:val="center"/>
          </w:tcPr>
          <w:p w14:paraId="4D9B88FE">
            <w:pPr>
              <w:widowControl w:val="0"/>
              <w:spacing w:line="360" w:lineRule="auto"/>
              <w:jc w:val="center"/>
              <w:textAlignment w:val="auto"/>
              <w:rPr>
                <w:sz w:val="24"/>
              </w:rPr>
            </w:pPr>
          </w:p>
        </w:tc>
        <w:tc>
          <w:tcPr>
            <w:tcW w:w="886" w:type="dxa"/>
            <w:vAlign w:val="center"/>
          </w:tcPr>
          <w:p w14:paraId="5E83EF7D">
            <w:pPr>
              <w:widowControl w:val="0"/>
              <w:spacing w:line="360" w:lineRule="auto"/>
              <w:jc w:val="center"/>
              <w:textAlignment w:val="auto"/>
              <w:rPr>
                <w:sz w:val="24"/>
              </w:rPr>
            </w:pPr>
          </w:p>
        </w:tc>
        <w:tc>
          <w:tcPr>
            <w:tcW w:w="957" w:type="dxa"/>
            <w:vAlign w:val="center"/>
          </w:tcPr>
          <w:p w14:paraId="0443B95E">
            <w:pPr>
              <w:widowControl w:val="0"/>
              <w:spacing w:line="360" w:lineRule="auto"/>
              <w:jc w:val="center"/>
              <w:textAlignment w:val="auto"/>
              <w:rPr>
                <w:sz w:val="24"/>
              </w:rPr>
            </w:pPr>
          </w:p>
        </w:tc>
        <w:tc>
          <w:tcPr>
            <w:tcW w:w="911" w:type="dxa"/>
            <w:vAlign w:val="center"/>
          </w:tcPr>
          <w:p w14:paraId="0E45A5A3">
            <w:pPr>
              <w:widowControl w:val="0"/>
              <w:spacing w:line="360" w:lineRule="auto"/>
              <w:jc w:val="center"/>
              <w:textAlignment w:val="auto"/>
              <w:rPr>
                <w:sz w:val="24"/>
              </w:rPr>
            </w:pPr>
          </w:p>
        </w:tc>
        <w:tc>
          <w:tcPr>
            <w:tcW w:w="1358" w:type="dxa"/>
            <w:vAlign w:val="center"/>
          </w:tcPr>
          <w:p w14:paraId="34F866E5">
            <w:pPr>
              <w:widowControl w:val="0"/>
              <w:spacing w:line="360" w:lineRule="auto"/>
              <w:jc w:val="center"/>
              <w:textAlignment w:val="auto"/>
              <w:rPr>
                <w:sz w:val="24"/>
              </w:rPr>
            </w:pPr>
          </w:p>
        </w:tc>
      </w:tr>
      <w:tr w14:paraId="0F17487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536" w:hRule="atLeast"/>
          <w:jc w:val="center"/>
        </w:trPr>
        <w:tc>
          <w:tcPr>
            <w:tcW w:w="499" w:type="dxa"/>
            <w:vAlign w:val="center"/>
          </w:tcPr>
          <w:p w14:paraId="290D71A1">
            <w:pPr>
              <w:widowControl w:val="0"/>
              <w:spacing w:line="360" w:lineRule="auto"/>
              <w:jc w:val="center"/>
              <w:textAlignment w:val="auto"/>
              <w:rPr>
                <w:sz w:val="24"/>
              </w:rPr>
            </w:pPr>
          </w:p>
        </w:tc>
        <w:tc>
          <w:tcPr>
            <w:tcW w:w="1137" w:type="dxa"/>
            <w:vAlign w:val="center"/>
          </w:tcPr>
          <w:p w14:paraId="4695715C">
            <w:pPr>
              <w:widowControl w:val="0"/>
              <w:spacing w:line="360" w:lineRule="auto"/>
              <w:jc w:val="center"/>
              <w:textAlignment w:val="auto"/>
              <w:rPr>
                <w:sz w:val="24"/>
              </w:rPr>
            </w:pPr>
          </w:p>
        </w:tc>
        <w:tc>
          <w:tcPr>
            <w:tcW w:w="1326" w:type="dxa"/>
            <w:vAlign w:val="center"/>
          </w:tcPr>
          <w:p w14:paraId="2721AC75">
            <w:pPr>
              <w:widowControl w:val="0"/>
              <w:spacing w:line="360" w:lineRule="auto"/>
              <w:jc w:val="center"/>
              <w:textAlignment w:val="auto"/>
              <w:rPr>
                <w:sz w:val="24"/>
              </w:rPr>
            </w:pPr>
          </w:p>
        </w:tc>
        <w:tc>
          <w:tcPr>
            <w:tcW w:w="1138" w:type="dxa"/>
            <w:vAlign w:val="center"/>
          </w:tcPr>
          <w:p w14:paraId="107E090F">
            <w:pPr>
              <w:widowControl w:val="0"/>
              <w:spacing w:line="360" w:lineRule="auto"/>
              <w:jc w:val="center"/>
              <w:textAlignment w:val="auto"/>
              <w:rPr>
                <w:sz w:val="24"/>
              </w:rPr>
            </w:pPr>
          </w:p>
        </w:tc>
        <w:tc>
          <w:tcPr>
            <w:tcW w:w="575" w:type="dxa"/>
            <w:vAlign w:val="center"/>
          </w:tcPr>
          <w:p w14:paraId="2D0CADAC">
            <w:pPr>
              <w:widowControl w:val="0"/>
              <w:spacing w:line="360" w:lineRule="auto"/>
              <w:jc w:val="center"/>
              <w:textAlignment w:val="auto"/>
              <w:rPr>
                <w:sz w:val="24"/>
              </w:rPr>
            </w:pPr>
          </w:p>
        </w:tc>
        <w:tc>
          <w:tcPr>
            <w:tcW w:w="886" w:type="dxa"/>
            <w:vAlign w:val="center"/>
          </w:tcPr>
          <w:p w14:paraId="236C2D27">
            <w:pPr>
              <w:widowControl w:val="0"/>
              <w:spacing w:line="360" w:lineRule="auto"/>
              <w:jc w:val="center"/>
              <w:textAlignment w:val="auto"/>
              <w:rPr>
                <w:sz w:val="24"/>
              </w:rPr>
            </w:pPr>
          </w:p>
        </w:tc>
        <w:tc>
          <w:tcPr>
            <w:tcW w:w="957" w:type="dxa"/>
            <w:vAlign w:val="center"/>
          </w:tcPr>
          <w:p w14:paraId="4CEC8398">
            <w:pPr>
              <w:widowControl w:val="0"/>
              <w:spacing w:line="360" w:lineRule="auto"/>
              <w:jc w:val="center"/>
              <w:textAlignment w:val="auto"/>
              <w:rPr>
                <w:sz w:val="24"/>
              </w:rPr>
            </w:pPr>
          </w:p>
        </w:tc>
        <w:tc>
          <w:tcPr>
            <w:tcW w:w="911" w:type="dxa"/>
            <w:vAlign w:val="center"/>
          </w:tcPr>
          <w:p w14:paraId="541F26CA">
            <w:pPr>
              <w:widowControl w:val="0"/>
              <w:spacing w:line="360" w:lineRule="auto"/>
              <w:jc w:val="center"/>
              <w:textAlignment w:val="auto"/>
              <w:rPr>
                <w:sz w:val="24"/>
              </w:rPr>
            </w:pPr>
          </w:p>
        </w:tc>
        <w:tc>
          <w:tcPr>
            <w:tcW w:w="1358" w:type="dxa"/>
            <w:vAlign w:val="center"/>
          </w:tcPr>
          <w:p w14:paraId="335E0FD1">
            <w:pPr>
              <w:widowControl w:val="0"/>
              <w:spacing w:line="360" w:lineRule="auto"/>
              <w:jc w:val="center"/>
              <w:textAlignment w:val="auto"/>
              <w:rPr>
                <w:sz w:val="24"/>
              </w:rPr>
            </w:pPr>
          </w:p>
        </w:tc>
      </w:tr>
      <w:tr w14:paraId="1158CFB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566" w:hRule="atLeast"/>
          <w:jc w:val="center"/>
        </w:trPr>
        <w:tc>
          <w:tcPr>
            <w:tcW w:w="6518" w:type="dxa"/>
            <w:gridSpan w:val="7"/>
            <w:vAlign w:val="center"/>
          </w:tcPr>
          <w:p w14:paraId="40C39F32">
            <w:pPr>
              <w:widowControl w:val="0"/>
              <w:spacing w:line="360" w:lineRule="auto"/>
              <w:jc w:val="center"/>
              <w:textAlignment w:val="auto"/>
              <w:rPr>
                <w:sz w:val="24"/>
              </w:rPr>
            </w:pPr>
            <w:r>
              <w:rPr>
                <w:rFonts w:hint="eastAsia"/>
                <w:sz w:val="24"/>
              </w:rPr>
              <w:t>本</w:t>
            </w:r>
            <w:r>
              <w:rPr>
                <w:sz w:val="24"/>
              </w:rPr>
              <w:t xml:space="preserve"> </w:t>
            </w:r>
            <w:r>
              <w:rPr>
                <w:rFonts w:hint="eastAsia"/>
                <w:sz w:val="24"/>
              </w:rPr>
              <w:t>页</w:t>
            </w:r>
            <w:r>
              <w:rPr>
                <w:sz w:val="24"/>
              </w:rPr>
              <w:t xml:space="preserve"> </w:t>
            </w:r>
            <w:r>
              <w:rPr>
                <w:rFonts w:hint="eastAsia"/>
                <w:sz w:val="24"/>
              </w:rPr>
              <w:t>小</w:t>
            </w:r>
            <w:r>
              <w:rPr>
                <w:sz w:val="24"/>
              </w:rPr>
              <w:t xml:space="preserve"> </w:t>
            </w:r>
            <w:r>
              <w:rPr>
                <w:rFonts w:hint="eastAsia"/>
                <w:sz w:val="24"/>
              </w:rPr>
              <w:t>计</w:t>
            </w:r>
          </w:p>
        </w:tc>
        <w:tc>
          <w:tcPr>
            <w:tcW w:w="911" w:type="dxa"/>
            <w:vAlign w:val="center"/>
          </w:tcPr>
          <w:p w14:paraId="28D8A883">
            <w:pPr>
              <w:widowControl w:val="0"/>
              <w:spacing w:line="360" w:lineRule="auto"/>
              <w:jc w:val="center"/>
              <w:textAlignment w:val="auto"/>
              <w:rPr>
                <w:sz w:val="24"/>
              </w:rPr>
            </w:pPr>
          </w:p>
        </w:tc>
        <w:tc>
          <w:tcPr>
            <w:tcW w:w="1358" w:type="dxa"/>
            <w:vAlign w:val="center"/>
          </w:tcPr>
          <w:p w14:paraId="36C36C8F">
            <w:pPr>
              <w:widowControl w:val="0"/>
              <w:spacing w:line="360" w:lineRule="auto"/>
              <w:jc w:val="center"/>
              <w:textAlignment w:val="auto"/>
              <w:rPr>
                <w:sz w:val="24"/>
              </w:rPr>
            </w:pPr>
          </w:p>
        </w:tc>
      </w:tr>
      <w:tr w14:paraId="7A6C8DC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566" w:hRule="atLeast"/>
          <w:jc w:val="center"/>
        </w:trPr>
        <w:tc>
          <w:tcPr>
            <w:tcW w:w="6518" w:type="dxa"/>
            <w:gridSpan w:val="7"/>
            <w:tcBorders>
              <w:bottom w:val="single" w:color="auto" w:sz="8" w:space="0"/>
            </w:tcBorders>
            <w:vAlign w:val="center"/>
          </w:tcPr>
          <w:p w14:paraId="77FA434D">
            <w:pPr>
              <w:widowControl w:val="0"/>
              <w:spacing w:line="360" w:lineRule="auto"/>
              <w:jc w:val="center"/>
              <w:textAlignment w:val="auto"/>
              <w:rPr>
                <w:sz w:val="24"/>
              </w:rPr>
            </w:pPr>
            <w:r>
              <w:rPr>
                <w:rFonts w:hint="eastAsia"/>
                <w:sz w:val="24"/>
              </w:rPr>
              <w:t>合</w:t>
            </w:r>
            <w:r>
              <w:rPr>
                <w:sz w:val="24"/>
              </w:rPr>
              <w:t xml:space="preserve">    </w:t>
            </w:r>
            <w:r>
              <w:rPr>
                <w:rFonts w:hint="eastAsia"/>
                <w:sz w:val="24"/>
              </w:rPr>
              <w:t>计</w:t>
            </w:r>
          </w:p>
        </w:tc>
        <w:tc>
          <w:tcPr>
            <w:tcW w:w="911" w:type="dxa"/>
            <w:tcBorders>
              <w:bottom w:val="single" w:color="auto" w:sz="8" w:space="0"/>
            </w:tcBorders>
            <w:vAlign w:val="center"/>
          </w:tcPr>
          <w:p w14:paraId="794AFA89">
            <w:pPr>
              <w:widowControl w:val="0"/>
              <w:spacing w:line="360" w:lineRule="auto"/>
              <w:jc w:val="center"/>
              <w:textAlignment w:val="auto"/>
              <w:rPr>
                <w:sz w:val="24"/>
              </w:rPr>
            </w:pPr>
          </w:p>
        </w:tc>
        <w:tc>
          <w:tcPr>
            <w:tcW w:w="1358" w:type="dxa"/>
            <w:tcBorders>
              <w:bottom w:val="single" w:color="auto" w:sz="8" w:space="0"/>
            </w:tcBorders>
            <w:vAlign w:val="center"/>
          </w:tcPr>
          <w:p w14:paraId="62B6F59C">
            <w:pPr>
              <w:widowControl w:val="0"/>
              <w:spacing w:line="360" w:lineRule="auto"/>
              <w:jc w:val="center"/>
              <w:textAlignment w:val="auto"/>
              <w:rPr>
                <w:sz w:val="24"/>
              </w:rPr>
            </w:pPr>
          </w:p>
        </w:tc>
      </w:tr>
    </w:tbl>
    <w:p w14:paraId="548240D1">
      <w:pPr>
        <w:widowControl w:val="0"/>
        <w:spacing w:line="20" w:lineRule="exact"/>
        <w:ind w:firstLine="480" w:firstLineChars="200"/>
        <w:textAlignment w:val="auto"/>
        <w:rPr>
          <w:sz w:val="24"/>
        </w:rPr>
      </w:pPr>
    </w:p>
    <w:p w14:paraId="5CF71DBC">
      <w:pPr>
        <w:widowControl w:val="0"/>
        <w:textAlignment w:val="auto"/>
        <w:rPr>
          <w:szCs w:val="21"/>
        </w:rPr>
      </w:pPr>
      <w:r>
        <w:rPr>
          <w:rFonts w:hint="eastAsia"/>
          <w:szCs w:val="21"/>
        </w:rPr>
        <w:t>注：为适用计价依据需要，可在表中增设其中：</w:t>
      </w:r>
      <w:r>
        <w:rPr>
          <w:szCs w:val="21"/>
        </w:rPr>
        <w:t>“</w:t>
      </w:r>
      <w:r>
        <w:rPr>
          <w:rFonts w:hint="eastAsia"/>
          <w:szCs w:val="21"/>
        </w:rPr>
        <w:t>定额人工费</w:t>
      </w:r>
      <w:r>
        <w:rPr>
          <w:szCs w:val="21"/>
        </w:rPr>
        <w:t>”</w:t>
      </w:r>
      <w:r>
        <w:rPr>
          <w:rFonts w:hint="eastAsia"/>
          <w:szCs w:val="21"/>
        </w:rPr>
        <w:t>。</w:t>
      </w:r>
    </w:p>
    <w:p w14:paraId="0F8E9DEB">
      <w:pPr>
        <w:widowControl w:val="0"/>
        <w:tabs>
          <w:tab w:val="left" w:pos="6135"/>
        </w:tabs>
        <w:jc w:val="right"/>
        <w:textAlignment w:val="auto"/>
        <w:rPr>
          <w:rFonts w:eastAsia="黑体"/>
          <w:sz w:val="32"/>
          <w:szCs w:val="32"/>
        </w:rPr>
      </w:pPr>
      <w:r>
        <w:rPr>
          <w:rFonts w:hint="eastAsia" w:eastAsia="黑体"/>
        </w:rPr>
        <w:t>表</w:t>
      </w:r>
      <w:r>
        <w:rPr>
          <w:rFonts w:eastAsia="黑体"/>
        </w:rPr>
        <w:t>-08</w:t>
      </w:r>
      <w:r>
        <w:rPr>
          <w:rFonts w:eastAsia="黑体"/>
          <w:sz w:val="32"/>
          <w:szCs w:val="32"/>
        </w:rPr>
        <w:t>.2</w:t>
      </w:r>
      <w:r>
        <w:rPr>
          <w:rFonts w:hint="eastAsia" w:eastAsia="黑体"/>
          <w:sz w:val="32"/>
          <w:szCs w:val="32"/>
        </w:rPr>
        <w:t>综合单价分析表</w:t>
      </w:r>
    </w:p>
    <w:p w14:paraId="730D541E">
      <w:pPr>
        <w:widowControl w:val="0"/>
        <w:tabs>
          <w:tab w:val="left" w:pos="12120"/>
        </w:tabs>
        <w:spacing w:line="360" w:lineRule="auto"/>
        <w:ind w:left="105" w:hanging="105" w:hangingChars="50"/>
        <w:textAlignment w:val="auto"/>
        <w:rPr>
          <w:szCs w:val="21"/>
        </w:rPr>
      </w:pPr>
      <w:r>
        <w:rPr>
          <w:rFonts w:hint="eastAsia"/>
          <w:szCs w:val="21"/>
        </w:rPr>
        <w:t>工程名称：</w:t>
      </w:r>
      <w:r>
        <w:rPr>
          <w:szCs w:val="21"/>
        </w:rPr>
        <w:t xml:space="preserve">                         </w:t>
      </w:r>
      <w:r>
        <w:rPr>
          <w:rFonts w:hint="eastAsia"/>
          <w:szCs w:val="21"/>
        </w:rPr>
        <w:t>标段：</w:t>
      </w:r>
      <w:r>
        <w:rPr>
          <w:szCs w:val="21"/>
        </w:rPr>
        <w:t xml:space="preserve">                      </w:t>
      </w:r>
      <w:r>
        <w:rPr>
          <w:rFonts w:hint="eastAsia"/>
          <w:szCs w:val="21"/>
        </w:rPr>
        <w:t>第</w:t>
      </w:r>
      <w:r>
        <w:rPr>
          <w:szCs w:val="21"/>
        </w:rPr>
        <w:t xml:space="preserve">   </w:t>
      </w:r>
      <w:r>
        <w:rPr>
          <w:rFonts w:hint="eastAsia"/>
          <w:szCs w:val="21"/>
        </w:rPr>
        <w:t>页</w:t>
      </w:r>
      <w:r>
        <w:rPr>
          <w:szCs w:val="21"/>
        </w:rPr>
        <w:t xml:space="preserve"> </w:t>
      </w:r>
      <w:r>
        <w:rPr>
          <w:rFonts w:hint="eastAsia"/>
          <w:szCs w:val="21"/>
        </w:rPr>
        <w:t>共</w:t>
      </w:r>
      <w:r>
        <w:rPr>
          <w:szCs w:val="21"/>
        </w:rPr>
        <w:t xml:space="preserve">    </w:t>
      </w:r>
      <w:r>
        <w:rPr>
          <w:rFonts w:hint="eastAsia"/>
          <w:szCs w:val="21"/>
        </w:rPr>
        <w:t>页</w:t>
      </w:r>
    </w:p>
    <w:tbl>
      <w:tblPr>
        <w:tblStyle w:val="4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7"/>
        <w:gridCol w:w="687"/>
        <w:gridCol w:w="687"/>
        <w:gridCol w:w="635"/>
        <w:gridCol w:w="739"/>
        <w:gridCol w:w="687"/>
        <w:gridCol w:w="688"/>
        <w:gridCol w:w="688"/>
        <w:gridCol w:w="756"/>
        <w:gridCol w:w="756"/>
        <w:gridCol w:w="756"/>
        <w:gridCol w:w="756"/>
      </w:tblGrid>
      <w:tr w14:paraId="1C44FA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trPr>
        <w:tc>
          <w:tcPr>
            <w:tcW w:w="1374" w:type="dxa"/>
            <w:gridSpan w:val="2"/>
            <w:vAlign w:val="center"/>
          </w:tcPr>
          <w:p w14:paraId="5185DA63">
            <w:pPr>
              <w:widowControl w:val="0"/>
              <w:spacing w:line="240" w:lineRule="atLeast"/>
              <w:jc w:val="center"/>
              <w:textAlignment w:val="auto"/>
              <w:rPr>
                <w:kern w:val="0"/>
                <w:sz w:val="20"/>
                <w:szCs w:val="21"/>
              </w:rPr>
            </w:pPr>
            <w:r>
              <w:rPr>
                <w:rFonts w:hint="eastAsia"/>
                <w:kern w:val="0"/>
                <w:sz w:val="20"/>
                <w:szCs w:val="21"/>
              </w:rPr>
              <w:t>项目编码</w:t>
            </w:r>
          </w:p>
        </w:tc>
        <w:tc>
          <w:tcPr>
            <w:tcW w:w="1322" w:type="dxa"/>
            <w:gridSpan w:val="2"/>
            <w:vAlign w:val="center"/>
          </w:tcPr>
          <w:p w14:paraId="2B31A1A9">
            <w:pPr>
              <w:widowControl w:val="0"/>
              <w:spacing w:line="240" w:lineRule="atLeast"/>
              <w:jc w:val="center"/>
              <w:textAlignment w:val="auto"/>
              <w:rPr>
                <w:kern w:val="0"/>
                <w:sz w:val="20"/>
                <w:szCs w:val="21"/>
              </w:rPr>
            </w:pPr>
          </w:p>
        </w:tc>
        <w:tc>
          <w:tcPr>
            <w:tcW w:w="1426" w:type="dxa"/>
            <w:gridSpan w:val="2"/>
            <w:vAlign w:val="center"/>
          </w:tcPr>
          <w:p w14:paraId="09406A53">
            <w:pPr>
              <w:widowControl w:val="0"/>
              <w:spacing w:line="240" w:lineRule="atLeast"/>
              <w:jc w:val="center"/>
              <w:textAlignment w:val="auto"/>
              <w:rPr>
                <w:kern w:val="0"/>
                <w:sz w:val="20"/>
                <w:szCs w:val="21"/>
              </w:rPr>
            </w:pPr>
            <w:r>
              <w:rPr>
                <w:rFonts w:hint="eastAsia"/>
                <w:kern w:val="0"/>
                <w:sz w:val="20"/>
                <w:szCs w:val="21"/>
              </w:rPr>
              <w:t>项目名称</w:t>
            </w:r>
          </w:p>
        </w:tc>
        <w:tc>
          <w:tcPr>
            <w:tcW w:w="1376" w:type="dxa"/>
            <w:gridSpan w:val="2"/>
            <w:vAlign w:val="center"/>
          </w:tcPr>
          <w:p w14:paraId="26F20C99">
            <w:pPr>
              <w:widowControl w:val="0"/>
              <w:spacing w:line="240" w:lineRule="atLeast"/>
              <w:jc w:val="center"/>
              <w:textAlignment w:val="auto"/>
              <w:rPr>
                <w:kern w:val="0"/>
                <w:sz w:val="20"/>
                <w:szCs w:val="21"/>
              </w:rPr>
            </w:pPr>
          </w:p>
        </w:tc>
        <w:tc>
          <w:tcPr>
            <w:tcW w:w="756" w:type="dxa"/>
            <w:vAlign w:val="center"/>
          </w:tcPr>
          <w:p w14:paraId="2C69494E">
            <w:pPr>
              <w:widowControl w:val="0"/>
              <w:spacing w:line="240" w:lineRule="atLeast"/>
              <w:jc w:val="center"/>
              <w:textAlignment w:val="auto"/>
              <w:rPr>
                <w:kern w:val="0"/>
                <w:sz w:val="20"/>
                <w:szCs w:val="21"/>
              </w:rPr>
            </w:pPr>
            <w:r>
              <w:rPr>
                <w:rFonts w:hint="eastAsia"/>
                <w:kern w:val="0"/>
                <w:sz w:val="20"/>
                <w:szCs w:val="21"/>
              </w:rPr>
              <w:t>计量单位</w:t>
            </w:r>
          </w:p>
        </w:tc>
        <w:tc>
          <w:tcPr>
            <w:tcW w:w="756" w:type="dxa"/>
            <w:vAlign w:val="center"/>
          </w:tcPr>
          <w:p w14:paraId="5FB776D3">
            <w:pPr>
              <w:widowControl w:val="0"/>
              <w:spacing w:line="240" w:lineRule="atLeast"/>
              <w:jc w:val="center"/>
              <w:textAlignment w:val="auto"/>
              <w:rPr>
                <w:kern w:val="0"/>
                <w:sz w:val="20"/>
                <w:szCs w:val="21"/>
              </w:rPr>
            </w:pPr>
          </w:p>
        </w:tc>
        <w:tc>
          <w:tcPr>
            <w:tcW w:w="756" w:type="dxa"/>
            <w:vAlign w:val="center"/>
          </w:tcPr>
          <w:p w14:paraId="2DB88E81">
            <w:pPr>
              <w:widowControl w:val="0"/>
              <w:spacing w:line="240" w:lineRule="atLeast"/>
              <w:jc w:val="center"/>
              <w:textAlignment w:val="auto"/>
              <w:rPr>
                <w:kern w:val="0"/>
                <w:sz w:val="20"/>
                <w:szCs w:val="21"/>
              </w:rPr>
            </w:pPr>
            <w:r>
              <w:rPr>
                <w:rFonts w:hint="eastAsia"/>
                <w:kern w:val="0"/>
                <w:sz w:val="20"/>
                <w:szCs w:val="21"/>
              </w:rPr>
              <w:t>工程量</w:t>
            </w:r>
          </w:p>
        </w:tc>
        <w:tc>
          <w:tcPr>
            <w:tcW w:w="756" w:type="dxa"/>
            <w:vAlign w:val="center"/>
          </w:tcPr>
          <w:p w14:paraId="23740D80">
            <w:pPr>
              <w:widowControl w:val="0"/>
              <w:spacing w:line="240" w:lineRule="atLeast"/>
              <w:jc w:val="center"/>
              <w:textAlignment w:val="auto"/>
              <w:rPr>
                <w:kern w:val="0"/>
                <w:sz w:val="20"/>
                <w:szCs w:val="21"/>
              </w:rPr>
            </w:pPr>
          </w:p>
        </w:tc>
      </w:tr>
      <w:tr w14:paraId="394F79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trPr>
        <w:tc>
          <w:tcPr>
            <w:tcW w:w="8522" w:type="dxa"/>
            <w:gridSpan w:val="12"/>
            <w:vAlign w:val="center"/>
          </w:tcPr>
          <w:p w14:paraId="29C27D02">
            <w:pPr>
              <w:widowControl w:val="0"/>
              <w:spacing w:line="240" w:lineRule="atLeast"/>
              <w:jc w:val="center"/>
              <w:textAlignment w:val="auto"/>
              <w:rPr>
                <w:kern w:val="0"/>
                <w:sz w:val="24"/>
              </w:rPr>
            </w:pPr>
            <w:r>
              <w:rPr>
                <w:rFonts w:hint="eastAsia"/>
                <w:kern w:val="0"/>
                <w:sz w:val="24"/>
              </w:rPr>
              <w:t>清单综合单价组成明细</w:t>
            </w:r>
          </w:p>
        </w:tc>
      </w:tr>
      <w:tr w14:paraId="73BC8E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687" w:type="dxa"/>
            <w:vMerge w:val="restart"/>
            <w:vAlign w:val="center"/>
          </w:tcPr>
          <w:p w14:paraId="54418408">
            <w:pPr>
              <w:widowControl w:val="0"/>
              <w:spacing w:line="240" w:lineRule="atLeast"/>
              <w:jc w:val="center"/>
              <w:textAlignment w:val="auto"/>
              <w:rPr>
                <w:kern w:val="0"/>
                <w:sz w:val="18"/>
                <w:szCs w:val="18"/>
              </w:rPr>
            </w:pPr>
            <w:r>
              <w:rPr>
                <w:rFonts w:hint="eastAsia"/>
                <w:kern w:val="0"/>
                <w:sz w:val="18"/>
                <w:szCs w:val="18"/>
              </w:rPr>
              <w:t>定额编号</w:t>
            </w:r>
          </w:p>
        </w:tc>
        <w:tc>
          <w:tcPr>
            <w:tcW w:w="687" w:type="dxa"/>
            <w:vMerge w:val="restart"/>
            <w:vAlign w:val="center"/>
          </w:tcPr>
          <w:p w14:paraId="2F2BCF0B">
            <w:pPr>
              <w:widowControl w:val="0"/>
              <w:spacing w:line="240" w:lineRule="atLeast"/>
              <w:jc w:val="center"/>
              <w:textAlignment w:val="auto"/>
              <w:rPr>
                <w:kern w:val="0"/>
                <w:sz w:val="18"/>
                <w:szCs w:val="18"/>
              </w:rPr>
            </w:pPr>
            <w:r>
              <w:rPr>
                <w:rFonts w:hint="eastAsia"/>
                <w:kern w:val="0"/>
                <w:sz w:val="18"/>
                <w:szCs w:val="18"/>
              </w:rPr>
              <w:t>定额项目名称</w:t>
            </w:r>
          </w:p>
        </w:tc>
        <w:tc>
          <w:tcPr>
            <w:tcW w:w="687" w:type="dxa"/>
            <w:vMerge w:val="restart"/>
            <w:vAlign w:val="center"/>
          </w:tcPr>
          <w:p w14:paraId="4961C816">
            <w:pPr>
              <w:widowControl w:val="0"/>
              <w:spacing w:line="240" w:lineRule="atLeast"/>
              <w:jc w:val="center"/>
              <w:textAlignment w:val="auto"/>
              <w:rPr>
                <w:kern w:val="0"/>
                <w:sz w:val="18"/>
                <w:szCs w:val="18"/>
              </w:rPr>
            </w:pPr>
            <w:r>
              <w:rPr>
                <w:rFonts w:hint="eastAsia"/>
                <w:kern w:val="0"/>
                <w:sz w:val="18"/>
                <w:szCs w:val="18"/>
              </w:rPr>
              <w:t>定额单位</w:t>
            </w:r>
          </w:p>
        </w:tc>
        <w:tc>
          <w:tcPr>
            <w:tcW w:w="635" w:type="dxa"/>
            <w:vMerge w:val="restart"/>
            <w:vAlign w:val="center"/>
          </w:tcPr>
          <w:p w14:paraId="25A57E2B">
            <w:pPr>
              <w:widowControl w:val="0"/>
              <w:spacing w:line="240" w:lineRule="atLeast"/>
              <w:jc w:val="center"/>
              <w:textAlignment w:val="auto"/>
              <w:rPr>
                <w:kern w:val="0"/>
                <w:sz w:val="18"/>
                <w:szCs w:val="18"/>
              </w:rPr>
            </w:pPr>
            <w:r>
              <w:rPr>
                <w:rFonts w:hint="eastAsia"/>
                <w:kern w:val="0"/>
                <w:sz w:val="18"/>
                <w:szCs w:val="18"/>
              </w:rPr>
              <w:t>数量</w:t>
            </w:r>
          </w:p>
        </w:tc>
        <w:tc>
          <w:tcPr>
            <w:tcW w:w="2802" w:type="dxa"/>
            <w:gridSpan w:val="4"/>
            <w:vAlign w:val="center"/>
          </w:tcPr>
          <w:p w14:paraId="36CE82B3">
            <w:pPr>
              <w:widowControl w:val="0"/>
              <w:spacing w:line="240" w:lineRule="atLeast"/>
              <w:jc w:val="center"/>
              <w:textAlignment w:val="auto"/>
              <w:rPr>
                <w:kern w:val="0"/>
                <w:sz w:val="18"/>
                <w:szCs w:val="18"/>
              </w:rPr>
            </w:pPr>
            <w:r>
              <w:rPr>
                <w:rFonts w:hint="eastAsia"/>
                <w:kern w:val="0"/>
                <w:sz w:val="18"/>
                <w:szCs w:val="18"/>
              </w:rPr>
              <w:t>单</w:t>
            </w:r>
            <w:r>
              <w:rPr>
                <w:kern w:val="0"/>
                <w:sz w:val="18"/>
                <w:szCs w:val="18"/>
              </w:rPr>
              <w:t xml:space="preserve">  </w:t>
            </w:r>
            <w:r>
              <w:rPr>
                <w:rFonts w:hint="eastAsia"/>
                <w:kern w:val="0"/>
                <w:sz w:val="18"/>
                <w:szCs w:val="18"/>
              </w:rPr>
              <w:t>价</w:t>
            </w:r>
          </w:p>
        </w:tc>
        <w:tc>
          <w:tcPr>
            <w:tcW w:w="3024" w:type="dxa"/>
            <w:gridSpan w:val="4"/>
            <w:vAlign w:val="center"/>
          </w:tcPr>
          <w:p w14:paraId="4BB492AB">
            <w:pPr>
              <w:widowControl w:val="0"/>
              <w:spacing w:line="240" w:lineRule="atLeast"/>
              <w:jc w:val="center"/>
              <w:textAlignment w:val="auto"/>
              <w:rPr>
                <w:kern w:val="0"/>
                <w:sz w:val="18"/>
                <w:szCs w:val="18"/>
              </w:rPr>
            </w:pPr>
            <w:r>
              <w:rPr>
                <w:rFonts w:hint="eastAsia"/>
                <w:kern w:val="0"/>
                <w:sz w:val="18"/>
                <w:szCs w:val="18"/>
              </w:rPr>
              <w:t>合</w:t>
            </w:r>
            <w:r>
              <w:rPr>
                <w:kern w:val="0"/>
                <w:sz w:val="18"/>
                <w:szCs w:val="18"/>
              </w:rPr>
              <w:t xml:space="preserve">  </w:t>
            </w:r>
            <w:r>
              <w:rPr>
                <w:rFonts w:hint="eastAsia"/>
                <w:kern w:val="0"/>
                <w:sz w:val="18"/>
                <w:szCs w:val="18"/>
              </w:rPr>
              <w:t>价</w:t>
            </w:r>
          </w:p>
        </w:tc>
      </w:tr>
      <w:tr w14:paraId="79A205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687" w:type="dxa"/>
            <w:vMerge w:val="continue"/>
            <w:vAlign w:val="center"/>
          </w:tcPr>
          <w:p w14:paraId="7BD05E4E">
            <w:pPr>
              <w:widowControl w:val="0"/>
              <w:spacing w:line="240" w:lineRule="atLeast"/>
              <w:jc w:val="center"/>
              <w:textAlignment w:val="auto"/>
              <w:rPr>
                <w:kern w:val="0"/>
                <w:sz w:val="18"/>
                <w:szCs w:val="18"/>
              </w:rPr>
            </w:pPr>
          </w:p>
        </w:tc>
        <w:tc>
          <w:tcPr>
            <w:tcW w:w="687" w:type="dxa"/>
            <w:vMerge w:val="continue"/>
            <w:vAlign w:val="center"/>
          </w:tcPr>
          <w:p w14:paraId="0C246C3D">
            <w:pPr>
              <w:widowControl w:val="0"/>
              <w:spacing w:line="240" w:lineRule="atLeast"/>
              <w:jc w:val="center"/>
              <w:textAlignment w:val="auto"/>
              <w:rPr>
                <w:kern w:val="0"/>
                <w:sz w:val="18"/>
                <w:szCs w:val="18"/>
              </w:rPr>
            </w:pPr>
          </w:p>
        </w:tc>
        <w:tc>
          <w:tcPr>
            <w:tcW w:w="687" w:type="dxa"/>
            <w:vMerge w:val="continue"/>
            <w:vAlign w:val="center"/>
          </w:tcPr>
          <w:p w14:paraId="707BA806">
            <w:pPr>
              <w:widowControl w:val="0"/>
              <w:spacing w:line="240" w:lineRule="atLeast"/>
              <w:jc w:val="center"/>
              <w:textAlignment w:val="auto"/>
              <w:rPr>
                <w:kern w:val="0"/>
                <w:sz w:val="18"/>
                <w:szCs w:val="18"/>
              </w:rPr>
            </w:pPr>
          </w:p>
        </w:tc>
        <w:tc>
          <w:tcPr>
            <w:tcW w:w="635" w:type="dxa"/>
            <w:vMerge w:val="continue"/>
            <w:vAlign w:val="center"/>
          </w:tcPr>
          <w:p w14:paraId="23729DA9">
            <w:pPr>
              <w:widowControl w:val="0"/>
              <w:spacing w:line="240" w:lineRule="atLeast"/>
              <w:jc w:val="center"/>
              <w:textAlignment w:val="auto"/>
              <w:rPr>
                <w:kern w:val="0"/>
                <w:sz w:val="18"/>
                <w:szCs w:val="18"/>
              </w:rPr>
            </w:pPr>
          </w:p>
        </w:tc>
        <w:tc>
          <w:tcPr>
            <w:tcW w:w="739" w:type="dxa"/>
            <w:vAlign w:val="center"/>
          </w:tcPr>
          <w:p w14:paraId="78B3B28A">
            <w:pPr>
              <w:widowControl w:val="0"/>
              <w:spacing w:line="240" w:lineRule="atLeast"/>
              <w:jc w:val="center"/>
              <w:textAlignment w:val="auto"/>
              <w:rPr>
                <w:kern w:val="0"/>
                <w:sz w:val="18"/>
                <w:szCs w:val="18"/>
              </w:rPr>
            </w:pPr>
            <w:r>
              <w:rPr>
                <w:rFonts w:hint="eastAsia"/>
                <w:kern w:val="0"/>
                <w:sz w:val="18"/>
                <w:szCs w:val="18"/>
              </w:rPr>
              <w:t>人工费</w:t>
            </w:r>
          </w:p>
        </w:tc>
        <w:tc>
          <w:tcPr>
            <w:tcW w:w="687" w:type="dxa"/>
            <w:vAlign w:val="center"/>
          </w:tcPr>
          <w:p w14:paraId="430A336B">
            <w:pPr>
              <w:widowControl w:val="0"/>
              <w:spacing w:line="240" w:lineRule="atLeast"/>
              <w:jc w:val="center"/>
              <w:textAlignment w:val="auto"/>
              <w:rPr>
                <w:kern w:val="0"/>
                <w:sz w:val="18"/>
                <w:szCs w:val="18"/>
              </w:rPr>
            </w:pPr>
            <w:r>
              <w:rPr>
                <w:rFonts w:hint="eastAsia"/>
                <w:kern w:val="0"/>
                <w:sz w:val="18"/>
                <w:szCs w:val="18"/>
              </w:rPr>
              <w:t>材料费</w:t>
            </w:r>
          </w:p>
        </w:tc>
        <w:tc>
          <w:tcPr>
            <w:tcW w:w="688" w:type="dxa"/>
            <w:vAlign w:val="center"/>
          </w:tcPr>
          <w:p w14:paraId="0BF4C40A">
            <w:pPr>
              <w:widowControl w:val="0"/>
              <w:spacing w:line="240" w:lineRule="atLeast"/>
              <w:jc w:val="center"/>
              <w:textAlignment w:val="auto"/>
              <w:rPr>
                <w:kern w:val="0"/>
                <w:sz w:val="18"/>
                <w:szCs w:val="18"/>
              </w:rPr>
            </w:pPr>
            <w:r>
              <w:rPr>
                <w:rFonts w:hint="eastAsia"/>
                <w:kern w:val="0"/>
                <w:sz w:val="18"/>
                <w:szCs w:val="18"/>
              </w:rPr>
              <w:t>机械费</w:t>
            </w:r>
          </w:p>
        </w:tc>
        <w:tc>
          <w:tcPr>
            <w:tcW w:w="688" w:type="dxa"/>
            <w:vAlign w:val="center"/>
          </w:tcPr>
          <w:p w14:paraId="260DBD5B">
            <w:pPr>
              <w:widowControl w:val="0"/>
              <w:spacing w:line="240" w:lineRule="atLeast"/>
              <w:jc w:val="center"/>
              <w:textAlignment w:val="auto"/>
              <w:rPr>
                <w:kern w:val="0"/>
                <w:sz w:val="18"/>
                <w:szCs w:val="18"/>
              </w:rPr>
            </w:pPr>
            <w:r>
              <w:rPr>
                <w:rFonts w:hint="eastAsia"/>
                <w:kern w:val="0"/>
                <w:sz w:val="18"/>
                <w:szCs w:val="18"/>
              </w:rPr>
              <w:t>管理费和利润</w:t>
            </w:r>
          </w:p>
        </w:tc>
        <w:tc>
          <w:tcPr>
            <w:tcW w:w="756" w:type="dxa"/>
            <w:vAlign w:val="center"/>
          </w:tcPr>
          <w:p w14:paraId="412A7F95">
            <w:pPr>
              <w:widowControl w:val="0"/>
              <w:spacing w:line="240" w:lineRule="atLeast"/>
              <w:jc w:val="center"/>
              <w:textAlignment w:val="auto"/>
              <w:rPr>
                <w:kern w:val="0"/>
                <w:sz w:val="18"/>
                <w:szCs w:val="18"/>
              </w:rPr>
            </w:pPr>
            <w:r>
              <w:rPr>
                <w:rFonts w:hint="eastAsia"/>
                <w:kern w:val="0"/>
                <w:sz w:val="18"/>
                <w:szCs w:val="18"/>
              </w:rPr>
              <w:t>人工费</w:t>
            </w:r>
          </w:p>
        </w:tc>
        <w:tc>
          <w:tcPr>
            <w:tcW w:w="756" w:type="dxa"/>
            <w:vAlign w:val="center"/>
          </w:tcPr>
          <w:p w14:paraId="1B81B015">
            <w:pPr>
              <w:widowControl w:val="0"/>
              <w:spacing w:line="240" w:lineRule="atLeast"/>
              <w:jc w:val="center"/>
              <w:textAlignment w:val="auto"/>
              <w:rPr>
                <w:kern w:val="0"/>
                <w:sz w:val="18"/>
                <w:szCs w:val="18"/>
              </w:rPr>
            </w:pPr>
            <w:r>
              <w:rPr>
                <w:rFonts w:hint="eastAsia"/>
                <w:kern w:val="0"/>
                <w:sz w:val="18"/>
                <w:szCs w:val="18"/>
              </w:rPr>
              <w:t>材料费</w:t>
            </w:r>
          </w:p>
        </w:tc>
        <w:tc>
          <w:tcPr>
            <w:tcW w:w="756" w:type="dxa"/>
            <w:vAlign w:val="center"/>
          </w:tcPr>
          <w:p w14:paraId="7A267E92">
            <w:pPr>
              <w:widowControl w:val="0"/>
              <w:spacing w:line="240" w:lineRule="atLeast"/>
              <w:jc w:val="center"/>
              <w:textAlignment w:val="auto"/>
              <w:rPr>
                <w:kern w:val="0"/>
                <w:sz w:val="18"/>
                <w:szCs w:val="18"/>
              </w:rPr>
            </w:pPr>
            <w:r>
              <w:rPr>
                <w:rFonts w:hint="eastAsia"/>
                <w:kern w:val="0"/>
                <w:sz w:val="18"/>
                <w:szCs w:val="18"/>
              </w:rPr>
              <w:t>机械费</w:t>
            </w:r>
          </w:p>
        </w:tc>
        <w:tc>
          <w:tcPr>
            <w:tcW w:w="756" w:type="dxa"/>
            <w:vAlign w:val="center"/>
          </w:tcPr>
          <w:p w14:paraId="3F8A4F7C">
            <w:pPr>
              <w:widowControl w:val="0"/>
              <w:spacing w:line="240" w:lineRule="atLeast"/>
              <w:jc w:val="center"/>
              <w:textAlignment w:val="auto"/>
              <w:rPr>
                <w:kern w:val="0"/>
                <w:sz w:val="18"/>
                <w:szCs w:val="18"/>
              </w:rPr>
            </w:pPr>
            <w:r>
              <w:rPr>
                <w:rFonts w:hint="eastAsia"/>
                <w:kern w:val="0"/>
                <w:sz w:val="18"/>
                <w:szCs w:val="18"/>
              </w:rPr>
              <w:t>管理费和利润</w:t>
            </w:r>
          </w:p>
        </w:tc>
      </w:tr>
      <w:tr w14:paraId="0D11BF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7" w:type="dxa"/>
            <w:vAlign w:val="center"/>
          </w:tcPr>
          <w:p w14:paraId="61EA8DE8">
            <w:pPr>
              <w:widowControl w:val="0"/>
              <w:spacing w:line="240" w:lineRule="atLeast"/>
              <w:jc w:val="center"/>
              <w:textAlignment w:val="auto"/>
              <w:rPr>
                <w:kern w:val="0"/>
                <w:sz w:val="44"/>
                <w:szCs w:val="44"/>
              </w:rPr>
            </w:pPr>
          </w:p>
        </w:tc>
        <w:tc>
          <w:tcPr>
            <w:tcW w:w="687" w:type="dxa"/>
            <w:vAlign w:val="center"/>
          </w:tcPr>
          <w:p w14:paraId="30A4AB5E">
            <w:pPr>
              <w:widowControl w:val="0"/>
              <w:spacing w:line="240" w:lineRule="atLeast"/>
              <w:jc w:val="center"/>
              <w:textAlignment w:val="auto"/>
              <w:rPr>
                <w:kern w:val="0"/>
                <w:sz w:val="44"/>
                <w:szCs w:val="44"/>
              </w:rPr>
            </w:pPr>
          </w:p>
        </w:tc>
        <w:tc>
          <w:tcPr>
            <w:tcW w:w="687" w:type="dxa"/>
            <w:vAlign w:val="center"/>
          </w:tcPr>
          <w:p w14:paraId="2E47828F">
            <w:pPr>
              <w:widowControl w:val="0"/>
              <w:spacing w:line="240" w:lineRule="atLeast"/>
              <w:jc w:val="center"/>
              <w:textAlignment w:val="auto"/>
              <w:rPr>
                <w:kern w:val="0"/>
                <w:sz w:val="44"/>
                <w:szCs w:val="44"/>
              </w:rPr>
            </w:pPr>
          </w:p>
        </w:tc>
        <w:tc>
          <w:tcPr>
            <w:tcW w:w="635" w:type="dxa"/>
            <w:vAlign w:val="center"/>
          </w:tcPr>
          <w:p w14:paraId="32AED37B">
            <w:pPr>
              <w:widowControl w:val="0"/>
              <w:spacing w:line="240" w:lineRule="atLeast"/>
              <w:jc w:val="center"/>
              <w:textAlignment w:val="auto"/>
              <w:rPr>
                <w:kern w:val="0"/>
                <w:sz w:val="44"/>
                <w:szCs w:val="44"/>
              </w:rPr>
            </w:pPr>
          </w:p>
        </w:tc>
        <w:tc>
          <w:tcPr>
            <w:tcW w:w="739" w:type="dxa"/>
            <w:vAlign w:val="center"/>
          </w:tcPr>
          <w:p w14:paraId="728000B1">
            <w:pPr>
              <w:widowControl w:val="0"/>
              <w:spacing w:line="240" w:lineRule="atLeast"/>
              <w:jc w:val="center"/>
              <w:textAlignment w:val="auto"/>
              <w:rPr>
                <w:kern w:val="0"/>
                <w:sz w:val="44"/>
                <w:szCs w:val="44"/>
              </w:rPr>
            </w:pPr>
          </w:p>
        </w:tc>
        <w:tc>
          <w:tcPr>
            <w:tcW w:w="687" w:type="dxa"/>
            <w:vAlign w:val="center"/>
          </w:tcPr>
          <w:p w14:paraId="68EEB14A">
            <w:pPr>
              <w:widowControl w:val="0"/>
              <w:spacing w:line="240" w:lineRule="atLeast"/>
              <w:jc w:val="center"/>
              <w:textAlignment w:val="auto"/>
              <w:rPr>
                <w:kern w:val="0"/>
                <w:sz w:val="44"/>
                <w:szCs w:val="44"/>
              </w:rPr>
            </w:pPr>
          </w:p>
        </w:tc>
        <w:tc>
          <w:tcPr>
            <w:tcW w:w="688" w:type="dxa"/>
            <w:vAlign w:val="center"/>
          </w:tcPr>
          <w:p w14:paraId="574CF962">
            <w:pPr>
              <w:widowControl w:val="0"/>
              <w:spacing w:line="240" w:lineRule="atLeast"/>
              <w:jc w:val="center"/>
              <w:textAlignment w:val="auto"/>
              <w:rPr>
                <w:kern w:val="0"/>
                <w:sz w:val="44"/>
                <w:szCs w:val="44"/>
              </w:rPr>
            </w:pPr>
          </w:p>
        </w:tc>
        <w:tc>
          <w:tcPr>
            <w:tcW w:w="688" w:type="dxa"/>
            <w:vAlign w:val="center"/>
          </w:tcPr>
          <w:p w14:paraId="16227903">
            <w:pPr>
              <w:widowControl w:val="0"/>
              <w:spacing w:line="240" w:lineRule="atLeast"/>
              <w:jc w:val="center"/>
              <w:textAlignment w:val="auto"/>
              <w:rPr>
                <w:kern w:val="0"/>
                <w:sz w:val="44"/>
                <w:szCs w:val="44"/>
              </w:rPr>
            </w:pPr>
          </w:p>
        </w:tc>
        <w:tc>
          <w:tcPr>
            <w:tcW w:w="756" w:type="dxa"/>
            <w:vAlign w:val="center"/>
          </w:tcPr>
          <w:p w14:paraId="0E112FC8">
            <w:pPr>
              <w:widowControl w:val="0"/>
              <w:spacing w:line="240" w:lineRule="atLeast"/>
              <w:jc w:val="center"/>
              <w:textAlignment w:val="auto"/>
              <w:rPr>
                <w:kern w:val="0"/>
                <w:sz w:val="44"/>
                <w:szCs w:val="44"/>
              </w:rPr>
            </w:pPr>
          </w:p>
        </w:tc>
        <w:tc>
          <w:tcPr>
            <w:tcW w:w="756" w:type="dxa"/>
            <w:vAlign w:val="center"/>
          </w:tcPr>
          <w:p w14:paraId="0485E150">
            <w:pPr>
              <w:widowControl w:val="0"/>
              <w:spacing w:line="240" w:lineRule="atLeast"/>
              <w:jc w:val="center"/>
              <w:textAlignment w:val="auto"/>
              <w:rPr>
                <w:kern w:val="0"/>
                <w:sz w:val="44"/>
                <w:szCs w:val="44"/>
              </w:rPr>
            </w:pPr>
          </w:p>
        </w:tc>
        <w:tc>
          <w:tcPr>
            <w:tcW w:w="756" w:type="dxa"/>
            <w:vAlign w:val="center"/>
          </w:tcPr>
          <w:p w14:paraId="7982CCA7">
            <w:pPr>
              <w:widowControl w:val="0"/>
              <w:spacing w:line="240" w:lineRule="atLeast"/>
              <w:jc w:val="center"/>
              <w:textAlignment w:val="auto"/>
              <w:rPr>
                <w:kern w:val="0"/>
                <w:sz w:val="44"/>
                <w:szCs w:val="44"/>
              </w:rPr>
            </w:pPr>
          </w:p>
        </w:tc>
        <w:tc>
          <w:tcPr>
            <w:tcW w:w="756" w:type="dxa"/>
            <w:vAlign w:val="center"/>
          </w:tcPr>
          <w:p w14:paraId="4E6D3F47">
            <w:pPr>
              <w:widowControl w:val="0"/>
              <w:spacing w:line="240" w:lineRule="atLeast"/>
              <w:jc w:val="center"/>
              <w:textAlignment w:val="auto"/>
              <w:rPr>
                <w:kern w:val="0"/>
                <w:sz w:val="44"/>
                <w:szCs w:val="44"/>
              </w:rPr>
            </w:pPr>
          </w:p>
        </w:tc>
      </w:tr>
      <w:tr w14:paraId="3F3EF8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7" w:type="dxa"/>
            <w:vAlign w:val="center"/>
          </w:tcPr>
          <w:p w14:paraId="6509EAAB">
            <w:pPr>
              <w:widowControl w:val="0"/>
              <w:spacing w:line="240" w:lineRule="atLeast"/>
              <w:jc w:val="center"/>
              <w:textAlignment w:val="auto"/>
              <w:rPr>
                <w:kern w:val="0"/>
                <w:sz w:val="44"/>
                <w:szCs w:val="44"/>
              </w:rPr>
            </w:pPr>
          </w:p>
        </w:tc>
        <w:tc>
          <w:tcPr>
            <w:tcW w:w="687" w:type="dxa"/>
            <w:vAlign w:val="center"/>
          </w:tcPr>
          <w:p w14:paraId="53139A02">
            <w:pPr>
              <w:widowControl w:val="0"/>
              <w:spacing w:line="240" w:lineRule="atLeast"/>
              <w:jc w:val="center"/>
              <w:textAlignment w:val="auto"/>
              <w:rPr>
                <w:kern w:val="0"/>
                <w:sz w:val="44"/>
                <w:szCs w:val="44"/>
              </w:rPr>
            </w:pPr>
          </w:p>
        </w:tc>
        <w:tc>
          <w:tcPr>
            <w:tcW w:w="687" w:type="dxa"/>
            <w:vAlign w:val="center"/>
          </w:tcPr>
          <w:p w14:paraId="798F1B30">
            <w:pPr>
              <w:widowControl w:val="0"/>
              <w:spacing w:line="240" w:lineRule="atLeast"/>
              <w:jc w:val="center"/>
              <w:textAlignment w:val="auto"/>
              <w:rPr>
                <w:kern w:val="0"/>
                <w:sz w:val="44"/>
                <w:szCs w:val="44"/>
              </w:rPr>
            </w:pPr>
          </w:p>
        </w:tc>
        <w:tc>
          <w:tcPr>
            <w:tcW w:w="635" w:type="dxa"/>
            <w:vAlign w:val="center"/>
          </w:tcPr>
          <w:p w14:paraId="55A1F914">
            <w:pPr>
              <w:widowControl w:val="0"/>
              <w:spacing w:line="240" w:lineRule="atLeast"/>
              <w:jc w:val="center"/>
              <w:textAlignment w:val="auto"/>
              <w:rPr>
                <w:kern w:val="0"/>
                <w:sz w:val="44"/>
                <w:szCs w:val="44"/>
              </w:rPr>
            </w:pPr>
          </w:p>
        </w:tc>
        <w:tc>
          <w:tcPr>
            <w:tcW w:w="739" w:type="dxa"/>
            <w:vAlign w:val="center"/>
          </w:tcPr>
          <w:p w14:paraId="7F1BE916">
            <w:pPr>
              <w:widowControl w:val="0"/>
              <w:spacing w:line="240" w:lineRule="atLeast"/>
              <w:jc w:val="center"/>
              <w:textAlignment w:val="auto"/>
              <w:rPr>
                <w:kern w:val="0"/>
                <w:sz w:val="44"/>
                <w:szCs w:val="44"/>
              </w:rPr>
            </w:pPr>
          </w:p>
        </w:tc>
        <w:tc>
          <w:tcPr>
            <w:tcW w:w="687" w:type="dxa"/>
            <w:vAlign w:val="center"/>
          </w:tcPr>
          <w:p w14:paraId="4D1EA324">
            <w:pPr>
              <w:widowControl w:val="0"/>
              <w:spacing w:line="240" w:lineRule="atLeast"/>
              <w:jc w:val="center"/>
              <w:textAlignment w:val="auto"/>
              <w:rPr>
                <w:kern w:val="0"/>
                <w:sz w:val="44"/>
                <w:szCs w:val="44"/>
              </w:rPr>
            </w:pPr>
          </w:p>
        </w:tc>
        <w:tc>
          <w:tcPr>
            <w:tcW w:w="688" w:type="dxa"/>
            <w:vAlign w:val="center"/>
          </w:tcPr>
          <w:p w14:paraId="32E36457">
            <w:pPr>
              <w:widowControl w:val="0"/>
              <w:spacing w:line="240" w:lineRule="atLeast"/>
              <w:jc w:val="center"/>
              <w:textAlignment w:val="auto"/>
              <w:rPr>
                <w:kern w:val="0"/>
                <w:sz w:val="44"/>
                <w:szCs w:val="44"/>
              </w:rPr>
            </w:pPr>
          </w:p>
        </w:tc>
        <w:tc>
          <w:tcPr>
            <w:tcW w:w="688" w:type="dxa"/>
            <w:vAlign w:val="center"/>
          </w:tcPr>
          <w:p w14:paraId="2FCDD45D">
            <w:pPr>
              <w:widowControl w:val="0"/>
              <w:spacing w:line="240" w:lineRule="atLeast"/>
              <w:jc w:val="center"/>
              <w:textAlignment w:val="auto"/>
              <w:rPr>
                <w:kern w:val="0"/>
                <w:sz w:val="44"/>
                <w:szCs w:val="44"/>
              </w:rPr>
            </w:pPr>
          </w:p>
        </w:tc>
        <w:tc>
          <w:tcPr>
            <w:tcW w:w="756" w:type="dxa"/>
            <w:vAlign w:val="center"/>
          </w:tcPr>
          <w:p w14:paraId="3D2138D1">
            <w:pPr>
              <w:widowControl w:val="0"/>
              <w:spacing w:line="240" w:lineRule="atLeast"/>
              <w:jc w:val="center"/>
              <w:textAlignment w:val="auto"/>
              <w:rPr>
                <w:kern w:val="0"/>
                <w:sz w:val="44"/>
                <w:szCs w:val="44"/>
              </w:rPr>
            </w:pPr>
          </w:p>
        </w:tc>
        <w:tc>
          <w:tcPr>
            <w:tcW w:w="756" w:type="dxa"/>
            <w:vAlign w:val="center"/>
          </w:tcPr>
          <w:p w14:paraId="34A813C2">
            <w:pPr>
              <w:widowControl w:val="0"/>
              <w:spacing w:line="240" w:lineRule="atLeast"/>
              <w:jc w:val="center"/>
              <w:textAlignment w:val="auto"/>
              <w:rPr>
                <w:kern w:val="0"/>
                <w:sz w:val="44"/>
                <w:szCs w:val="44"/>
              </w:rPr>
            </w:pPr>
          </w:p>
        </w:tc>
        <w:tc>
          <w:tcPr>
            <w:tcW w:w="756" w:type="dxa"/>
            <w:vAlign w:val="center"/>
          </w:tcPr>
          <w:p w14:paraId="2B98DCC3">
            <w:pPr>
              <w:widowControl w:val="0"/>
              <w:spacing w:line="240" w:lineRule="atLeast"/>
              <w:jc w:val="center"/>
              <w:textAlignment w:val="auto"/>
              <w:rPr>
                <w:kern w:val="0"/>
                <w:sz w:val="44"/>
                <w:szCs w:val="44"/>
              </w:rPr>
            </w:pPr>
          </w:p>
        </w:tc>
        <w:tc>
          <w:tcPr>
            <w:tcW w:w="756" w:type="dxa"/>
            <w:vAlign w:val="center"/>
          </w:tcPr>
          <w:p w14:paraId="3EAF4BA0">
            <w:pPr>
              <w:widowControl w:val="0"/>
              <w:spacing w:line="240" w:lineRule="atLeast"/>
              <w:jc w:val="center"/>
              <w:textAlignment w:val="auto"/>
              <w:rPr>
                <w:kern w:val="0"/>
                <w:sz w:val="44"/>
                <w:szCs w:val="44"/>
              </w:rPr>
            </w:pPr>
          </w:p>
        </w:tc>
      </w:tr>
      <w:tr w14:paraId="3A5124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7" w:type="dxa"/>
            <w:vAlign w:val="center"/>
          </w:tcPr>
          <w:p w14:paraId="59146884">
            <w:pPr>
              <w:widowControl w:val="0"/>
              <w:spacing w:line="240" w:lineRule="atLeast"/>
              <w:jc w:val="center"/>
              <w:textAlignment w:val="auto"/>
              <w:rPr>
                <w:kern w:val="0"/>
                <w:sz w:val="44"/>
                <w:szCs w:val="44"/>
              </w:rPr>
            </w:pPr>
          </w:p>
        </w:tc>
        <w:tc>
          <w:tcPr>
            <w:tcW w:w="687" w:type="dxa"/>
            <w:vAlign w:val="center"/>
          </w:tcPr>
          <w:p w14:paraId="620CBE47">
            <w:pPr>
              <w:widowControl w:val="0"/>
              <w:spacing w:line="240" w:lineRule="atLeast"/>
              <w:jc w:val="center"/>
              <w:textAlignment w:val="auto"/>
              <w:rPr>
                <w:kern w:val="0"/>
                <w:sz w:val="44"/>
                <w:szCs w:val="44"/>
              </w:rPr>
            </w:pPr>
          </w:p>
        </w:tc>
        <w:tc>
          <w:tcPr>
            <w:tcW w:w="687" w:type="dxa"/>
            <w:vAlign w:val="center"/>
          </w:tcPr>
          <w:p w14:paraId="375804D5">
            <w:pPr>
              <w:widowControl w:val="0"/>
              <w:spacing w:line="240" w:lineRule="atLeast"/>
              <w:jc w:val="center"/>
              <w:textAlignment w:val="auto"/>
              <w:rPr>
                <w:kern w:val="0"/>
                <w:sz w:val="44"/>
                <w:szCs w:val="44"/>
              </w:rPr>
            </w:pPr>
          </w:p>
        </w:tc>
        <w:tc>
          <w:tcPr>
            <w:tcW w:w="635" w:type="dxa"/>
            <w:vAlign w:val="center"/>
          </w:tcPr>
          <w:p w14:paraId="6DF80438">
            <w:pPr>
              <w:widowControl w:val="0"/>
              <w:spacing w:line="240" w:lineRule="atLeast"/>
              <w:jc w:val="center"/>
              <w:textAlignment w:val="auto"/>
              <w:rPr>
                <w:kern w:val="0"/>
                <w:sz w:val="44"/>
                <w:szCs w:val="44"/>
              </w:rPr>
            </w:pPr>
          </w:p>
        </w:tc>
        <w:tc>
          <w:tcPr>
            <w:tcW w:w="739" w:type="dxa"/>
            <w:vAlign w:val="center"/>
          </w:tcPr>
          <w:p w14:paraId="76DA81B2">
            <w:pPr>
              <w:widowControl w:val="0"/>
              <w:spacing w:line="240" w:lineRule="atLeast"/>
              <w:jc w:val="center"/>
              <w:textAlignment w:val="auto"/>
              <w:rPr>
                <w:kern w:val="0"/>
                <w:sz w:val="44"/>
                <w:szCs w:val="44"/>
              </w:rPr>
            </w:pPr>
          </w:p>
        </w:tc>
        <w:tc>
          <w:tcPr>
            <w:tcW w:w="687" w:type="dxa"/>
            <w:vAlign w:val="center"/>
          </w:tcPr>
          <w:p w14:paraId="16E31AF9">
            <w:pPr>
              <w:widowControl w:val="0"/>
              <w:spacing w:line="240" w:lineRule="atLeast"/>
              <w:jc w:val="center"/>
              <w:textAlignment w:val="auto"/>
              <w:rPr>
                <w:kern w:val="0"/>
                <w:sz w:val="44"/>
                <w:szCs w:val="44"/>
              </w:rPr>
            </w:pPr>
          </w:p>
        </w:tc>
        <w:tc>
          <w:tcPr>
            <w:tcW w:w="688" w:type="dxa"/>
            <w:vAlign w:val="center"/>
          </w:tcPr>
          <w:p w14:paraId="13FC4084">
            <w:pPr>
              <w:widowControl w:val="0"/>
              <w:spacing w:line="240" w:lineRule="atLeast"/>
              <w:jc w:val="center"/>
              <w:textAlignment w:val="auto"/>
              <w:rPr>
                <w:kern w:val="0"/>
                <w:sz w:val="44"/>
                <w:szCs w:val="44"/>
              </w:rPr>
            </w:pPr>
          </w:p>
        </w:tc>
        <w:tc>
          <w:tcPr>
            <w:tcW w:w="688" w:type="dxa"/>
            <w:vAlign w:val="center"/>
          </w:tcPr>
          <w:p w14:paraId="3DE2A8BC">
            <w:pPr>
              <w:widowControl w:val="0"/>
              <w:spacing w:line="240" w:lineRule="atLeast"/>
              <w:jc w:val="center"/>
              <w:textAlignment w:val="auto"/>
              <w:rPr>
                <w:kern w:val="0"/>
                <w:sz w:val="44"/>
                <w:szCs w:val="44"/>
              </w:rPr>
            </w:pPr>
          </w:p>
        </w:tc>
        <w:tc>
          <w:tcPr>
            <w:tcW w:w="756" w:type="dxa"/>
            <w:vAlign w:val="center"/>
          </w:tcPr>
          <w:p w14:paraId="1AE60E92">
            <w:pPr>
              <w:widowControl w:val="0"/>
              <w:spacing w:line="240" w:lineRule="atLeast"/>
              <w:jc w:val="center"/>
              <w:textAlignment w:val="auto"/>
              <w:rPr>
                <w:kern w:val="0"/>
                <w:sz w:val="44"/>
                <w:szCs w:val="44"/>
              </w:rPr>
            </w:pPr>
          </w:p>
        </w:tc>
        <w:tc>
          <w:tcPr>
            <w:tcW w:w="756" w:type="dxa"/>
            <w:vAlign w:val="center"/>
          </w:tcPr>
          <w:p w14:paraId="67B27841">
            <w:pPr>
              <w:widowControl w:val="0"/>
              <w:spacing w:line="240" w:lineRule="atLeast"/>
              <w:jc w:val="center"/>
              <w:textAlignment w:val="auto"/>
              <w:rPr>
                <w:kern w:val="0"/>
                <w:sz w:val="44"/>
                <w:szCs w:val="44"/>
              </w:rPr>
            </w:pPr>
          </w:p>
        </w:tc>
        <w:tc>
          <w:tcPr>
            <w:tcW w:w="756" w:type="dxa"/>
            <w:vAlign w:val="center"/>
          </w:tcPr>
          <w:p w14:paraId="3B2E064D">
            <w:pPr>
              <w:widowControl w:val="0"/>
              <w:spacing w:line="240" w:lineRule="atLeast"/>
              <w:jc w:val="center"/>
              <w:textAlignment w:val="auto"/>
              <w:rPr>
                <w:kern w:val="0"/>
                <w:sz w:val="44"/>
                <w:szCs w:val="44"/>
              </w:rPr>
            </w:pPr>
          </w:p>
        </w:tc>
        <w:tc>
          <w:tcPr>
            <w:tcW w:w="756" w:type="dxa"/>
            <w:vAlign w:val="center"/>
          </w:tcPr>
          <w:p w14:paraId="78603D94">
            <w:pPr>
              <w:widowControl w:val="0"/>
              <w:spacing w:line="240" w:lineRule="atLeast"/>
              <w:jc w:val="center"/>
              <w:textAlignment w:val="auto"/>
              <w:rPr>
                <w:kern w:val="0"/>
                <w:sz w:val="44"/>
                <w:szCs w:val="44"/>
              </w:rPr>
            </w:pPr>
          </w:p>
        </w:tc>
      </w:tr>
      <w:tr w14:paraId="4A8F5E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7" w:type="dxa"/>
            <w:vAlign w:val="center"/>
          </w:tcPr>
          <w:p w14:paraId="20D78236">
            <w:pPr>
              <w:widowControl w:val="0"/>
              <w:spacing w:line="240" w:lineRule="atLeast"/>
              <w:jc w:val="center"/>
              <w:textAlignment w:val="auto"/>
              <w:rPr>
                <w:kern w:val="0"/>
                <w:sz w:val="44"/>
                <w:szCs w:val="44"/>
              </w:rPr>
            </w:pPr>
          </w:p>
        </w:tc>
        <w:tc>
          <w:tcPr>
            <w:tcW w:w="687" w:type="dxa"/>
            <w:vAlign w:val="center"/>
          </w:tcPr>
          <w:p w14:paraId="69D654E5">
            <w:pPr>
              <w:widowControl w:val="0"/>
              <w:spacing w:line="240" w:lineRule="atLeast"/>
              <w:jc w:val="center"/>
              <w:textAlignment w:val="auto"/>
              <w:rPr>
                <w:kern w:val="0"/>
                <w:sz w:val="44"/>
                <w:szCs w:val="44"/>
              </w:rPr>
            </w:pPr>
          </w:p>
        </w:tc>
        <w:tc>
          <w:tcPr>
            <w:tcW w:w="687" w:type="dxa"/>
            <w:vAlign w:val="center"/>
          </w:tcPr>
          <w:p w14:paraId="2975EB0A">
            <w:pPr>
              <w:widowControl w:val="0"/>
              <w:spacing w:line="240" w:lineRule="atLeast"/>
              <w:jc w:val="center"/>
              <w:textAlignment w:val="auto"/>
              <w:rPr>
                <w:kern w:val="0"/>
                <w:sz w:val="44"/>
                <w:szCs w:val="44"/>
              </w:rPr>
            </w:pPr>
          </w:p>
        </w:tc>
        <w:tc>
          <w:tcPr>
            <w:tcW w:w="635" w:type="dxa"/>
            <w:vAlign w:val="center"/>
          </w:tcPr>
          <w:p w14:paraId="4C5093D0">
            <w:pPr>
              <w:widowControl w:val="0"/>
              <w:spacing w:line="240" w:lineRule="atLeast"/>
              <w:jc w:val="center"/>
              <w:textAlignment w:val="auto"/>
              <w:rPr>
                <w:kern w:val="0"/>
                <w:sz w:val="44"/>
                <w:szCs w:val="44"/>
              </w:rPr>
            </w:pPr>
          </w:p>
        </w:tc>
        <w:tc>
          <w:tcPr>
            <w:tcW w:w="739" w:type="dxa"/>
            <w:vAlign w:val="center"/>
          </w:tcPr>
          <w:p w14:paraId="271A04B5">
            <w:pPr>
              <w:widowControl w:val="0"/>
              <w:spacing w:line="240" w:lineRule="atLeast"/>
              <w:jc w:val="center"/>
              <w:textAlignment w:val="auto"/>
              <w:rPr>
                <w:kern w:val="0"/>
                <w:sz w:val="44"/>
                <w:szCs w:val="44"/>
              </w:rPr>
            </w:pPr>
          </w:p>
        </w:tc>
        <w:tc>
          <w:tcPr>
            <w:tcW w:w="687" w:type="dxa"/>
            <w:vAlign w:val="center"/>
          </w:tcPr>
          <w:p w14:paraId="5D3BEA25">
            <w:pPr>
              <w:widowControl w:val="0"/>
              <w:spacing w:line="240" w:lineRule="atLeast"/>
              <w:jc w:val="center"/>
              <w:textAlignment w:val="auto"/>
              <w:rPr>
                <w:kern w:val="0"/>
                <w:sz w:val="44"/>
                <w:szCs w:val="44"/>
              </w:rPr>
            </w:pPr>
          </w:p>
        </w:tc>
        <w:tc>
          <w:tcPr>
            <w:tcW w:w="688" w:type="dxa"/>
            <w:vAlign w:val="center"/>
          </w:tcPr>
          <w:p w14:paraId="00094661">
            <w:pPr>
              <w:widowControl w:val="0"/>
              <w:spacing w:line="240" w:lineRule="atLeast"/>
              <w:jc w:val="center"/>
              <w:textAlignment w:val="auto"/>
              <w:rPr>
                <w:kern w:val="0"/>
                <w:sz w:val="44"/>
                <w:szCs w:val="44"/>
              </w:rPr>
            </w:pPr>
          </w:p>
        </w:tc>
        <w:tc>
          <w:tcPr>
            <w:tcW w:w="688" w:type="dxa"/>
            <w:vAlign w:val="center"/>
          </w:tcPr>
          <w:p w14:paraId="43F4C185">
            <w:pPr>
              <w:widowControl w:val="0"/>
              <w:spacing w:line="240" w:lineRule="atLeast"/>
              <w:jc w:val="center"/>
              <w:textAlignment w:val="auto"/>
              <w:rPr>
                <w:kern w:val="0"/>
                <w:sz w:val="44"/>
                <w:szCs w:val="44"/>
              </w:rPr>
            </w:pPr>
          </w:p>
        </w:tc>
        <w:tc>
          <w:tcPr>
            <w:tcW w:w="756" w:type="dxa"/>
            <w:vAlign w:val="center"/>
          </w:tcPr>
          <w:p w14:paraId="6DD5121F">
            <w:pPr>
              <w:widowControl w:val="0"/>
              <w:spacing w:line="240" w:lineRule="atLeast"/>
              <w:jc w:val="center"/>
              <w:textAlignment w:val="auto"/>
              <w:rPr>
                <w:kern w:val="0"/>
                <w:sz w:val="44"/>
                <w:szCs w:val="44"/>
              </w:rPr>
            </w:pPr>
          </w:p>
        </w:tc>
        <w:tc>
          <w:tcPr>
            <w:tcW w:w="756" w:type="dxa"/>
            <w:vAlign w:val="center"/>
          </w:tcPr>
          <w:p w14:paraId="247D828A">
            <w:pPr>
              <w:widowControl w:val="0"/>
              <w:spacing w:line="240" w:lineRule="atLeast"/>
              <w:jc w:val="center"/>
              <w:textAlignment w:val="auto"/>
              <w:rPr>
                <w:kern w:val="0"/>
                <w:sz w:val="44"/>
                <w:szCs w:val="44"/>
              </w:rPr>
            </w:pPr>
          </w:p>
        </w:tc>
        <w:tc>
          <w:tcPr>
            <w:tcW w:w="756" w:type="dxa"/>
            <w:vAlign w:val="center"/>
          </w:tcPr>
          <w:p w14:paraId="6761BEDF">
            <w:pPr>
              <w:widowControl w:val="0"/>
              <w:spacing w:line="240" w:lineRule="atLeast"/>
              <w:jc w:val="center"/>
              <w:textAlignment w:val="auto"/>
              <w:rPr>
                <w:kern w:val="0"/>
                <w:sz w:val="44"/>
                <w:szCs w:val="44"/>
              </w:rPr>
            </w:pPr>
          </w:p>
        </w:tc>
        <w:tc>
          <w:tcPr>
            <w:tcW w:w="756" w:type="dxa"/>
            <w:vAlign w:val="center"/>
          </w:tcPr>
          <w:p w14:paraId="51178366">
            <w:pPr>
              <w:widowControl w:val="0"/>
              <w:spacing w:line="240" w:lineRule="atLeast"/>
              <w:jc w:val="center"/>
              <w:textAlignment w:val="auto"/>
              <w:rPr>
                <w:kern w:val="0"/>
                <w:sz w:val="44"/>
                <w:szCs w:val="44"/>
              </w:rPr>
            </w:pPr>
          </w:p>
        </w:tc>
      </w:tr>
      <w:tr w14:paraId="416452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7" w:type="dxa"/>
            <w:vAlign w:val="center"/>
          </w:tcPr>
          <w:p w14:paraId="2D2C032E">
            <w:pPr>
              <w:widowControl w:val="0"/>
              <w:spacing w:line="240" w:lineRule="atLeast"/>
              <w:jc w:val="center"/>
              <w:textAlignment w:val="auto"/>
              <w:rPr>
                <w:kern w:val="0"/>
                <w:sz w:val="44"/>
                <w:szCs w:val="44"/>
              </w:rPr>
            </w:pPr>
          </w:p>
        </w:tc>
        <w:tc>
          <w:tcPr>
            <w:tcW w:w="687" w:type="dxa"/>
            <w:vAlign w:val="center"/>
          </w:tcPr>
          <w:p w14:paraId="70A0E311">
            <w:pPr>
              <w:widowControl w:val="0"/>
              <w:spacing w:line="240" w:lineRule="atLeast"/>
              <w:jc w:val="center"/>
              <w:textAlignment w:val="auto"/>
              <w:rPr>
                <w:kern w:val="0"/>
                <w:sz w:val="44"/>
                <w:szCs w:val="44"/>
              </w:rPr>
            </w:pPr>
          </w:p>
        </w:tc>
        <w:tc>
          <w:tcPr>
            <w:tcW w:w="687" w:type="dxa"/>
            <w:vAlign w:val="center"/>
          </w:tcPr>
          <w:p w14:paraId="317C58CE">
            <w:pPr>
              <w:widowControl w:val="0"/>
              <w:spacing w:line="240" w:lineRule="atLeast"/>
              <w:jc w:val="center"/>
              <w:textAlignment w:val="auto"/>
              <w:rPr>
                <w:kern w:val="0"/>
                <w:sz w:val="44"/>
                <w:szCs w:val="44"/>
              </w:rPr>
            </w:pPr>
          </w:p>
        </w:tc>
        <w:tc>
          <w:tcPr>
            <w:tcW w:w="635" w:type="dxa"/>
            <w:vAlign w:val="center"/>
          </w:tcPr>
          <w:p w14:paraId="14A5A9A1">
            <w:pPr>
              <w:widowControl w:val="0"/>
              <w:spacing w:line="240" w:lineRule="atLeast"/>
              <w:jc w:val="center"/>
              <w:textAlignment w:val="auto"/>
              <w:rPr>
                <w:kern w:val="0"/>
                <w:sz w:val="44"/>
                <w:szCs w:val="44"/>
              </w:rPr>
            </w:pPr>
          </w:p>
        </w:tc>
        <w:tc>
          <w:tcPr>
            <w:tcW w:w="739" w:type="dxa"/>
            <w:vAlign w:val="center"/>
          </w:tcPr>
          <w:p w14:paraId="1849F21B">
            <w:pPr>
              <w:widowControl w:val="0"/>
              <w:spacing w:line="240" w:lineRule="atLeast"/>
              <w:jc w:val="center"/>
              <w:textAlignment w:val="auto"/>
              <w:rPr>
                <w:kern w:val="0"/>
                <w:sz w:val="44"/>
                <w:szCs w:val="44"/>
              </w:rPr>
            </w:pPr>
          </w:p>
        </w:tc>
        <w:tc>
          <w:tcPr>
            <w:tcW w:w="687" w:type="dxa"/>
            <w:vAlign w:val="center"/>
          </w:tcPr>
          <w:p w14:paraId="1D7D5006">
            <w:pPr>
              <w:widowControl w:val="0"/>
              <w:spacing w:line="240" w:lineRule="atLeast"/>
              <w:jc w:val="center"/>
              <w:textAlignment w:val="auto"/>
              <w:rPr>
                <w:kern w:val="0"/>
                <w:sz w:val="44"/>
                <w:szCs w:val="44"/>
              </w:rPr>
            </w:pPr>
          </w:p>
        </w:tc>
        <w:tc>
          <w:tcPr>
            <w:tcW w:w="688" w:type="dxa"/>
            <w:vAlign w:val="center"/>
          </w:tcPr>
          <w:p w14:paraId="789E2758">
            <w:pPr>
              <w:widowControl w:val="0"/>
              <w:spacing w:line="240" w:lineRule="atLeast"/>
              <w:jc w:val="center"/>
              <w:textAlignment w:val="auto"/>
              <w:rPr>
                <w:kern w:val="0"/>
                <w:sz w:val="44"/>
                <w:szCs w:val="44"/>
              </w:rPr>
            </w:pPr>
          </w:p>
        </w:tc>
        <w:tc>
          <w:tcPr>
            <w:tcW w:w="688" w:type="dxa"/>
            <w:vAlign w:val="center"/>
          </w:tcPr>
          <w:p w14:paraId="114D08B3">
            <w:pPr>
              <w:widowControl w:val="0"/>
              <w:spacing w:line="240" w:lineRule="atLeast"/>
              <w:jc w:val="center"/>
              <w:textAlignment w:val="auto"/>
              <w:rPr>
                <w:kern w:val="0"/>
                <w:sz w:val="44"/>
                <w:szCs w:val="44"/>
              </w:rPr>
            </w:pPr>
          </w:p>
        </w:tc>
        <w:tc>
          <w:tcPr>
            <w:tcW w:w="756" w:type="dxa"/>
            <w:vAlign w:val="center"/>
          </w:tcPr>
          <w:p w14:paraId="2E2ADC6C">
            <w:pPr>
              <w:widowControl w:val="0"/>
              <w:spacing w:line="240" w:lineRule="atLeast"/>
              <w:jc w:val="center"/>
              <w:textAlignment w:val="auto"/>
              <w:rPr>
                <w:kern w:val="0"/>
                <w:sz w:val="44"/>
                <w:szCs w:val="44"/>
              </w:rPr>
            </w:pPr>
          </w:p>
        </w:tc>
        <w:tc>
          <w:tcPr>
            <w:tcW w:w="756" w:type="dxa"/>
            <w:vAlign w:val="center"/>
          </w:tcPr>
          <w:p w14:paraId="0F13605C">
            <w:pPr>
              <w:widowControl w:val="0"/>
              <w:spacing w:line="240" w:lineRule="atLeast"/>
              <w:jc w:val="center"/>
              <w:textAlignment w:val="auto"/>
              <w:rPr>
                <w:kern w:val="0"/>
                <w:sz w:val="44"/>
                <w:szCs w:val="44"/>
              </w:rPr>
            </w:pPr>
          </w:p>
        </w:tc>
        <w:tc>
          <w:tcPr>
            <w:tcW w:w="756" w:type="dxa"/>
            <w:vAlign w:val="center"/>
          </w:tcPr>
          <w:p w14:paraId="0EE43930">
            <w:pPr>
              <w:widowControl w:val="0"/>
              <w:spacing w:line="240" w:lineRule="atLeast"/>
              <w:jc w:val="center"/>
              <w:textAlignment w:val="auto"/>
              <w:rPr>
                <w:kern w:val="0"/>
                <w:sz w:val="44"/>
                <w:szCs w:val="44"/>
              </w:rPr>
            </w:pPr>
          </w:p>
        </w:tc>
        <w:tc>
          <w:tcPr>
            <w:tcW w:w="756" w:type="dxa"/>
            <w:vAlign w:val="center"/>
          </w:tcPr>
          <w:p w14:paraId="106654B6">
            <w:pPr>
              <w:widowControl w:val="0"/>
              <w:spacing w:line="240" w:lineRule="atLeast"/>
              <w:jc w:val="center"/>
              <w:textAlignment w:val="auto"/>
              <w:rPr>
                <w:kern w:val="0"/>
                <w:sz w:val="44"/>
                <w:szCs w:val="44"/>
              </w:rPr>
            </w:pPr>
          </w:p>
        </w:tc>
      </w:tr>
      <w:tr w14:paraId="6A1BE3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1374" w:type="dxa"/>
            <w:gridSpan w:val="2"/>
            <w:vAlign w:val="center"/>
          </w:tcPr>
          <w:p w14:paraId="50656563">
            <w:pPr>
              <w:widowControl w:val="0"/>
              <w:spacing w:line="240" w:lineRule="atLeast"/>
              <w:jc w:val="center"/>
              <w:textAlignment w:val="auto"/>
              <w:rPr>
                <w:kern w:val="0"/>
                <w:sz w:val="18"/>
                <w:szCs w:val="18"/>
              </w:rPr>
            </w:pPr>
            <w:r>
              <w:rPr>
                <w:rFonts w:hint="eastAsia"/>
                <w:kern w:val="0"/>
                <w:sz w:val="18"/>
                <w:szCs w:val="18"/>
              </w:rPr>
              <w:t>人工单价</w:t>
            </w:r>
          </w:p>
        </w:tc>
        <w:tc>
          <w:tcPr>
            <w:tcW w:w="4124" w:type="dxa"/>
            <w:gridSpan w:val="6"/>
            <w:vAlign w:val="center"/>
          </w:tcPr>
          <w:p w14:paraId="0095F264">
            <w:pPr>
              <w:widowControl w:val="0"/>
              <w:spacing w:line="240" w:lineRule="atLeast"/>
              <w:jc w:val="center"/>
              <w:textAlignment w:val="auto"/>
              <w:rPr>
                <w:kern w:val="0"/>
                <w:sz w:val="18"/>
                <w:szCs w:val="18"/>
              </w:rPr>
            </w:pPr>
            <w:r>
              <w:rPr>
                <w:rFonts w:hint="eastAsia"/>
                <w:kern w:val="0"/>
                <w:sz w:val="18"/>
                <w:szCs w:val="18"/>
              </w:rPr>
              <w:t>小</w:t>
            </w:r>
            <w:r>
              <w:rPr>
                <w:kern w:val="0"/>
                <w:sz w:val="18"/>
                <w:szCs w:val="18"/>
              </w:rPr>
              <w:t xml:space="preserve">   </w:t>
            </w:r>
            <w:r>
              <w:rPr>
                <w:rFonts w:hint="eastAsia"/>
                <w:kern w:val="0"/>
                <w:sz w:val="18"/>
                <w:szCs w:val="18"/>
              </w:rPr>
              <w:t>计</w:t>
            </w:r>
          </w:p>
        </w:tc>
        <w:tc>
          <w:tcPr>
            <w:tcW w:w="756" w:type="dxa"/>
            <w:vAlign w:val="center"/>
          </w:tcPr>
          <w:p w14:paraId="154391B4">
            <w:pPr>
              <w:widowControl w:val="0"/>
              <w:spacing w:line="240" w:lineRule="atLeast"/>
              <w:jc w:val="center"/>
              <w:textAlignment w:val="auto"/>
              <w:rPr>
                <w:kern w:val="0"/>
                <w:sz w:val="18"/>
                <w:szCs w:val="18"/>
              </w:rPr>
            </w:pPr>
          </w:p>
        </w:tc>
        <w:tc>
          <w:tcPr>
            <w:tcW w:w="756" w:type="dxa"/>
            <w:vAlign w:val="center"/>
          </w:tcPr>
          <w:p w14:paraId="7FB9306B">
            <w:pPr>
              <w:widowControl w:val="0"/>
              <w:spacing w:line="240" w:lineRule="atLeast"/>
              <w:jc w:val="center"/>
              <w:textAlignment w:val="auto"/>
              <w:rPr>
                <w:kern w:val="0"/>
                <w:sz w:val="18"/>
                <w:szCs w:val="18"/>
              </w:rPr>
            </w:pPr>
          </w:p>
        </w:tc>
        <w:tc>
          <w:tcPr>
            <w:tcW w:w="756" w:type="dxa"/>
            <w:vAlign w:val="center"/>
          </w:tcPr>
          <w:p w14:paraId="5F13B009">
            <w:pPr>
              <w:widowControl w:val="0"/>
              <w:spacing w:line="240" w:lineRule="atLeast"/>
              <w:jc w:val="center"/>
              <w:textAlignment w:val="auto"/>
              <w:rPr>
                <w:kern w:val="0"/>
                <w:sz w:val="18"/>
                <w:szCs w:val="18"/>
              </w:rPr>
            </w:pPr>
          </w:p>
        </w:tc>
        <w:tc>
          <w:tcPr>
            <w:tcW w:w="756" w:type="dxa"/>
            <w:vAlign w:val="center"/>
          </w:tcPr>
          <w:p w14:paraId="22717F26">
            <w:pPr>
              <w:widowControl w:val="0"/>
              <w:spacing w:line="240" w:lineRule="atLeast"/>
              <w:jc w:val="center"/>
              <w:textAlignment w:val="auto"/>
              <w:rPr>
                <w:kern w:val="0"/>
                <w:sz w:val="18"/>
                <w:szCs w:val="18"/>
              </w:rPr>
            </w:pPr>
          </w:p>
        </w:tc>
      </w:tr>
      <w:tr w14:paraId="75CF3B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4" w:type="dxa"/>
            <w:gridSpan w:val="2"/>
            <w:vAlign w:val="center"/>
          </w:tcPr>
          <w:p w14:paraId="23F1BB02">
            <w:pPr>
              <w:widowControl w:val="0"/>
              <w:spacing w:line="240" w:lineRule="atLeast"/>
              <w:jc w:val="center"/>
              <w:textAlignment w:val="auto"/>
              <w:rPr>
                <w:kern w:val="0"/>
                <w:sz w:val="18"/>
                <w:szCs w:val="18"/>
              </w:rPr>
            </w:pPr>
            <w:r>
              <w:rPr>
                <w:kern w:val="0"/>
                <w:sz w:val="18"/>
                <w:szCs w:val="18"/>
              </w:rPr>
              <w:t xml:space="preserve">      </w:t>
            </w:r>
            <w:r>
              <w:rPr>
                <w:rFonts w:hint="eastAsia"/>
                <w:kern w:val="0"/>
                <w:sz w:val="18"/>
                <w:szCs w:val="18"/>
              </w:rPr>
              <w:t>元</w:t>
            </w:r>
            <w:r>
              <w:rPr>
                <w:kern w:val="0"/>
                <w:sz w:val="18"/>
                <w:szCs w:val="18"/>
              </w:rPr>
              <w:t>/</w:t>
            </w:r>
            <w:r>
              <w:rPr>
                <w:rFonts w:hint="eastAsia"/>
                <w:kern w:val="0"/>
                <w:sz w:val="18"/>
                <w:szCs w:val="18"/>
              </w:rPr>
              <w:t>工日</w:t>
            </w:r>
          </w:p>
        </w:tc>
        <w:tc>
          <w:tcPr>
            <w:tcW w:w="4124" w:type="dxa"/>
            <w:gridSpan w:val="6"/>
            <w:vAlign w:val="center"/>
          </w:tcPr>
          <w:p w14:paraId="1AA87F0C">
            <w:pPr>
              <w:widowControl w:val="0"/>
              <w:spacing w:line="240" w:lineRule="atLeast"/>
              <w:jc w:val="center"/>
              <w:textAlignment w:val="auto"/>
              <w:rPr>
                <w:kern w:val="0"/>
                <w:sz w:val="44"/>
                <w:szCs w:val="44"/>
              </w:rPr>
            </w:pPr>
            <w:r>
              <w:rPr>
                <w:rFonts w:hint="eastAsia"/>
                <w:kern w:val="0"/>
                <w:sz w:val="18"/>
                <w:szCs w:val="18"/>
              </w:rPr>
              <w:t>未计价材料费</w:t>
            </w:r>
          </w:p>
        </w:tc>
        <w:tc>
          <w:tcPr>
            <w:tcW w:w="3024" w:type="dxa"/>
            <w:gridSpan w:val="4"/>
            <w:vAlign w:val="center"/>
          </w:tcPr>
          <w:p w14:paraId="56515E26">
            <w:pPr>
              <w:widowControl w:val="0"/>
              <w:spacing w:line="240" w:lineRule="atLeast"/>
              <w:jc w:val="center"/>
              <w:textAlignment w:val="auto"/>
              <w:rPr>
                <w:kern w:val="0"/>
                <w:sz w:val="44"/>
                <w:szCs w:val="44"/>
              </w:rPr>
            </w:pPr>
          </w:p>
        </w:tc>
      </w:tr>
      <w:tr w14:paraId="320474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98" w:type="dxa"/>
            <w:gridSpan w:val="8"/>
            <w:vAlign w:val="center"/>
          </w:tcPr>
          <w:p w14:paraId="403FFC90">
            <w:pPr>
              <w:widowControl w:val="0"/>
              <w:spacing w:line="240" w:lineRule="atLeast"/>
              <w:jc w:val="center"/>
              <w:textAlignment w:val="auto"/>
              <w:rPr>
                <w:kern w:val="0"/>
                <w:sz w:val="18"/>
                <w:szCs w:val="18"/>
              </w:rPr>
            </w:pPr>
            <w:r>
              <w:rPr>
                <w:rFonts w:hint="eastAsia"/>
                <w:kern w:val="0"/>
                <w:sz w:val="18"/>
                <w:szCs w:val="18"/>
              </w:rPr>
              <w:t>清单项目综合单价</w:t>
            </w:r>
          </w:p>
        </w:tc>
        <w:tc>
          <w:tcPr>
            <w:tcW w:w="3024" w:type="dxa"/>
            <w:gridSpan w:val="4"/>
            <w:vAlign w:val="center"/>
          </w:tcPr>
          <w:p w14:paraId="79DC79C6">
            <w:pPr>
              <w:widowControl w:val="0"/>
              <w:spacing w:line="240" w:lineRule="atLeast"/>
              <w:jc w:val="center"/>
              <w:textAlignment w:val="auto"/>
              <w:rPr>
                <w:kern w:val="0"/>
                <w:sz w:val="44"/>
                <w:szCs w:val="44"/>
              </w:rPr>
            </w:pPr>
          </w:p>
        </w:tc>
      </w:tr>
      <w:tr w14:paraId="4C2F43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atLeast"/>
        </w:trPr>
        <w:tc>
          <w:tcPr>
            <w:tcW w:w="1374" w:type="dxa"/>
            <w:gridSpan w:val="2"/>
            <w:vMerge w:val="restart"/>
            <w:vAlign w:val="center"/>
          </w:tcPr>
          <w:p w14:paraId="69295644">
            <w:pPr>
              <w:widowControl w:val="0"/>
              <w:spacing w:line="240" w:lineRule="atLeast"/>
              <w:jc w:val="center"/>
              <w:textAlignment w:val="auto"/>
              <w:rPr>
                <w:kern w:val="0"/>
                <w:sz w:val="44"/>
                <w:szCs w:val="44"/>
              </w:rPr>
            </w:pPr>
            <w:r>
              <w:rPr>
                <w:rFonts w:hint="eastAsia"/>
                <w:kern w:val="0"/>
                <w:sz w:val="18"/>
                <w:szCs w:val="18"/>
              </w:rPr>
              <w:t>材料费明细</w:t>
            </w:r>
          </w:p>
        </w:tc>
        <w:tc>
          <w:tcPr>
            <w:tcW w:w="2748" w:type="dxa"/>
            <w:gridSpan w:val="4"/>
            <w:vAlign w:val="center"/>
          </w:tcPr>
          <w:p w14:paraId="0031727E">
            <w:pPr>
              <w:widowControl w:val="0"/>
              <w:spacing w:line="240" w:lineRule="atLeast"/>
              <w:jc w:val="center"/>
              <w:textAlignment w:val="auto"/>
              <w:rPr>
                <w:kern w:val="0"/>
                <w:sz w:val="18"/>
                <w:szCs w:val="18"/>
              </w:rPr>
            </w:pPr>
            <w:r>
              <w:rPr>
                <w:rFonts w:hint="eastAsia"/>
                <w:kern w:val="0"/>
                <w:sz w:val="18"/>
                <w:szCs w:val="18"/>
              </w:rPr>
              <w:t>主要材料名称、规格、型号</w:t>
            </w:r>
          </w:p>
        </w:tc>
        <w:tc>
          <w:tcPr>
            <w:tcW w:w="688" w:type="dxa"/>
            <w:vAlign w:val="center"/>
          </w:tcPr>
          <w:p w14:paraId="5E46ABA5">
            <w:pPr>
              <w:widowControl w:val="0"/>
              <w:spacing w:line="240" w:lineRule="atLeast"/>
              <w:jc w:val="center"/>
              <w:textAlignment w:val="auto"/>
              <w:rPr>
                <w:kern w:val="0"/>
                <w:sz w:val="18"/>
                <w:szCs w:val="18"/>
              </w:rPr>
            </w:pPr>
            <w:r>
              <w:rPr>
                <w:rFonts w:hint="eastAsia"/>
                <w:kern w:val="0"/>
                <w:sz w:val="18"/>
                <w:szCs w:val="18"/>
              </w:rPr>
              <w:t>单位</w:t>
            </w:r>
          </w:p>
        </w:tc>
        <w:tc>
          <w:tcPr>
            <w:tcW w:w="688" w:type="dxa"/>
            <w:vAlign w:val="center"/>
          </w:tcPr>
          <w:p w14:paraId="0490DF52">
            <w:pPr>
              <w:widowControl w:val="0"/>
              <w:spacing w:line="240" w:lineRule="atLeast"/>
              <w:jc w:val="center"/>
              <w:textAlignment w:val="auto"/>
              <w:rPr>
                <w:kern w:val="0"/>
                <w:sz w:val="18"/>
                <w:szCs w:val="18"/>
              </w:rPr>
            </w:pPr>
            <w:r>
              <w:rPr>
                <w:rFonts w:hint="eastAsia"/>
                <w:kern w:val="0"/>
                <w:sz w:val="18"/>
                <w:szCs w:val="18"/>
              </w:rPr>
              <w:t>数量</w:t>
            </w:r>
          </w:p>
        </w:tc>
        <w:tc>
          <w:tcPr>
            <w:tcW w:w="756" w:type="dxa"/>
            <w:vAlign w:val="center"/>
          </w:tcPr>
          <w:p w14:paraId="0574D075">
            <w:pPr>
              <w:widowControl w:val="0"/>
              <w:spacing w:line="240" w:lineRule="atLeast"/>
              <w:jc w:val="center"/>
              <w:textAlignment w:val="auto"/>
              <w:rPr>
                <w:kern w:val="0"/>
                <w:sz w:val="18"/>
                <w:szCs w:val="18"/>
              </w:rPr>
            </w:pPr>
            <w:r>
              <w:rPr>
                <w:rFonts w:hint="eastAsia"/>
                <w:kern w:val="0"/>
                <w:sz w:val="18"/>
                <w:szCs w:val="18"/>
              </w:rPr>
              <w:t>单价</w:t>
            </w:r>
          </w:p>
          <w:p w14:paraId="199CAB1D">
            <w:pPr>
              <w:widowControl w:val="0"/>
              <w:spacing w:line="240" w:lineRule="atLeast"/>
              <w:jc w:val="center"/>
              <w:textAlignment w:val="auto"/>
              <w:rPr>
                <w:kern w:val="0"/>
                <w:sz w:val="18"/>
                <w:szCs w:val="18"/>
              </w:rPr>
            </w:pPr>
            <w:r>
              <w:rPr>
                <w:rFonts w:hint="eastAsia"/>
                <w:kern w:val="0"/>
                <w:sz w:val="18"/>
                <w:szCs w:val="18"/>
              </w:rPr>
              <w:t>（元）</w:t>
            </w:r>
          </w:p>
        </w:tc>
        <w:tc>
          <w:tcPr>
            <w:tcW w:w="756" w:type="dxa"/>
            <w:vAlign w:val="center"/>
          </w:tcPr>
          <w:p w14:paraId="144B8032">
            <w:pPr>
              <w:widowControl w:val="0"/>
              <w:spacing w:line="240" w:lineRule="atLeast"/>
              <w:jc w:val="center"/>
              <w:textAlignment w:val="auto"/>
              <w:rPr>
                <w:kern w:val="0"/>
                <w:sz w:val="18"/>
                <w:szCs w:val="18"/>
              </w:rPr>
            </w:pPr>
            <w:r>
              <w:rPr>
                <w:rFonts w:hint="eastAsia"/>
                <w:kern w:val="0"/>
                <w:sz w:val="18"/>
                <w:szCs w:val="18"/>
              </w:rPr>
              <w:t>合价</w:t>
            </w:r>
          </w:p>
          <w:p w14:paraId="712F727C">
            <w:pPr>
              <w:widowControl w:val="0"/>
              <w:spacing w:line="240" w:lineRule="atLeast"/>
              <w:jc w:val="center"/>
              <w:textAlignment w:val="auto"/>
              <w:rPr>
                <w:kern w:val="0"/>
                <w:sz w:val="18"/>
                <w:szCs w:val="18"/>
              </w:rPr>
            </w:pPr>
            <w:r>
              <w:rPr>
                <w:rFonts w:hint="eastAsia"/>
                <w:kern w:val="0"/>
                <w:sz w:val="18"/>
                <w:szCs w:val="18"/>
              </w:rPr>
              <w:t>（元）</w:t>
            </w:r>
          </w:p>
        </w:tc>
        <w:tc>
          <w:tcPr>
            <w:tcW w:w="756" w:type="dxa"/>
            <w:vAlign w:val="center"/>
          </w:tcPr>
          <w:p w14:paraId="1C7B7C2C">
            <w:pPr>
              <w:widowControl w:val="0"/>
              <w:spacing w:line="240" w:lineRule="atLeast"/>
              <w:jc w:val="center"/>
              <w:textAlignment w:val="auto"/>
              <w:rPr>
                <w:kern w:val="0"/>
                <w:sz w:val="18"/>
                <w:szCs w:val="18"/>
              </w:rPr>
            </w:pPr>
            <w:r>
              <w:rPr>
                <w:rFonts w:hint="eastAsia"/>
                <w:kern w:val="0"/>
                <w:sz w:val="18"/>
                <w:szCs w:val="18"/>
              </w:rPr>
              <w:t>暂估单价（元）</w:t>
            </w:r>
          </w:p>
        </w:tc>
        <w:tc>
          <w:tcPr>
            <w:tcW w:w="756" w:type="dxa"/>
            <w:vAlign w:val="center"/>
          </w:tcPr>
          <w:p w14:paraId="531A44C6">
            <w:pPr>
              <w:widowControl w:val="0"/>
              <w:spacing w:line="240" w:lineRule="atLeast"/>
              <w:jc w:val="center"/>
              <w:textAlignment w:val="auto"/>
              <w:rPr>
                <w:kern w:val="0"/>
                <w:sz w:val="18"/>
                <w:szCs w:val="18"/>
              </w:rPr>
            </w:pPr>
            <w:r>
              <w:rPr>
                <w:rFonts w:hint="eastAsia"/>
                <w:kern w:val="0"/>
                <w:sz w:val="18"/>
                <w:szCs w:val="18"/>
              </w:rPr>
              <w:t>暂估合价（元）</w:t>
            </w:r>
          </w:p>
        </w:tc>
      </w:tr>
      <w:tr w14:paraId="27AE4E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1374" w:type="dxa"/>
            <w:gridSpan w:val="2"/>
            <w:vMerge w:val="continue"/>
            <w:vAlign w:val="center"/>
          </w:tcPr>
          <w:p w14:paraId="75CF2F38">
            <w:pPr>
              <w:widowControl w:val="0"/>
              <w:spacing w:line="240" w:lineRule="atLeast"/>
              <w:jc w:val="center"/>
              <w:textAlignment w:val="auto"/>
              <w:rPr>
                <w:kern w:val="0"/>
                <w:sz w:val="44"/>
                <w:szCs w:val="44"/>
              </w:rPr>
            </w:pPr>
          </w:p>
        </w:tc>
        <w:tc>
          <w:tcPr>
            <w:tcW w:w="687" w:type="dxa"/>
            <w:vAlign w:val="center"/>
          </w:tcPr>
          <w:p w14:paraId="64114C60">
            <w:pPr>
              <w:widowControl w:val="0"/>
              <w:spacing w:line="240" w:lineRule="atLeast"/>
              <w:jc w:val="center"/>
              <w:textAlignment w:val="auto"/>
              <w:rPr>
                <w:kern w:val="0"/>
                <w:sz w:val="44"/>
                <w:szCs w:val="44"/>
              </w:rPr>
            </w:pPr>
          </w:p>
        </w:tc>
        <w:tc>
          <w:tcPr>
            <w:tcW w:w="635" w:type="dxa"/>
            <w:vAlign w:val="center"/>
          </w:tcPr>
          <w:p w14:paraId="3DFA4BA2">
            <w:pPr>
              <w:widowControl w:val="0"/>
              <w:spacing w:line="240" w:lineRule="atLeast"/>
              <w:jc w:val="center"/>
              <w:textAlignment w:val="auto"/>
              <w:rPr>
                <w:kern w:val="0"/>
                <w:sz w:val="44"/>
                <w:szCs w:val="44"/>
              </w:rPr>
            </w:pPr>
          </w:p>
        </w:tc>
        <w:tc>
          <w:tcPr>
            <w:tcW w:w="739" w:type="dxa"/>
            <w:vAlign w:val="center"/>
          </w:tcPr>
          <w:p w14:paraId="0EBA8E9B">
            <w:pPr>
              <w:widowControl w:val="0"/>
              <w:spacing w:line="240" w:lineRule="atLeast"/>
              <w:jc w:val="center"/>
              <w:textAlignment w:val="auto"/>
              <w:rPr>
                <w:kern w:val="0"/>
                <w:sz w:val="44"/>
                <w:szCs w:val="44"/>
              </w:rPr>
            </w:pPr>
          </w:p>
        </w:tc>
        <w:tc>
          <w:tcPr>
            <w:tcW w:w="687" w:type="dxa"/>
            <w:vAlign w:val="center"/>
          </w:tcPr>
          <w:p w14:paraId="33C92A6B">
            <w:pPr>
              <w:widowControl w:val="0"/>
              <w:spacing w:line="240" w:lineRule="atLeast"/>
              <w:jc w:val="center"/>
              <w:textAlignment w:val="auto"/>
              <w:rPr>
                <w:kern w:val="0"/>
                <w:sz w:val="44"/>
                <w:szCs w:val="44"/>
              </w:rPr>
            </w:pPr>
          </w:p>
        </w:tc>
        <w:tc>
          <w:tcPr>
            <w:tcW w:w="688" w:type="dxa"/>
            <w:vAlign w:val="center"/>
          </w:tcPr>
          <w:p w14:paraId="3269F72A">
            <w:pPr>
              <w:widowControl w:val="0"/>
              <w:spacing w:line="240" w:lineRule="atLeast"/>
              <w:jc w:val="center"/>
              <w:textAlignment w:val="auto"/>
              <w:rPr>
                <w:kern w:val="0"/>
                <w:sz w:val="44"/>
                <w:szCs w:val="44"/>
              </w:rPr>
            </w:pPr>
          </w:p>
        </w:tc>
        <w:tc>
          <w:tcPr>
            <w:tcW w:w="688" w:type="dxa"/>
            <w:vAlign w:val="center"/>
          </w:tcPr>
          <w:p w14:paraId="498B7B0D">
            <w:pPr>
              <w:widowControl w:val="0"/>
              <w:spacing w:line="240" w:lineRule="atLeast"/>
              <w:jc w:val="center"/>
              <w:textAlignment w:val="auto"/>
              <w:rPr>
                <w:kern w:val="0"/>
                <w:sz w:val="44"/>
                <w:szCs w:val="44"/>
              </w:rPr>
            </w:pPr>
          </w:p>
        </w:tc>
        <w:tc>
          <w:tcPr>
            <w:tcW w:w="756" w:type="dxa"/>
            <w:vAlign w:val="center"/>
          </w:tcPr>
          <w:p w14:paraId="026D2F94">
            <w:pPr>
              <w:widowControl w:val="0"/>
              <w:spacing w:line="240" w:lineRule="atLeast"/>
              <w:jc w:val="center"/>
              <w:textAlignment w:val="auto"/>
              <w:rPr>
                <w:kern w:val="0"/>
                <w:sz w:val="44"/>
                <w:szCs w:val="44"/>
              </w:rPr>
            </w:pPr>
          </w:p>
        </w:tc>
        <w:tc>
          <w:tcPr>
            <w:tcW w:w="756" w:type="dxa"/>
            <w:vAlign w:val="center"/>
          </w:tcPr>
          <w:p w14:paraId="74E996D2">
            <w:pPr>
              <w:widowControl w:val="0"/>
              <w:spacing w:line="240" w:lineRule="atLeast"/>
              <w:jc w:val="center"/>
              <w:textAlignment w:val="auto"/>
              <w:rPr>
                <w:kern w:val="0"/>
                <w:sz w:val="44"/>
                <w:szCs w:val="44"/>
              </w:rPr>
            </w:pPr>
          </w:p>
        </w:tc>
        <w:tc>
          <w:tcPr>
            <w:tcW w:w="756" w:type="dxa"/>
            <w:vAlign w:val="center"/>
          </w:tcPr>
          <w:p w14:paraId="0DD5C2E6">
            <w:pPr>
              <w:widowControl w:val="0"/>
              <w:spacing w:line="240" w:lineRule="atLeast"/>
              <w:jc w:val="center"/>
              <w:textAlignment w:val="auto"/>
              <w:rPr>
                <w:kern w:val="0"/>
                <w:sz w:val="44"/>
                <w:szCs w:val="44"/>
              </w:rPr>
            </w:pPr>
          </w:p>
        </w:tc>
        <w:tc>
          <w:tcPr>
            <w:tcW w:w="756" w:type="dxa"/>
            <w:vAlign w:val="center"/>
          </w:tcPr>
          <w:p w14:paraId="422D8F26">
            <w:pPr>
              <w:widowControl w:val="0"/>
              <w:spacing w:line="240" w:lineRule="atLeast"/>
              <w:jc w:val="center"/>
              <w:textAlignment w:val="auto"/>
              <w:rPr>
                <w:kern w:val="0"/>
                <w:sz w:val="44"/>
                <w:szCs w:val="44"/>
              </w:rPr>
            </w:pPr>
          </w:p>
        </w:tc>
      </w:tr>
      <w:tr w14:paraId="2CE9D3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4" w:type="dxa"/>
            <w:gridSpan w:val="2"/>
            <w:vMerge w:val="continue"/>
            <w:vAlign w:val="center"/>
          </w:tcPr>
          <w:p w14:paraId="272A3F07">
            <w:pPr>
              <w:widowControl w:val="0"/>
              <w:spacing w:line="240" w:lineRule="atLeast"/>
              <w:jc w:val="center"/>
              <w:textAlignment w:val="auto"/>
              <w:rPr>
                <w:kern w:val="0"/>
                <w:sz w:val="44"/>
                <w:szCs w:val="44"/>
              </w:rPr>
            </w:pPr>
          </w:p>
        </w:tc>
        <w:tc>
          <w:tcPr>
            <w:tcW w:w="687" w:type="dxa"/>
            <w:vAlign w:val="center"/>
          </w:tcPr>
          <w:p w14:paraId="18ACAD0B">
            <w:pPr>
              <w:widowControl w:val="0"/>
              <w:spacing w:line="240" w:lineRule="atLeast"/>
              <w:jc w:val="center"/>
              <w:textAlignment w:val="auto"/>
              <w:rPr>
                <w:kern w:val="0"/>
                <w:sz w:val="44"/>
                <w:szCs w:val="44"/>
              </w:rPr>
            </w:pPr>
          </w:p>
        </w:tc>
        <w:tc>
          <w:tcPr>
            <w:tcW w:w="635" w:type="dxa"/>
            <w:vAlign w:val="center"/>
          </w:tcPr>
          <w:p w14:paraId="408467D4">
            <w:pPr>
              <w:widowControl w:val="0"/>
              <w:spacing w:line="240" w:lineRule="atLeast"/>
              <w:jc w:val="center"/>
              <w:textAlignment w:val="auto"/>
              <w:rPr>
                <w:kern w:val="0"/>
                <w:sz w:val="44"/>
                <w:szCs w:val="44"/>
              </w:rPr>
            </w:pPr>
          </w:p>
        </w:tc>
        <w:tc>
          <w:tcPr>
            <w:tcW w:w="739" w:type="dxa"/>
            <w:vAlign w:val="center"/>
          </w:tcPr>
          <w:p w14:paraId="1D7343DF">
            <w:pPr>
              <w:widowControl w:val="0"/>
              <w:spacing w:line="240" w:lineRule="atLeast"/>
              <w:jc w:val="center"/>
              <w:textAlignment w:val="auto"/>
              <w:rPr>
                <w:kern w:val="0"/>
                <w:sz w:val="44"/>
                <w:szCs w:val="44"/>
              </w:rPr>
            </w:pPr>
          </w:p>
        </w:tc>
        <w:tc>
          <w:tcPr>
            <w:tcW w:w="687" w:type="dxa"/>
            <w:vAlign w:val="center"/>
          </w:tcPr>
          <w:p w14:paraId="18696904">
            <w:pPr>
              <w:widowControl w:val="0"/>
              <w:spacing w:line="240" w:lineRule="atLeast"/>
              <w:jc w:val="center"/>
              <w:textAlignment w:val="auto"/>
              <w:rPr>
                <w:kern w:val="0"/>
                <w:sz w:val="44"/>
                <w:szCs w:val="44"/>
              </w:rPr>
            </w:pPr>
          </w:p>
        </w:tc>
        <w:tc>
          <w:tcPr>
            <w:tcW w:w="688" w:type="dxa"/>
            <w:vAlign w:val="center"/>
          </w:tcPr>
          <w:p w14:paraId="1146EACC">
            <w:pPr>
              <w:widowControl w:val="0"/>
              <w:spacing w:line="240" w:lineRule="atLeast"/>
              <w:jc w:val="center"/>
              <w:textAlignment w:val="auto"/>
              <w:rPr>
                <w:kern w:val="0"/>
                <w:sz w:val="44"/>
                <w:szCs w:val="44"/>
              </w:rPr>
            </w:pPr>
          </w:p>
        </w:tc>
        <w:tc>
          <w:tcPr>
            <w:tcW w:w="688" w:type="dxa"/>
            <w:vAlign w:val="center"/>
          </w:tcPr>
          <w:p w14:paraId="546DDA27">
            <w:pPr>
              <w:widowControl w:val="0"/>
              <w:spacing w:line="240" w:lineRule="atLeast"/>
              <w:jc w:val="center"/>
              <w:textAlignment w:val="auto"/>
              <w:rPr>
                <w:kern w:val="0"/>
                <w:sz w:val="44"/>
                <w:szCs w:val="44"/>
              </w:rPr>
            </w:pPr>
          </w:p>
        </w:tc>
        <w:tc>
          <w:tcPr>
            <w:tcW w:w="756" w:type="dxa"/>
            <w:vAlign w:val="center"/>
          </w:tcPr>
          <w:p w14:paraId="06FA9387">
            <w:pPr>
              <w:widowControl w:val="0"/>
              <w:spacing w:line="240" w:lineRule="atLeast"/>
              <w:jc w:val="center"/>
              <w:textAlignment w:val="auto"/>
              <w:rPr>
                <w:kern w:val="0"/>
                <w:sz w:val="44"/>
                <w:szCs w:val="44"/>
              </w:rPr>
            </w:pPr>
          </w:p>
        </w:tc>
        <w:tc>
          <w:tcPr>
            <w:tcW w:w="756" w:type="dxa"/>
            <w:vAlign w:val="center"/>
          </w:tcPr>
          <w:p w14:paraId="7E1702F3">
            <w:pPr>
              <w:widowControl w:val="0"/>
              <w:spacing w:line="240" w:lineRule="atLeast"/>
              <w:jc w:val="center"/>
              <w:textAlignment w:val="auto"/>
              <w:rPr>
                <w:kern w:val="0"/>
                <w:sz w:val="44"/>
                <w:szCs w:val="44"/>
              </w:rPr>
            </w:pPr>
          </w:p>
        </w:tc>
        <w:tc>
          <w:tcPr>
            <w:tcW w:w="756" w:type="dxa"/>
            <w:vAlign w:val="center"/>
          </w:tcPr>
          <w:p w14:paraId="32B48857">
            <w:pPr>
              <w:widowControl w:val="0"/>
              <w:spacing w:line="240" w:lineRule="atLeast"/>
              <w:jc w:val="center"/>
              <w:textAlignment w:val="auto"/>
              <w:rPr>
                <w:kern w:val="0"/>
                <w:sz w:val="44"/>
                <w:szCs w:val="44"/>
              </w:rPr>
            </w:pPr>
          </w:p>
        </w:tc>
        <w:tc>
          <w:tcPr>
            <w:tcW w:w="756" w:type="dxa"/>
            <w:vAlign w:val="center"/>
          </w:tcPr>
          <w:p w14:paraId="6A0B4F01">
            <w:pPr>
              <w:widowControl w:val="0"/>
              <w:spacing w:line="240" w:lineRule="atLeast"/>
              <w:jc w:val="center"/>
              <w:textAlignment w:val="auto"/>
              <w:rPr>
                <w:kern w:val="0"/>
                <w:sz w:val="44"/>
                <w:szCs w:val="44"/>
              </w:rPr>
            </w:pPr>
          </w:p>
        </w:tc>
      </w:tr>
      <w:tr w14:paraId="19681D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4" w:type="dxa"/>
            <w:gridSpan w:val="2"/>
            <w:vMerge w:val="continue"/>
            <w:vAlign w:val="center"/>
          </w:tcPr>
          <w:p w14:paraId="0B8026D4">
            <w:pPr>
              <w:widowControl w:val="0"/>
              <w:spacing w:line="240" w:lineRule="atLeast"/>
              <w:jc w:val="center"/>
              <w:textAlignment w:val="auto"/>
              <w:rPr>
                <w:kern w:val="0"/>
                <w:sz w:val="44"/>
                <w:szCs w:val="44"/>
              </w:rPr>
            </w:pPr>
          </w:p>
        </w:tc>
        <w:tc>
          <w:tcPr>
            <w:tcW w:w="687" w:type="dxa"/>
            <w:vAlign w:val="center"/>
          </w:tcPr>
          <w:p w14:paraId="5E1C0BC1">
            <w:pPr>
              <w:widowControl w:val="0"/>
              <w:spacing w:line="240" w:lineRule="atLeast"/>
              <w:jc w:val="center"/>
              <w:textAlignment w:val="auto"/>
              <w:rPr>
                <w:kern w:val="0"/>
                <w:sz w:val="44"/>
                <w:szCs w:val="44"/>
              </w:rPr>
            </w:pPr>
          </w:p>
        </w:tc>
        <w:tc>
          <w:tcPr>
            <w:tcW w:w="635" w:type="dxa"/>
            <w:vAlign w:val="center"/>
          </w:tcPr>
          <w:p w14:paraId="3A909842">
            <w:pPr>
              <w:widowControl w:val="0"/>
              <w:spacing w:line="240" w:lineRule="atLeast"/>
              <w:jc w:val="center"/>
              <w:textAlignment w:val="auto"/>
              <w:rPr>
                <w:kern w:val="0"/>
                <w:sz w:val="44"/>
                <w:szCs w:val="44"/>
              </w:rPr>
            </w:pPr>
          </w:p>
        </w:tc>
        <w:tc>
          <w:tcPr>
            <w:tcW w:w="739" w:type="dxa"/>
            <w:vAlign w:val="center"/>
          </w:tcPr>
          <w:p w14:paraId="493B38B4">
            <w:pPr>
              <w:widowControl w:val="0"/>
              <w:spacing w:line="240" w:lineRule="atLeast"/>
              <w:jc w:val="center"/>
              <w:textAlignment w:val="auto"/>
              <w:rPr>
                <w:kern w:val="0"/>
                <w:sz w:val="44"/>
                <w:szCs w:val="44"/>
              </w:rPr>
            </w:pPr>
          </w:p>
        </w:tc>
        <w:tc>
          <w:tcPr>
            <w:tcW w:w="687" w:type="dxa"/>
            <w:vAlign w:val="center"/>
          </w:tcPr>
          <w:p w14:paraId="3E4DFF21">
            <w:pPr>
              <w:widowControl w:val="0"/>
              <w:spacing w:line="240" w:lineRule="atLeast"/>
              <w:jc w:val="center"/>
              <w:textAlignment w:val="auto"/>
              <w:rPr>
                <w:kern w:val="0"/>
                <w:sz w:val="44"/>
                <w:szCs w:val="44"/>
              </w:rPr>
            </w:pPr>
          </w:p>
        </w:tc>
        <w:tc>
          <w:tcPr>
            <w:tcW w:w="688" w:type="dxa"/>
            <w:vAlign w:val="center"/>
          </w:tcPr>
          <w:p w14:paraId="066909F2">
            <w:pPr>
              <w:widowControl w:val="0"/>
              <w:spacing w:line="240" w:lineRule="atLeast"/>
              <w:jc w:val="center"/>
              <w:textAlignment w:val="auto"/>
              <w:rPr>
                <w:kern w:val="0"/>
                <w:sz w:val="44"/>
                <w:szCs w:val="44"/>
              </w:rPr>
            </w:pPr>
          </w:p>
        </w:tc>
        <w:tc>
          <w:tcPr>
            <w:tcW w:w="688" w:type="dxa"/>
            <w:vAlign w:val="center"/>
          </w:tcPr>
          <w:p w14:paraId="443117E3">
            <w:pPr>
              <w:widowControl w:val="0"/>
              <w:spacing w:line="240" w:lineRule="atLeast"/>
              <w:jc w:val="center"/>
              <w:textAlignment w:val="auto"/>
              <w:rPr>
                <w:kern w:val="0"/>
                <w:sz w:val="44"/>
                <w:szCs w:val="44"/>
              </w:rPr>
            </w:pPr>
          </w:p>
        </w:tc>
        <w:tc>
          <w:tcPr>
            <w:tcW w:w="756" w:type="dxa"/>
            <w:vAlign w:val="center"/>
          </w:tcPr>
          <w:p w14:paraId="5AE7A2DF">
            <w:pPr>
              <w:widowControl w:val="0"/>
              <w:spacing w:line="240" w:lineRule="atLeast"/>
              <w:jc w:val="center"/>
              <w:textAlignment w:val="auto"/>
              <w:rPr>
                <w:kern w:val="0"/>
                <w:sz w:val="44"/>
                <w:szCs w:val="44"/>
              </w:rPr>
            </w:pPr>
          </w:p>
        </w:tc>
        <w:tc>
          <w:tcPr>
            <w:tcW w:w="756" w:type="dxa"/>
            <w:vAlign w:val="center"/>
          </w:tcPr>
          <w:p w14:paraId="2A5E492F">
            <w:pPr>
              <w:widowControl w:val="0"/>
              <w:spacing w:line="240" w:lineRule="atLeast"/>
              <w:jc w:val="center"/>
              <w:textAlignment w:val="auto"/>
              <w:rPr>
                <w:kern w:val="0"/>
                <w:sz w:val="44"/>
                <w:szCs w:val="44"/>
              </w:rPr>
            </w:pPr>
          </w:p>
        </w:tc>
        <w:tc>
          <w:tcPr>
            <w:tcW w:w="756" w:type="dxa"/>
            <w:vAlign w:val="center"/>
          </w:tcPr>
          <w:p w14:paraId="651AFC3B">
            <w:pPr>
              <w:widowControl w:val="0"/>
              <w:spacing w:line="240" w:lineRule="atLeast"/>
              <w:jc w:val="center"/>
              <w:textAlignment w:val="auto"/>
              <w:rPr>
                <w:kern w:val="0"/>
                <w:sz w:val="44"/>
                <w:szCs w:val="44"/>
              </w:rPr>
            </w:pPr>
          </w:p>
        </w:tc>
        <w:tc>
          <w:tcPr>
            <w:tcW w:w="756" w:type="dxa"/>
            <w:vAlign w:val="center"/>
          </w:tcPr>
          <w:p w14:paraId="748C3B6C">
            <w:pPr>
              <w:widowControl w:val="0"/>
              <w:spacing w:line="240" w:lineRule="atLeast"/>
              <w:jc w:val="center"/>
              <w:textAlignment w:val="auto"/>
              <w:rPr>
                <w:kern w:val="0"/>
                <w:sz w:val="44"/>
                <w:szCs w:val="44"/>
              </w:rPr>
            </w:pPr>
          </w:p>
        </w:tc>
      </w:tr>
      <w:tr w14:paraId="7F8D98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4" w:type="dxa"/>
            <w:gridSpan w:val="2"/>
            <w:vMerge w:val="continue"/>
            <w:vAlign w:val="center"/>
          </w:tcPr>
          <w:p w14:paraId="0E2304A3">
            <w:pPr>
              <w:widowControl w:val="0"/>
              <w:spacing w:line="240" w:lineRule="atLeast"/>
              <w:jc w:val="center"/>
              <w:textAlignment w:val="auto"/>
              <w:rPr>
                <w:kern w:val="0"/>
                <w:sz w:val="44"/>
                <w:szCs w:val="44"/>
              </w:rPr>
            </w:pPr>
          </w:p>
        </w:tc>
        <w:tc>
          <w:tcPr>
            <w:tcW w:w="687" w:type="dxa"/>
            <w:vAlign w:val="center"/>
          </w:tcPr>
          <w:p w14:paraId="3CBC31C2">
            <w:pPr>
              <w:widowControl w:val="0"/>
              <w:spacing w:line="240" w:lineRule="atLeast"/>
              <w:jc w:val="center"/>
              <w:textAlignment w:val="auto"/>
              <w:rPr>
                <w:kern w:val="0"/>
                <w:sz w:val="44"/>
                <w:szCs w:val="44"/>
              </w:rPr>
            </w:pPr>
          </w:p>
        </w:tc>
        <w:tc>
          <w:tcPr>
            <w:tcW w:w="635" w:type="dxa"/>
            <w:vAlign w:val="center"/>
          </w:tcPr>
          <w:p w14:paraId="06099FC3">
            <w:pPr>
              <w:widowControl w:val="0"/>
              <w:spacing w:line="240" w:lineRule="atLeast"/>
              <w:jc w:val="center"/>
              <w:textAlignment w:val="auto"/>
              <w:rPr>
                <w:kern w:val="0"/>
                <w:sz w:val="44"/>
                <w:szCs w:val="44"/>
              </w:rPr>
            </w:pPr>
          </w:p>
        </w:tc>
        <w:tc>
          <w:tcPr>
            <w:tcW w:w="739" w:type="dxa"/>
            <w:vAlign w:val="center"/>
          </w:tcPr>
          <w:p w14:paraId="338E75E4">
            <w:pPr>
              <w:widowControl w:val="0"/>
              <w:spacing w:line="240" w:lineRule="atLeast"/>
              <w:jc w:val="center"/>
              <w:textAlignment w:val="auto"/>
              <w:rPr>
                <w:kern w:val="0"/>
                <w:sz w:val="44"/>
                <w:szCs w:val="44"/>
              </w:rPr>
            </w:pPr>
          </w:p>
        </w:tc>
        <w:tc>
          <w:tcPr>
            <w:tcW w:w="687" w:type="dxa"/>
            <w:vAlign w:val="center"/>
          </w:tcPr>
          <w:p w14:paraId="12AFD87E">
            <w:pPr>
              <w:widowControl w:val="0"/>
              <w:spacing w:line="240" w:lineRule="atLeast"/>
              <w:jc w:val="center"/>
              <w:textAlignment w:val="auto"/>
              <w:rPr>
                <w:kern w:val="0"/>
                <w:sz w:val="44"/>
                <w:szCs w:val="44"/>
              </w:rPr>
            </w:pPr>
          </w:p>
        </w:tc>
        <w:tc>
          <w:tcPr>
            <w:tcW w:w="688" w:type="dxa"/>
            <w:vAlign w:val="center"/>
          </w:tcPr>
          <w:p w14:paraId="7A2B72A7">
            <w:pPr>
              <w:widowControl w:val="0"/>
              <w:spacing w:line="240" w:lineRule="atLeast"/>
              <w:jc w:val="center"/>
              <w:textAlignment w:val="auto"/>
              <w:rPr>
                <w:kern w:val="0"/>
                <w:sz w:val="44"/>
                <w:szCs w:val="44"/>
              </w:rPr>
            </w:pPr>
          </w:p>
        </w:tc>
        <w:tc>
          <w:tcPr>
            <w:tcW w:w="688" w:type="dxa"/>
            <w:vAlign w:val="center"/>
          </w:tcPr>
          <w:p w14:paraId="48BC9ED9">
            <w:pPr>
              <w:widowControl w:val="0"/>
              <w:spacing w:line="240" w:lineRule="atLeast"/>
              <w:jc w:val="center"/>
              <w:textAlignment w:val="auto"/>
              <w:rPr>
                <w:kern w:val="0"/>
                <w:sz w:val="44"/>
                <w:szCs w:val="44"/>
              </w:rPr>
            </w:pPr>
          </w:p>
        </w:tc>
        <w:tc>
          <w:tcPr>
            <w:tcW w:w="756" w:type="dxa"/>
            <w:vAlign w:val="center"/>
          </w:tcPr>
          <w:p w14:paraId="3F90545C">
            <w:pPr>
              <w:widowControl w:val="0"/>
              <w:spacing w:line="240" w:lineRule="atLeast"/>
              <w:jc w:val="center"/>
              <w:textAlignment w:val="auto"/>
              <w:rPr>
                <w:kern w:val="0"/>
                <w:sz w:val="44"/>
                <w:szCs w:val="44"/>
              </w:rPr>
            </w:pPr>
          </w:p>
        </w:tc>
        <w:tc>
          <w:tcPr>
            <w:tcW w:w="756" w:type="dxa"/>
            <w:vAlign w:val="center"/>
          </w:tcPr>
          <w:p w14:paraId="313A29B0">
            <w:pPr>
              <w:widowControl w:val="0"/>
              <w:spacing w:line="240" w:lineRule="atLeast"/>
              <w:jc w:val="center"/>
              <w:textAlignment w:val="auto"/>
              <w:rPr>
                <w:kern w:val="0"/>
                <w:sz w:val="44"/>
                <w:szCs w:val="44"/>
              </w:rPr>
            </w:pPr>
          </w:p>
        </w:tc>
        <w:tc>
          <w:tcPr>
            <w:tcW w:w="756" w:type="dxa"/>
            <w:vAlign w:val="center"/>
          </w:tcPr>
          <w:p w14:paraId="2D87E36C">
            <w:pPr>
              <w:widowControl w:val="0"/>
              <w:spacing w:line="240" w:lineRule="atLeast"/>
              <w:jc w:val="center"/>
              <w:textAlignment w:val="auto"/>
              <w:rPr>
                <w:kern w:val="0"/>
                <w:sz w:val="44"/>
                <w:szCs w:val="44"/>
              </w:rPr>
            </w:pPr>
          </w:p>
        </w:tc>
        <w:tc>
          <w:tcPr>
            <w:tcW w:w="756" w:type="dxa"/>
            <w:vAlign w:val="center"/>
          </w:tcPr>
          <w:p w14:paraId="096108E2">
            <w:pPr>
              <w:widowControl w:val="0"/>
              <w:spacing w:line="240" w:lineRule="atLeast"/>
              <w:jc w:val="center"/>
              <w:textAlignment w:val="auto"/>
              <w:rPr>
                <w:kern w:val="0"/>
                <w:sz w:val="44"/>
                <w:szCs w:val="44"/>
              </w:rPr>
            </w:pPr>
          </w:p>
        </w:tc>
      </w:tr>
      <w:tr w14:paraId="0A387C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4" w:type="dxa"/>
            <w:gridSpan w:val="2"/>
            <w:vMerge w:val="continue"/>
            <w:vAlign w:val="center"/>
          </w:tcPr>
          <w:p w14:paraId="3E21D663">
            <w:pPr>
              <w:widowControl w:val="0"/>
              <w:spacing w:line="240" w:lineRule="atLeast"/>
              <w:jc w:val="center"/>
              <w:textAlignment w:val="auto"/>
              <w:rPr>
                <w:kern w:val="0"/>
                <w:sz w:val="44"/>
                <w:szCs w:val="44"/>
              </w:rPr>
            </w:pPr>
          </w:p>
        </w:tc>
        <w:tc>
          <w:tcPr>
            <w:tcW w:w="687" w:type="dxa"/>
            <w:vAlign w:val="center"/>
          </w:tcPr>
          <w:p w14:paraId="360B282C">
            <w:pPr>
              <w:widowControl w:val="0"/>
              <w:spacing w:line="240" w:lineRule="atLeast"/>
              <w:jc w:val="center"/>
              <w:textAlignment w:val="auto"/>
              <w:rPr>
                <w:kern w:val="0"/>
                <w:sz w:val="44"/>
                <w:szCs w:val="44"/>
              </w:rPr>
            </w:pPr>
          </w:p>
        </w:tc>
        <w:tc>
          <w:tcPr>
            <w:tcW w:w="635" w:type="dxa"/>
            <w:vAlign w:val="center"/>
          </w:tcPr>
          <w:p w14:paraId="74C47363">
            <w:pPr>
              <w:widowControl w:val="0"/>
              <w:spacing w:line="240" w:lineRule="atLeast"/>
              <w:jc w:val="center"/>
              <w:textAlignment w:val="auto"/>
              <w:rPr>
                <w:kern w:val="0"/>
                <w:sz w:val="44"/>
                <w:szCs w:val="44"/>
              </w:rPr>
            </w:pPr>
          </w:p>
        </w:tc>
        <w:tc>
          <w:tcPr>
            <w:tcW w:w="739" w:type="dxa"/>
            <w:vAlign w:val="center"/>
          </w:tcPr>
          <w:p w14:paraId="2BBAA253">
            <w:pPr>
              <w:widowControl w:val="0"/>
              <w:spacing w:line="240" w:lineRule="atLeast"/>
              <w:jc w:val="center"/>
              <w:textAlignment w:val="auto"/>
              <w:rPr>
                <w:kern w:val="0"/>
                <w:sz w:val="44"/>
                <w:szCs w:val="44"/>
              </w:rPr>
            </w:pPr>
          </w:p>
        </w:tc>
        <w:tc>
          <w:tcPr>
            <w:tcW w:w="687" w:type="dxa"/>
            <w:vAlign w:val="center"/>
          </w:tcPr>
          <w:p w14:paraId="10A8DD6D">
            <w:pPr>
              <w:widowControl w:val="0"/>
              <w:spacing w:line="240" w:lineRule="atLeast"/>
              <w:jc w:val="center"/>
              <w:textAlignment w:val="auto"/>
              <w:rPr>
                <w:kern w:val="0"/>
                <w:sz w:val="44"/>
                <w:szCs w:val="44"/>
              </w:rPr>
            </w:pPr>
          </w:p>
        </w:tc>
        <w:tc>
          <w:tcPr>
            <w:tcW w:w="688" w:type="dxa"/>
            <w:vAlign w:val="center"/>
          </w:tcPr>
          <w:p w14:paraId="40FB8B82">
            <w:pPr>
              <w:widowControl w:val="0"/>
              <w:spacing w:line="240" w:lineRule="atLeast"/>
              <w:jc w:val="center"/>
              <w:textAlignment w:val="auto"/>
              <w:rPr>
                <w:kern w:val="0"/>
                <w:sz w:val="44"/>
                <w:szCs w:val="44"/>
              </w:rPr>
            </w:pPr>
          </w:p>
        </w:tc>
        <w:tc>
          <w:tcPr>
            <w:tcW w:w="688" w:type="dxa"/>
            <w:vAlign w:val="center"/>
          </w:tcPr>
          <w:p w14:paraId="71118DCC">
            <w:pPr>
              <w:widowControl w:val="0"/>
              <w:spacing w:line="240" w:lineRule="atLeast"/>
              <w:jc w:val="center"/>
              <w:textAlignment w:val="auto"/>
              <w:rPr>
                <w:kern w:val="0"/>
                <w:sz w:val="44"/>
                <w:szCs w:val="44"/>
              </w:rPr>
            </w:pPr>
          </w:p>
        </w:tc>
        <w:tc>
          <w:tcPr>
            <w:tcW w:w="756" w:type="dxa"/>
            <w:vAlign w:val="center"/>
          </w:tcPr>
          <w:p w14:paraId="21799AD4">
            <w:pPr>
              <w:widowControl w:val="0"/>
              <w:spacing w:line="240" w:lineRule="atLeast"/>
              <w:jc w:val="center"/>
              <w:textAlignment w:val="auto"/>
              <w:rPr>
                <w:kern w:val="0"/>
                <w:sz w:val="44"/>
                <w:szCs w:val="44"/>
              </w:rPr>
            </w:pPr>
          </w:p>
        </w:tc>
        <w:tc>
          <w:tcPr>
            <w:tcW w:w="756" w:type="dxa"/>
            <w:vAlign w:val="center"/>
          </w:tcPr>
          <w:p w14:paraId="7BEF32C9">
            <w:pPr>
              <w:widowControl w:val="0"/>
              <w:spacing w:line="240" w:lineRule="atLeast"/>
              <w:jc w:val="center"/>
              <w:textAlignment w:val="auto"/>
              <w:rPr>
                <w:kern w:val="0"/>
                <w:sz w:val="44"/>
                <w:szCs w:val="44"/>
              </w:rPr>
            </w:pPr>
          </w:p>
        </w:tc>
        <w:tc>
          <w:tcPr>
            <w:tcW w:w="756" w:type="dxa"/>
            <w:vAlign w:val="center"/>
          </w:tcPr>
          <w:p w14:paraId="001AED1E">
            <w:pPr>
              <w:widowControl w:val="0"/>
              <w:spacing w:line="240" w:lineRule="atLeast"/>
              <w:jc w:val="center"/>
              <w:textAlignment w:val="auto"/>
              <w:rPr>
                <w:kern w:val="0"/>
                <w:sz w:val="44"/>
                <w:szCs w:val="44"/>
              </w:rPr>
            </w:pPr>
          </w:p>
        </w:tc>
        <w:tc>
          <w:tcPr>
            <w:tcW w:w="756" w:type="dxa"/>
            <w:vAlign w:val="center"/>
          </w:tcPr>
          <w:p w14:paraId="1AE0E218">
            <w:pPr>
              <w:widowControl w:val="0"/>
              <w:spacing w:line="240" w:lineRule="atLeast"/>
              <w:jc w:val="center"/>
              <w:textAlignment w:val="auto"/>
              <w:rPr>
                <w:kern w:val="0"/>
                <w:sz w:val="44"/>
                <w:szCs w:val="44"/>
              </w:rPr>
            </w:pPr>
          </w:p>
        </w:tc>
      </w:tr>
      <w:tr w14:paraId="46558D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4" w:type="dxa"/>
            <w:gridSpan w:val="2"/>
            <w:vMerge w:val="continue"/>
            <w:vAlign w:val="center"/>
          </w:tcPr>
          <w:p w14:paraId="00D2FF19">
            <w:pPr>
              <w:widowControl w:val="0"/>
              <w:spacing w:line="240" w:lineRule="atLeast"/>
              <w:jc w:val="center"/>
              <w:textAlignment w:val="auto"/>
              <w:rPr>
                <w:kern w:val="0"/>
                <w:sz w:val="44"/>
                <w:szCs w:val="44"/>
              </w:rPr>
            </w:pPr>
          </w:p>
        </w:tc>
        <w:tc>
          <w:tcPr>
            <w:tcW w:w="687" w:type="dxa"/>
            <w:vAlign w:val="center"/>
          </w:tcPr>
          <w:p w14:paraId="2EF9FE65">
            <w:pPr>
              <w:widowControl w:val="0"/>
              <w:spacing w:line="240" w:lineRule="atLeast"/>
              <w:jc w:val="center"/>
              <w:textAlignment w:val="auto"/>
              <w:rPr>
                <w:kern w:val="0"/>
                <w:sz w:val="44"/>
                <w:szCs w:val="44"/>
              </w:rPr>
            </w:pPr>
          </w:p>
        </w:tc>
        <w:tc>
          <w:tcPr>
            <w:tcW w:w="635" w:type="dxa"/>
            <w:vAlign w:val="center"/>
          </w:tcPr>
          <w:p w14:paraId="3C291B64">
            <w:pPr>
              <w:widowControl w:val="0"/>
              <w:spacing w:line="240" w:lineRule="atLeast"/>
              <w:jc w:val="center"/>
              <w:textAlignment w:val="auto"/>
              <w:rPr>
                <w:kern w:val="0"/>
                <w:sz w:val="44"/>
                <w:szCs w:val="44"/>
              </w:rPr>
            </w:pPr>
          </w:p>
        </w:tc>
        <w:tc>
          <w:tcPr>
            <w:tcW w:w="739" w:type="dxa"/>
            <w:vAlign w:val="center"/>
          </w:tcPr>
          <w:p w14:paraId="7B6A9162">
            <w:pPr>
              <w:widowControl w:val="0"/>
              <w:spacing w:line="240" w:lineRule="atLeast"/>
              <w:jc w:val="center"/>
              <w:textAlignment w:val="auto"/>
              <w:rPr>
                <w:kern w:val="0"/>
                <w:sz w:val="44"/>
                <w:szCs w:val="44"/>
              </w:rPr>
            </w:pPr>
          </w:p>
        </w:tc>
        <w:tc>
          <w:tcPr>
            <w:tcW w:w="687" w:type="dxa"/>
            <w:vAlign w:val="center"/>
          </w:tcPr>
          <w:p w14:paraId="69405A14">
            <w:pPr>
              <w:widowControl w:val="0"/>
              <w:spacing w:line="240" w:lineRule="atLeast"/>
              <w:jc w:val="center"/>
              <w:textAlignment w:val="auto"/>
              <w:rPr>
                <w:kern w:val="0"/>
                <w:sz w:val="44"/>
                <w:szCs w:val="44"/>
              </w:rPr>
            </w:pPr>
          </w:p>
        </w:tc>
        <w:tc>
          <w:tcPr>
            <w:tcW w:w="688" w:type="dxa"/>
            <w:vAlign w:val="center"/>
          </w:tcPr>
          <w:p w14:paraId="3E1F3C69">
            <w:pPr>
              <w:widowControl w:val="0"/>
              <w:spacing w:line="240" w:lineRule="atLeast"/>
              <w:jc w:val="center"/>
              <w:textAlignment w:val="auto"/>
              <w:rPr>
                <w:kern w:val="0"/>
                <w:sz w:val="44"/>
                <w:szCs w:val="44"/>
              </w:rPr>
            </w:pPr>
          </w:p>
        </w:tc>
        <w:tc>
          <w:tcPr>
            <w:tcW w:w="688" w:type="dxa"/>
            <w:vAlign w:val="center"/>
          </w:tcPr>
          <w:p w14:paraId="4B55B31B">
            <w:pPr>
              <w:widowControl w:val="0"/>
              <w:spacing w:line="240" w:lineRule="atLeast"/>
              <w:jc w:val="center"/>
              <w:textAlignment w:val="auto"/>
              <w:rPr>
                <w:kern w:val="0"/>
                <w:sz w:val="44"/>
                <w:szCs w:val="44"/>
              </w:rPr>
            </w:pPr>
          </w:p>
        </w:tc>
        <w:tc>
          <w:tcPr>
            <w:tcW w:w="756" w:type="dxa"/>
            <w:vAlign w:val="center"/>
          </w:tcPr>
          <w:p w14:paraId="3EA37B8B">
            <w:pPr>
              <w:widowControl w:val="0"/>
              <w:spacing w:line="240" w:lineRule="atLeast"/>
              <w:jc w:val="center"/>
              <w:textAlignment w:val="auto"/>
              <w:rPr>
                <w:kern w:val="0"/>
                <w:sz w:val="44"/>
                <w:szCs w:val="44"/>
              </w:rPr>
            </w:pPr>
          </w:p>
        </w:tc>
        <w:tc>
          <w:tcPr>
            <w:tcW w:w="756" w:type="dxa"/>
            <w:vAlign w:val="center"/>
          </w:tcPr>
          <w:p w14:paraId="17718502">
            <w:pPr>
              <w:widowControl w:val="0"/>
              <w:spacing w:line="240" w:lineRule="atLeast"/>
              <w:jc w:val="center"/>
              <w:textAlignment w:val="auto"/>
              <w:rPr>
                <w:kern w:val="0"/>
                <w:sz w:val="44"/>
                <w:szCs w:val="44"/>
              </w:rPr>
            </w:pPr>
          </w:p>
        </w:tc>
        <w:tc>
          <w:tcPr>
            <w:tcW w:w="756" w:type="dxa"/>
            <w:vAlign w:val="center"/>
          </w:tcPr>
          <w:p w14:paraId="775FC569">
            <w:pPr>
              <w:widowControl w:val="0"/>
              <w:spacing w:line="240" w:lineRule="atLeast"/>
              <w:jc w:val="center"/>
              <w:textAlignment w:val="auto"/>
              <w:rPr>
                <w:kern w:val="0"/>
                <w:sz w:val="44"/>
                <w:szCs w:val="44"/>
              </w:rPr>
            </w:pPr>
          </w:p>
        </w:tc>
        <w:tc>
          <w:tcPr>
            <w:tcW w:w="756" w:type="dxa"/>
            <w:vAlign w:val="center"/>
          </w:tcPr>
          <w:p w14:paraId="49E3DB5A">
            <w:pPr>
              <w:widowControl w:val="0"/>
              <w:spacing w:line="240" w:lineRule="atLeast"/>
              <w:jc w:val="center"/>
              <w:textAlignment w:val="auto"/>
              <w:rPr>
                <w:kern w:val="0"/>
                <w:sz w:val="44"/>
                <w:szCs w:val="44"/>
              </w:rPr>
            </w:pPr>
          </w:p>
        </w:tc>
      </w:tr>
      <w:tr w14:paraId="580EF8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4" w:type="dxa"/>
            <w:gridSpan w:val="2"/>
            <w:vMerge w:val="continue"/>
            <w:vAlign w:val="center"/>
          </w:tcPr>
          <w:p w14:paraId="7C0A285E">
            <w:pPr>
              <w:widowControl w:val="0"/>
              <w:spacing w:line="240" w:lineRule="atLeast"/>
              <w:jc w:val="center"/>
              <w:textAlignment w:val="auto"/>
              <w:rPr>
                <w:kern w:val="0"/>
                <w:sz w:val="44"/>
                <w:szCs w:val="44"/>
              </w:rPr>
            </w:pPr>
          </w:p>
        </w:tc>
        <w:tc>
          <w:tcPr>
            <w:tcW w:w="687" w:type="dxa"/>
            <w:vAlign w:val="center"/>
          </w:tcPr>
          <w:p w14:paraId="63E5CCA2">
            <w:pPr>
              <w:widowControl w:val="0"/>
              <w:spacing w:line="240" w:lineRule="atLeast"/>
              <w:jc w:val="center"/>
              <w:textAlignment w:val="auto"/>
              <w:rPr>
                <w:kern w:val="0"/>
                <w:sz w:val="44"/>
                <w:szCs w:val="44"/>
              </w:rPr>
            </w:pPr>
          </w:p>
        </w:tc>
        <w:tc>
          <w:tcPr>
            <w:tcW w:w="635" w:type="dxa"/>
            <w:vAlign w:val="center"/>
          </w:tcPr>
          <w:p w14:paraId="35F9BD75">
            <w:pPr>
              <w:widowControl w:val="0"/>
              <w:spacing w:line="240" w:lineRule="atLeast"/>
              <w:jc w:val="center"/>
              <w:textAlignment w:val="auto"/>
              <w:rPr>
                <w:kern w:val="0"/>
                <w:sz w:val="44"/>
                <w:szCs w:val="44"/>
              </w:rPr>
            </w:pPr>
          </w:p>
        </w:tc>
        <w:tc>
          <w:tcPr>
            <w:tcW w:w="739" w:type="dxa"/>
            <w:vAlign w:val="center"/>
          </w:tcPr>
          <w:p w14:paraId="75F4ADF6">
            <w:pPr>
              <w:widowControl w:val="0"/>
              <w:spacing w:line="240" w:lineRule="atLeast"/>
              <w:jc w:val="center"/>
              <w:textAlignment w:val="auto"/>
              <w:rPr>
                <w:kern w:val="0"/>
                <w:sz w:val="44"/>
                <w:szCs w:val="44"/>
              </w:rPr>
            </w:pPr>
          </w:p>
        </w:tc>
        <w:tc>
          <w:tcPr>
            <w:tcW w:w="687" w:type="dxa"/>
            <w:vAlign w:val="center"/>
          </w:tcPr>
          <w:p w14:paraId="4B36AA7A">
            <w:pPr>
              <w:widowControl w:val="0"/>
              <w:spacing w:line="240" w:lineRule="atLeast"/>
              <w:jc w:val="center"/>
              <w:textAlignment w:val="auto"/>
              <w:rPr>
                <w:kern w:val="0"/>
                <w:sz w:val="44"/>
                <w:szCs w:val="44"/>
              </w:rPr>
            </w:pPr>
          </w:p>
        </w:tc>
        <w:tc>
          <w:tcPr>
            <w:tcW w:w="688" w:type="dxa"/>
            <w:vAlign w:val="center"/>
          </w:tcPr>
          <w:p w14:paraId="1772E76F">
            <w:pPr>
              <w:widowControl w:val="0"/>
              <w:spacing w:line="240" w:lineRule="atLeast"/>
              <w:jc w:val="center"/>
              <w:textAlignment w:val="auto"/>
              <w:rPr>
                <w:kern w:val="0"/>
                <w:sz w:val="44"/>
                <w:szCs w:val="44"/>
              </w:rPr>
            </w:pPr>
          </w:p>
        </w:tc>
        <w:tc>
          <w:tcPr>
            <w:tcW w:w="688" w:type="dxa"/>
            <w:vAlign w:val="center"/>
          </w:tcPr>
          <w:p w14:paraId="5AB2A823">
            <w:pPr>
              <w:widowControl w:val="0"/>
              <w:spacing w:line="240" w:lineRule="atLeast"/>
              <w:jc w:val="center"/>
              <w:textAlignment w:val="auto"/>
              <w:rPr>
                <w:kern w:val="0"/>
                <w:sz w:val="44"/>
                <w:szCs w:val="44"/>
              </w:rPr>
            </w:pPr>
          </w:p>
        </w:tc>
        <w:tc>
          <w:tcPr>
            <w:tcW w:w="756" w:type="dxa"/>
            <w:vAlign w:val="center"/>
          </w:tcPr>
          <w:p w14:paraId="0B52DD20">
            <w:pPr>
              <w:widowControl w:val="0"/>
              <w:spacing w:line="240" w:lineRule="atLeast"/>
              <w:jc w:val="center"/>
              <w:textAlignment w:val="auto"/>
              <w:rPr>
                <w:kern w:val="0"/>
                <w:sz w:val="44"/>
                <w:szCs w:val="44"/>
              </w:rPr>
            </w:pPr>
          </w:p>
        </w:tc>
        <w:tc>
          <w:tcPr>
            <w:tcW w:w="756" w:type="dxa"/>
            <w:vAlign w:val="center"/>
          </w:tcPr>
          <w:p w14:paraId="2D85C17D">
            <w:pPr>
              <w:widowControl w:val="0"/>
              <w:spacing w:line="240" w:lineRule="atLeast"/>
              <w:jc w:val="center"/>
              <w:textAlignment w:val="auto"/>
              <w:rPr>
                <w:kern w:val="0"/>
                <w:sz w:val="44"/>
                <w:szCs w:val="44"/>
              </w:rPr>
            </w:pPr>
          </w:p>
        </w:tc>
        <w:tc>
          <w:tcPr>
            <w:tcW w:w="756" w:type="dxa"/>
            <w:vAlign w:val="center"/>
          </w:tcPr>
          <w:p w14:paraId="7E3D9071">
            <w:pPr>
              <w:widowControl w:val="0"/>
              <w:spacing w:line="240" w:lineRule="atLeast"/>
              <w:jc w:val="center"/>
              <w:textAlignment w:val="auto"/>
              <w:rPr>
                <w:kern w:val="0"/>
                <w:sz w:val="44"/>
                <w:szCs w:val="44"/>
              </w:rPr>
            </w:pPr>
          </w:p>
        </w:tc>
        <w:tc>
          <w:tcPr>
            <w:tcW w:w="756" w:type="dxa"/>
            <w:vAlign w:val="center"/>
          </w:tcPr>
          <w:p w14:paraId="661ADA30">
            <w:pPr>
              <w:widowControl w:val="0"/>
              <w:spacing w:line="240" w:lineRule="atLeast"/>
              <w:jc w:val="center"/>
              <w:textAlignment w:val="auto"/>
              <w:rPr>
                <w:kern w:val="0"/>
                <w:sz w:val="44"/>
                <w:szCs w:val="44"/>
              </w:rPr>
            </w:pPr>
          </w:p>
        </w:tc>
      </w:tr>
      <w:tr w14:paraId="62C976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4" w:type="dxa"/>
            <w:gridSpan w:val="2"/>
            <w:vMerge w:val="continue"/>
            <w:vAlign w:val="center"/>
          </w:tcPr>
          <w:p w14:paraId="625E2765">
            <w:pPr>
              <w:widowControl w:val="0"/>
              <w:spacing w:line="240" w:lineRule="atLeast"/>
              <w:jc w:val="center"/>
              <w:textAlignment w:val="auto"/>
              <w:rPr>
                <w:kern w:val="0"/>
                <w:sz w:val="44"/>
                <w:szCs w:val="44"/>
              </w:rPr>
            </w:pPr>
          </w:p>
        </w:tc>
        <w:tc>
          <w:tcPr>
            <w:tcW w:w="687" w:type="dxa"/>
            <w:vAlign w:val="center"/>
          </w:tcPr>
          <w:p w14:paraId="7F83F4CC">
            <w:pPr>
              <w:widowControl w:val="0"/>
              <w:spacing w:line="240" w:lineRule="atLeast"/>
              <w:jc w:val="center"/>
              <w:textAlignment w:val="auto"/>
              <w:rPr>
                <w:kern w:val="0"/>
                <w:sz w:val="44"/>
                <w:szCs w:val="44"/>
              </w:rPr>
            </w:pPr>
          </w:p>
        </w:tc>
        <w:tc>
          <w:tcPr>
            <w:tcW w:w="635" w:type="dxa"/>
            <w:vAlign w:val="center"/>
          </w:tcPr>
          <w:p w14:paraId="03CCA9E7">
            <w:pPr>
              <w:widowControl w:val="0"/>
              <w:spacing w:line="240" w:lineRule="atLeast"/>
              <w:jc w:val="center"/>
              <w:textAlignment w:val="auto"/>
              <w:rPr>
                <w:kern w:val="0"/>
                <w:sz w:val="44"/>
                <w:szCs w:val="44"/>
              </w:rPr>
            </w:pPr>
          </w:p>
        </w:tc>
        <w:tc>
          <w:tcPr>
            <w:tcW w:w="739" w:type="dxa"/>
            <w:vAlign w:val="center"/>
          </w:tcPr>
          <w:p w14:paraId="55C94D9A">
            <w:pPr>
              <w:widowControl w:val="0"/>
              <w:spacing w:line="240" w:lineRule="atLeast"/>
              <w:jc w:val="center"/>
              <w:textAlignment w:val="auto"/>
              <w:rPr>
                <w:kern w:val="0"/>
                <w:sz w:val="44"/>
                <w:szCs w:val="44"/>
              </w:rPr>
            </w:pPr>
          </w:p>
        </w:tc>
        <w:tc>
          <w:tcPr>
            <w:tcW w:w="687" w:type="dxa"/>
            <w:vAlign w:val="center"/>
          </w:tcPr>
          <w:p w14:paraId="2F856782">
            <w:pPr>
              <w:widowControl w:val="0"/>
              <w:spacing w:line="240" w:lineRule="atLeast"/>
              <w:jc w:val="center"/>
              <w:textAlignment w:val="auto"/>
              <w:rPr>
                <w:kern w:val="0"/>
                <w:sz w:val="44"/>
                <w:szCs w:val="44"/>
              </w:rPr>
            </w:pPr>
          </w:p>
        </w:tc>
        <w:tc>
          <w:tcPr>
            <w:tcW w:w="688" w:type="dxa"/>
            <w:vAlign w:val="center"/>
          </w:tcPr>
          <w:p w14:paraId="783FFAFE">
            <w:pPr>
              <w:widowControl w:val="0"/>
              <w:spacing w:line="240" w:lineRule="atLeast"/>
              <w:jc w:val="center"/>
              <w:textAlignment w:val="auto"/>
              <w:rPr>
                <w:kern w:val="0"/>
                <w:sz w:val="44"/>
                <w:szCs w:val="44"/>
              </w:rPr>
            </w:pPr>
          </w:p>
        </w:tc>
        <w:tc>
          <w:tcPr>
            <w:tcW w:w="688" w:type="dxa"/>
            <w:vAlign w:val="center"/>
          </w:tcPr>
          <w:p w14:paraId="0D86B8C2">
            <w:pPr>
              <w:widowControl w:val="0"/>
              <w:spacing w:line="240" w:lineRule="atLeast"/>
              <w:jc w:val="center"/>
              <w:textAlignment w:val="auto"/>
              <w:rPr>
                <w:kern w:val="0"/>
                <w:sz w:val="44"/>
                <w:szCs w:val="44"/>
              </w:rPr>
            </w:pPr>
          </w:p>
        </w:tc>
        <w:tc>
          <w:tcPr>
            <w:tcW w:w="756" w:type="dxa"/>
            <w:vAlign w:val="center"/>
          </w:tcPr>
          <w:p w14:paraId="76CA8308">
            <w:pPr>
              <w:widowControl w:val="0"/>
              <w:spacing w:line="240" w:lineRule="atLeast"/>
              <w:jc w:val="center"/>
              <w:textAlignment w:val="auto"/>
              <w:rPr>
                <w:kern w:val="0"/>
                <w:sz w:val="44"/>
                <w:szCs w:val="44"/>
              </w:rPr>
            </w:pPr>
          </w:p>
        </w:tc>
        <w:tc>
          <w:tcPr>
            <w:tcW w:w="756" w:type="dxa"/>
            <w:vAlign w:val="center"/>
          </w:tcPr>
          <w:p w14:paraId="69B15D10">
            <w:pPr>
              <w:widowControl w:val="0"/>
              <w:spacing w:line="240" w:lineRule="atLeast"/>
              <w:jc w:val="center"/>
              <w:textAlignment w:val="auto"/>
              <w:rPr>
                <w:kern w:val="0"/>
                <w:sz w:val="44"/>
                <w:szCs w:val="44"/>
              </w:rPr>
            </w:pPr>
          </w:p>
        </w:tc>
        <w:tc>
          <w:tcPr>
            <w:tcW w:w="756" w:type="dxa"/>
            <w:vAlign w:val="center"/>
          </w:tcPr>
          <w:p w14:paraId="52907126">
            <w:pPr>
              <w:widowControl w:val="0"/>
              <w:spacing w:line="240" w:lineRule="atLeast"/>
              <w:jc w:val="center"/>
              <w:textAlignment w:val="auto"/>
              <w:rPr>
                <w:kern w:val="0"/>
                <w:sz w:val="44"/>
                <w:szCs w:val="44"/>
              </w:rPr>
            </w:pPr>
          </w:p>
        </w:tc>
        <w:tc>
          <w:tcPr>
            <w:tcW w:w="756" w:type="dxa"/>
            <w:vAlign w:val="center"/>
          </w:tcPr>
          <w:p w14:paraId="726F2970">
            <w:pPr>
              <w:widowControl w:val="0"/>
              <w:spacing w:line="240" w:lineRule="atLeast"/>
              <w:jc w:val="center"/>
              <w:textAlignment w:val="auto"/>
              <w:rPr>
                <w:kern w:val="0"/>
                <w:sz w:val="44"/>
                <w:szCs w:val="44"/>
              </w:rPr>
            </w:pPr>
          </w:p>
        </w:tc>
      </w:tr>
    </w:tbl>
    <w:p w14:paraId="0331BE06">
      <w:pPr>
        <w:widowControl w:val="0"/>
        <w:spacing w:line="240" w:lineRule="atLeast"/>
        <w:textAlignment w:val="auto"/>
        <w:rPr>
          <w:sz w:val="18"/>
          <w:szCs w:val="18"/>
        </w:rPr>
      </w:pPr>
      <w:r>
        <w:rPr>
          <w:rFonts w:hint="eastAsia"/>
          <w:sz w:val="18"/>
          <w:szCs w:val="18"/>
        </w:rPr>
        <w:t>注：</w:t>
      </w:r>
      <w:r>
        <w:rPr>
          <w:sz w:val="18"/>
          <w:szCs w:val="18"/>
        </w:rPr>
        <w:t>1</w:t>
      </w:r>
      <w:r>
        <w:rPr>
          <w:rFonts w:hint="eastAsia"/>
          <w:sz w:val="18"/>
          <w:szCs w:val="18"/>
        </w:rPr>
        <w:t>、如不使用省级或行业建设主管部门发布的计价依据，可不填写定额编号。</w:t>
      </w:r>
    </w:p>
    <w:p w14:paraId="5C0CDDB9">
      <w:pPr>
        <w:widowControl w:val="0"/>
        <w:numPr>
          <w:ilvl w:val="0"/>
          <w:numId w:val="9"/>
        </w:numPr>
        <w:spacing w:line="240" w:lineRule="atLeast"/>
        <w:textAlignment w:val="auto"/>
        <w:rPr>
          <w:sz w:val="18"/>
          <w:szCs w:val="18"/>
        </w:rPr>
      </w:pPr>
      <w:r>
        <w:rPr>
          <w:rFonts w:hint="eastAsia"/>
          <w:sz w:val="18"/>
          <w:szCs w:val="18"/>
        </w:rPr>
        <w:t>招标文件提供了暂估单价的材料，安暂估价的单价填入表内</w:t>
      </w:r>
      <w:r>
        <w:rPr>
          <w:sz w:val="18"/>
          <w:szCs w:val="18"/>
        </w:rPr>
        <w:t>“</w:t>
      </w:r>
      <w:r>
        <w:rPr>
          <w:rFonts w:hint="eastAsia"/>
          <w:sz w:val="18"/>
          <w:szCs w:val="18"/>
        </w:rPr>
        <w:t>暂估单价</w:t>
      </w:r>
      <w:r>
        <w:rPr>
          <w:sz w:val="18"/>
          <w:szCs w:val="18"/>
        </w:rPr>
        <w:t>”</w:t>
      </w:r>
      <w:r>
        <w:rPr>
          <w:rFonts w:hint="eastAsia"/>
          <w:sz w:val="18"/>
          <w:szCs w:val="18"/>
        </w:rPr>
        <w:t>栏及</w:t>
      </w:r>
      <w:r>
        <w:rPr>
          <w:sz w:val="18"/>
          <w:szCs w:val="18"/>
        </w:rPr>
        <w:t>“</w:t>
      </w:r>
      <w:r>
        <w:rPr>
          <w:rFonts w:hint="eastAsia"/>
          <w:sz w:val="18"/>
          <w:szCs w:val="18"/>
        </w:rPr>
        <w:t>暂估合价</w:t>
      </w:r>
      <w:r>
        <w:rPr>
          <w:sz w:val="18"/>
          <w:szCs w:val="18"/>
        </w:rPr>
        <w:t>”</w:t>
      </w:r>
      <w:r>
        <w:rPr>
          <w:rFonts w:hint="eastAsia"/>
          <w:sz w:val="18"/>
          <w:szCs w:val="18"/>
        </w:rPr>
        <w:t>栏。</w:t>
      </w:r>
    </w:p>
    <w:p w14:paraId="38A990D3">
      <w:pPr>
        <w:widowControl w:val="0"/>
        <w:tabs>
          <w:tab w:val="left" w:pos="6135"/>
        </w:tabs>
        <w:textAlignment w:val="auto"/>
        <w:rPr>
          <w:rFonts w:eastAsia="黑体"/>
        </w:rPr>
      </w:pPr>
    </w:p>
    <w:p w14:paraId="5AF78F3D">
      <w:pPr>
        <w:widowControl w:val="0"/>
        <w:tabs>
          <w:tab w:val="left" w:pos="6135"/>
        </w:tabs>
        <w:spacing w:before="156" w:beforeLines="50"/>
        <w:jc w:val="right"/>
        <w:textAlignment w:val="auto"/>
        <w:rPr>
          <w:rFonts w:eastAsia="黑体"/>
        </w:rPr>
      </w:pPr>
      <w:r>
        <w:rPr>
          <w:rFonts w:hint="eastAsia" w:eastAsia="黑体"/>
        </w:rPr>
        <w:t>表</w:t>
      </w:r>
      <w:r>
        <w:rPr>
          <w:rFonts w:eastAsia="黑体"/>
        </w:rPr>
        <w:t>-09</w:t>
      </w:r>
    </w:p>
    <w:p w14:paraId="71965A12">
      <w:pPr>
        <w:widowControl w:val="0"/>
        <w:tabs>
          <w:tab w:val="left" w:pos="6135"/>
        </w:tabs>
        <w:jc w:val="center"/>
        <w:textAlignment w:val="auto"/>
        <w:rPr>
          <w:rFonts w:eastAsia="黑体"/>
          <w:sz w:val="32"/>
          <w:szCs w:val="32"/>
        </w:rPr>
      </w:pPr>
      <w:r>
        <w:rPr>
          <w:rFonts w:eastAsia="黑体"/>
          <w:sz w:val="32"/>
          <w:szCs w:val="32"/>
        </w:rPr>
        <w:t>F.4</w:t>
      </w:r>
      <w:r>
        <w:rPr>
          <w:rFonts w:hint="eastAsia" w:eastAsia="黑体"/>
          <w:sz w:val="32"/>
          <w:szCs w:val="32"/>
        </w:rPr>
        <w:t>总价措施项目清单与计价表</w:t>
      </w:r>
    </w:p>
    <w:p w14:paraId="3D941E6E">
      <w:pPr>
        <w:widowControl w:val="0"/>
        <w:tabs>
          <w:tab w:val="left" w:pos="12120"/>
        </w:tabs>
        <w:spacing w:line="360" w:lineRule="auto"/>
        <w:ind w:left="105" w:hanging="105" w:hangingChars="50"/>
        <w:textAlignment w:val="auto"/>
        <w:rPr>
          <w:szCs w:val="21"/>
        </w:rPr>
      </w:pPr>
      <w:r>
        <w:rPr>
          <w:rFonts w:hint="eastAsia"/>
          <w:szCs w:val="21"/>
        </w:rPr>
        <w:t>工程名称：</w:t>
      </w:r>
      <w:r>
        <w:rPr>
          <w:szCs w:val="21"/>
        </w:rPr>
        <w:t xml:space="preserve">                             </w:t>
      </w:r>
      <w:r>
        <w:rPr>
          <w:rFonts w:hint="eastAsia"/>
          <w:szCs w:val="21"/>
        </w:rPr>
        <w:t>标段</w:t>
      </w:r>
      <w:r>
        <w:rPr>
          <w:szCs w:val="21"/>
        </w:rPr>
        <w:t xml:space="preserve"> </w:t>
      </w:r>
      <w:r>
        <w:rPr>
          <w:rFonts w:hint="eastAsia"/>
          <w:szCs w:val="21"/>
        </w:rPr>
        <w:t>：</w:t>
      </w:r>
      <w:r>
        <w:rPr>
          <w:szCs w:val="21"/>
        </w:rPr>
        <w:t xml:space="preserve">                    </w:t>
      </w:r>
      <w:r>
        <w:rPr>
          <w:rFonts w:hint="eastAsia"/>
          <w:szCs w:val="21"/>
        </w:rPr>
        <w:t>第</w:t>
      </w:r>
      <w:r>
        <w:rPr>
          <w:szCs w:val="21"/>
        </w:rPr>
        <w:t xml:space="preserve">  </w:t>
      </w:r>
      <w:r>
        <w:rPr>
          <w:rFonts w:hint="eastAsia"/>
          <w:szCs w:val="21"/>
        </w:rPr>
        <w:t>页</w:t>
      </w:r>
      <w:r>
        <w:rPr>
          <w:szCs w:val="21"/>
        </w:rPr>
        <w:t xml:space="preserve"> </w:t>
      </w:r>
      <w:r>
        <w:rPr>
          <w:rFonts w:hint="eastAsia"/>
          <w:szCs w:val="21"/>
        </w:rPr>
        <w:t>共</w:t>
      </w:r>
      <w:r>
        <w:rPr>
          <w:szCs w:val="21"/>
        </w:rPr>
        <w:t xml:space="preserve">  </w:t>
      </w:r>
      <w:r>
        <w:rPr>
          <w:rFonts w:hint="eastAsia"/>
          <w:szCs w:val="21"/>
        </w:rPr>
        <w:t>页</w:t>
      </w:r>
    </w:p>
    <w:tbl>
      <w:tblPr>
        <w:tblStyle w:val="45"/>
        <w:tblW w:w="8750" w:type="dxa"/>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608"/>
        <w:gridCol w:w="1423"/>
        <w:gridCol w:w="1845"/>
        <w:gridCol w:w="1149"/>
        <w:gridCol w:w="662"/>
        <w:gridCol w:w="767"/>
        <w:gridCol w:w="803"/>
        <w:gridCol w:w="802"/>
        <w:gridCol w:w="691"/>
      </w:tblGrid>
      <w:tr w14:paraId="4996C5C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851" w:hRule="atLeast"/>
          <w:jc w:val="center"/>
        </w:trPr>
        <w:tc>
          <w:tcPr>
            <w:tcW w:w="608" w:type="dxa"/>
            <w:shd w:val="clear" w:color="FFFFFF" w:fill="FFFFFF"/>
            <w:vAlign w:val="center"/>
          </w:tcPr>
          <w:p w14:paraId="7E9EE350">
            <w:pPr>
              <w:jc w:val="center"/>
              <w:textAlignment w:val="auto"/>
              <w:rPr>
                <w:kern w:val="0"/>
                <w:sz w:val="24"/>
              </w:rPr>
            </w:pPr>
            <w:r>
              <w:rPr>
                <w:rFonts w:hint="eastAsia"/>
                <w:kern w:val="0"/>
                <w:sz w:val="24"/>
              </w:rPr>
              <w:t>序号</w:t>
            </w:r>
          </w:p>
        </w:tc>
        <w:tc>
          <w:tcPr>
            <w:tcW w:w="1423" w:type="dxa"/>
            <w:shd w:val="clear" w:color="FFFFFF" w:fill="FFFFFF"/>
            <w:vAlign w:val="center"/>
          </w:tcPr>
          <w:p w14:paraId="69364E9D">
            <w:pPr>
              <w:jc w:val="center"/>
              <w:textAlignment w:val="auto"/>
              <w:rPr>
                <w:kern w:val="0"/>
                <w:sz w:val="24"/>
              </w:rPr>
            </w:pPr>
            <w:r>
              <w:rPr>
                <w:rFonts w:hint="eastAsia"/>
                <w:kern w:val="0"/>
                <w:sz w:val="24"/>
              </w:rPr>
              <w:t>项目编码</w:t>
            </w:r>
          </w:p>
        </w:tc>
        <w:tc>
          <w:tcPr>
            <w:tcW w:w="1845" w:type="dxa"/>
            <w:shd w:val="clear" w:color="FFFFFF" w:fill="FFFFFF"/>
            <w:vAlign w:val="center"/>
          </w:tcPr>
          <w:p w14:paraId="4B1D5E8D">
            <w:pPr>
              <w:jc w:val="center"/>
              <w:textAlignment w:val="auto"/>
              <w:rPr>
                <w:kern w:val="0"/>
                <w:sz w:val="24"/>
              </w:rPr>
            </w:pPr>
            <w:r>
              <w:rPr>
                <w:rFonts w:hint="eastAsia"/>
                <w:kern w:val="0"/>
                <w:sz w:val="24"/>
              </w:rPr>
              <w:t>项目名称</w:t>
            </w:r>
          </w:p>
        </w:tc>
        <w:tc>
          <w:tcPr>
            <w:tcW w:w="1149" w:type="dxa"/>
            <w:shd w:val="clear" w:color="FFFFFF" w:fill="FFFFFF"/>
            <w:vAlign w:val="center"/>
          </w:tcPr>
          <w:p w14:paraId="4A7F70BD">
            <w:pPr>
              <w:jc w:val="center"/>
              <w:textAlignment w:val="auto"/>
              <w:rPr>
                <w:kern w:val="0"/>
                <w:sz w:val="24"/>
              </w:rPr>
            </w:pPr>
            <w:r>
              <w:rPr>
                <w:rFonts w:hint="eastAsia"/>
                <w:kern w:val="0"/>
                <w:sz w:val="24"/>
              </w:rPr>
              <w:t>计算基础</w:t>
            </w:r>
          </w:p>
        </w:tc>
        <w:tc>
          <w:tcPr>
            <w:tcW w:w="662" w:type="dxa"/>
            <w:shd w:val="clear" w:color="FFFFFF" w:fill="FFFFFF"/>
            <w:vAlign w:val="center"/>
          </w:tcPr>
          <w:p w14:paraId="01D3AE82">
            <w:pPr>
              <w:jc w:val="center"/>
              <w:textAlignment w:val="auto"/>
              <w:rPr>
                <w:kern w:val="0"/>
                <w:sz w:val="24"/>
              </w:rPr>
            </w:pPr>
            <w:r>
              <w:rPr>
                <w:rFonts w:hint="eastAsia"/>
                <w:kern w:val="0"/>
                <w:sz w:val="24"/>
              </w:rPr>
              <w:t>费率</w:t>
            </w:r>
            <w:r>
              <w:rPr>
                <w:kern w:val="0"/>
                <w:sz w:val="24"/>
              </w:rPr>
              <w:t>(%)</w:t>
            </w:r>
          </w:p>
        </w:tc>
        <w:tc>
          <w:tcPr>
            <w:tcW w:w="767" w:type="dxa"/>
            <w:shd w:val="clear" w:color="FFFFFF" w:fill="FFFFFF"/>
            <w:vAlign w:val="center"/>
          </w:tcPr>
          <w:p w14:paraId="5D7720A5">
            <w:pPr>
              <w:jc w:val="center"/>
              <w:textAlignment w:val="auto"/>
              <w:rPr>
                <w:kern w:val="0"/>
                <w:sz w:val="24"/>
              </w:rPr>
            </w:pPr>
            <w:r>
              <w:rPr>
                <w:rFonts w:hint="eastAsia"/>
                <w:kern w:val="0"/>
                <w:sz w:val="24"/>
              </w:rPr>
              <w:t>金额</w:t>
            </w:r>
            <w:r>
              <w:rPr>
                <w:kern w:val="0"/>
                <w:sz w:val="24"/>
              </w:rPr>
              <w:t>(</w:t>
            </w:r>
            <w:r>
              <w:rPr>
                <w:rFonts w:hint="eastAsia"/>
                <w:kern w:val="0"/>
                <w:sz w:val="24"/>
              </w:rPr>
              <w:t>元</w:t>
            </w:r>
            <w:r>
              <w:rPr>
                <w:kern w:val="0"/>
                <w:sz w:val="24"/>
              </w:rPr>
              <w:t>)</w:t>
            </w:r>
          </w:p>
        </w:tc>
        <w:tc>
          <w:tcPr>
            <w:tcW w:w="803" w:type="dxa"/>
            <w:shd w:val="clear" w:color="FFFFFF" w:fill="FFFFFF"/>
            <w:vAlign w:val="center"/>
          </w:tcPr>
          <w:p w14:paraId="3D699F6A">
            <w:pPr>
              <w:jc w:val="center"/>
              <w:textAlignment w:val="auto"/>
              <w:rPr>
                <w:kern w:val="0"/>
                <w:sz w:val="24"/>
              </w:rPr>
            </w:pPr>
            <w:r>
              <w:rPr>
                <w:rFonts w:hint="eastAsia"/>
                <w:kern w:val="0"/>
                <w:sz w:val="24"/>
              </w:rPr>
              <w:t>调整费率</w:t>
            </w:r>
            <w:r>
              <w:rPr>
                <w:kern w:val="0"/>
                <w:sz w:val="24"/>
              </w:rPr>
              <w:t>(%)</w:t>
            </w:r>
          </w:p>
        </w:tc>
        <w:tc>
          <w:tcPr>
            <w:tcW w:w="802" w:type="dxa"/>
            <w:shd w:val="clear" w:color="FFFFFF" w:fill="FFFFFF"/>
            <w:vAlign w:val="center"/>
          </w:tcPr>
          <w:p w14:paraId="1EB3C7FB">
            <w:pPr>
              <w:jc w:val="center"/>
              <w:textAlignment w:val="auto"/>
              <w:rPr>
                <w:kern w:val="0"/>
                <w:sz w:val="24"/>
              </w:rPr>
            </w:pPr>
            <w:r>
              <w:rPr>
                <w:rFonts w:hint="eastAsia"/>
                <w:kern w:val="0"/>
                <w:sz w:val="24"/>
              </w:rPr>
              <w:t>调整后金额</w:t>
            </w:r>
            <w:r>
              <w:rPr>
                <w:kern w:val="0"/>
                <w:sz w:val="24"/>
              </w:rPr>
              <w:t>(</w:t>
            </w:r>
            <w:r>
              <w:rPr>
                <w:rFonts w:hint="eastAsia"/>
                <w:kern w:val="0"/>
                <w:sz w:val="24"/>
              </w:rPr>
              <w:t>元</w:t>
            </w:r>
            <w:r>
              <w:rPr>
                <w:kern w:val="0"/>
                <w:sz w:val="24"/>
              </w:rPr>
              <w:t>)</w:t>
            </w:r>
          </w:p>
        </w:tc>
        <w:tc>
          <w:tcPr>
            <w:tcW w:w="691" w:type="dxa"/>
            <w:shd w:val="clear" w:color="FFFFFF" w:fill="FFFFFF"/>
            <w:vAlign w:val="center"/>
          </w:tcPr>
          <w:p w14:paraId="4D7F1887">
            <w:pPr>
              <w:jc w:val="center"/>
              <w:textAlignment w:val="auto"/>
              <w:rPr>
                <w:kern w:val="0"/>
                <w:sz w:val="24"/>
              </w:rPr>
            </w:pPr>
            <w:r>
              <w:rPr>
                <w:rFonts w:hint="eastAsia"/>
                <w:kern w:val="0"/>
                <w:sz w:val="24"/>
              </w:rPr>
              <w:t>备注</w:t>
            </w:r>
          </w:p>
        </w:tc>
      </w:tr>
      <w:tr w14:paraId="0AB5019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851" w:hRule="atLeast"/>
          <w:jc w:val="center"/>
        </w:trPr>
        <w:tc>
          <w:tcPr>
            <w:tcW w:w="608" w:type="dxa"/>
            <w:shd w:val="clear" w:color="FFFFFF" w:fill="FFFFFF"/>
            <w:vAlign w:val="center"/>
          </w:tcPr>
          <w:p w14:paraId="34BF8E9B">
            <w:pPr>
              <w:jc w:val="center"/>
              <w:textAlignment w:val="auto"/>
              <w:rPr>
                <w:kern w:val="0"/>
                <w:sz w:val="18"/>
                <w:szCs w:val="18"/>
              </w:rPr>
            </w:pPr>
          </w:p>
        </w:tc>
        <w:tc>
          <w:tcPr>
            <w:tcW w:w="1423" w:type="dxa"/>
            <w:shd w:val="clear" w:color="FFFFFF" w:fill="FFFFFF"/>
            <w:vAlign w:val="center"/>
          </w:tcPr>
          <w:p w14:paraId="676A15A3">
            <w:pPr>
              <w:jc w:val="center"/>
              <w:textAlignment w:val="auto"/>
              <w:rPr>
                <w:kern w:val="0"/>
                <w:sz w:val="18"/>
                <w:szCs w:val="18"/>
              </w:rPr>
            </w:pPr>
          </w:p>
        </w:tc>
        <w:tc>
          <w:tcPr>
            <w:tcW w:w="1845" w:type="dxa"/>
            <w:shd w:val="clear" w:color="FFFFFF" w:fill="FFFFFF"/>
            <w:vAlign w:val="center"/>
          </w:tcPr>
          <w:p w14:paraId="6D7FD4A9">
            <w:pPr>
              <w:jc w:val="center"/>
              <w:textAlignment w:val="auto"/>
              <w:rPr>
                <w:kern w:val="0"/>
                <w:sz w:val="18"/>
                <w:szCs w:val="18"/>
              </w:rPr>
            </w:pPr>
            <w:r>
              <w:rPr>
                <w:rFonts w:hint="eastAsia"/>
                <w:kern w:val="0"/>
                <w:sz w:val="18"/>
                <w:szCs w:val="18"/>
              </w:rPr>
              <w:t>安全文明施工费</w:t>
            </w:r>
          </w:p>
        </w:tc>
        <w:tc>
          <w:tcPr>
            <w:tcW w:w="1149" w:type="dxa"/>
            <w:shd w:val="clear" w:color="FFFFFF" w:fill="FFFFFF"/>
            <w:vAlign w:val="center"/>
          </w:tcPr>
          <w:p w14:paraId="19FD8551">
            <w:pPr>
              <w:jc w:val="left"/>
              <w:textAlignment w:val="auto"/>
              <w:rPr>
                <w:kern w:val="0"/>
                <w:sz w:val="18"/>
                <w:szCs w:val="18"/>
              </w:rPr>
            </w:pPr>
            <w:r>
              <w:rPr>
                <w:rFonts w:hint="eastAsia"/>
                <w:kern w:val="0"/>
                <w:sz w:val="18"/>
                <w:szCs w:val="18"/>
              </w:rPr>
              <w:t>　</w:t>
            </w:r>
          </w:p>
        </w:tc>
        <w:tc>
          <w:tcPr>
            <w:tcW w:w="662" w:type="dxa"/>
            <w:shd w:val="clear" w:color="FFFFFF" w:fill="FFFFFF"/>
            <w:vAlign w:val="center"/>
          </w:tcPr>
          <w:p w14:paraId="05BB3C6D">
            <w:pPr>
              <w:jc w:val="right"/>
              <w:textAlignment w:val="auto"/>
              <w:rPr>
                <w:kern w:val="0"/>
                <w:sz w:val="18"/>
                <w:szCs w:val="18"/>
              </w:rPr>
            </w:pPr>
            <w:r>
              <w:rPr>
                <w:rFonts w:hint="eastAsia"/>
                <w:kern w:val="0"/>
                <w:sz w:val="18"/>
                <w:szCs w:val="18"/>
              </w:rPr>
              <w:t>　</w:t>
            </w:r>
          </w:p>
        </w:tc>
        <w:tc>
          <w:tcPr>
            <w:tcW w:w="767" w:type="dxa"/>
            <w:shd w:val="clear" w:color="FFFFFF" w:fill="FFFFFF"/>
            <w:vAlign w:val="center"/>
          </w:tcPr>
          <w:p w14:paraId="3DF4B9DB">
            <w:pPr>
              <w:jc w:val="right"/>
              <w:textAlignment w:val="auto"/>
              <w:rPr>
                <w:kern w:val="0"/>
                <w:sz w:val="18"/>
                <w:szCs w:val="18"/>
              </w:rPr>
            </w:pPr>
            <w:r>
              <w:rPr>
                <w:rFonts w:hint="eastAsia"/>
                <w:kern w:val="0"/>
                <w:sz w:val="18"/>
                <w:szCs w:val="18"/>
              </w:rPr>
              <w:t>　</w:t>
            </w:r>
          </w:p>
        </w:tc>
        <w:tc>
          <w:tcPr>
            <w:tcW w:w="803" w:type="dxa"/>
            <w:shd w:val="clear" w:color="FFFFFF" w:fill="FFFFFF"/>
            <w:vAlign w:val="center"/>
          </w:tcPr>
          <w:p w14:paraId="5D4E9A17">
            <w:pPr>
              <w:jc w:val="right"/>
              <w:textAlignment w:val="auto"/>
              <w:rPr>
                <w:kern w:val="0"/>
                <w:sz w:val="18"/>
                <w:szCs w:val="18"/>
              </w:rPr>
            </w:pPr>
            <w:r>
              <w:rPr>
                <w:rFonts w:hint="eastAsia"/>
                <w:kern w:val="0"/>
                <w:sz w:val="18"/>
                <w:szCs w:val="18"/>
              </w:rPr>
              <w:t>　</w:t>
            </w:r>
          </w:p>
        </w:tc>
        <w:tc>
          <w:tcPr>
            <w:tcW w:w="802" w:type="dxa"/>
            <w:shd w:val="clear" w:color="FFFFFF" w:fill="FFFFFF"/>
            <w:vAlign w:val="center"/>
          </w:tcPr>
          <w:p w14:paraId="6DDA92DC">
            <w:pPr>
              <w:jc w:val="right"/>
              <w:textAlignment w:val="auto"/>
              <w:rPr>
                <w:kern w:val="0"/>
                <w:sz w:val="18"/>
                <w:szCs w:val="18"/>
              </w:rPr>
            </w:pPr>
            <w:r>
              <w:rPr>
                <w:rFonts w:hint="eastAsia"/>
                <w:kern w:val="0"/>
                <w:sz w:val="18"/>
                <w:szCs w:val="18"/>
              </w:rPr>
              <w:t>　</w:t>
            </w:r>
          </w:p>
        </w:tc>
        <w:tc>
          <w:tcPr>
            <w:tcW w:w="691" w:type="dxa"/>
            <w:shd w:val="clear" w:color="FFFFFF" w:fill="FFFFFF"/>
            <w:vAlign w:val="center"/>
          </w:tcPr>
          <w:p w14:paraId="7FA6AA31">
            <w:pPr>
              <w:jc w:val="right"/>
              <w:textAlignment w:val="auto"/>
              <w:rPr>
                <w:kern w:val="0"/>
                <w:sz w:val="18"/>
                <w:szCs w:val="18"/>
              </w:rPr>
            </w:pPr>
            <w:r>
              <w:rPr>
                <w:rFonts w:hint="eastAsia"/>
                <w:kern w:val="0"/>
                <w:sz w:val="18"/>
                <w:szCs w:val="18"/>
              </w:rPr>
              <w:t>　</w:t>
            </w:r>
          </w:p>
        </w:tc>
      </w:tr>
      <w:tr w14:paraId="56A24F8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851" w:hRule="atLeast"/>
          <w:jc w:val="center"/>
        </w:trPr>
        <w:tc>
          <w:tcPr>
            <w:tcW w:w="608" w:type="dxa"/>
            <w:shd w:val="clear" w:color="FFFFFF" w:fill="FFFFFF"/>
            <w:vAlign w:val="center"/>
          </w:tcPr>
          <w:p w14:paraId="05E3169C">
            <w:pPr>
              <w:jc w:val="center"/>
              <w:textAlignment w:val="auto"/>
              <w:rPr>
                <w:kern w:val="0"/>
                <w:sz w:val="18"/>
                <w:szCs w:val="18"/>
              </w:rPr>
            </w:pPr>
          </w:p>
        </w:tc>
        <w:tc>
          <w:tcPr>
            <w:tcW w:w="1423" w:type="dxa"/>
            <w:shd w:val="clear" w:color="FFFFFF" w:fill="FFFFFF"/>
            <w:vAlign w:val="center"/>
          </w:tcPr>
          <w:p w14:paraId="24E79C8F">
            <w:pPr>
              <w:jc w:val="center"/>
              <w:textAlignment w:val="auto"/>
              <w:rPr>
                <w:kern w:val="0"/>
                <w:sz w:val="18"/>
                <w:szCs w:val="18"/>
              </w:rPr>
            </w:pPr>
          </w:p>
        </w:tc>
        <w:tc>
          <w:tcPr>
            <w:tcW w:w="1845" w:type="dxa"/>
            <w:shd w:val="clear" w:color="FFFFFF" w:fill="FFFFFF"/>
            <w:vAlign w:val="center"/>
          </w:tcPr>
          <w:p w14:paraId="3C47F82B">
            <w:pPr>
              <w:jc w:val="center"/>
              <w:textAlignment w:val="auto"/>
              <w:rPr>
                <w:kern w:val="0"/>
                <w:sz w:val="18"/>
                <w:szCs w:val="18"/>
              </w:rPr>
            </w:pPr>
            <w:r>
              <w:rPr>
                <w:rFonts w:hint="eastAsia"/>
                <w:kern w:val="0"/>
                <w:sz w:val="18"/>
                <w:szCs w:val="18"/>
              </w:rPr>
              <w:t>夜间施工增加费</w:t>
            </w:r>
          </w:p>
        </w:tc>
        <w:tc>
          <w:tcPr>
            <w:tcW w:w="1149" w:type="dxa"/>
            <w:shd w:val="clear" w:color="FFFFFF" w:fill="FFFFFF"/>
            <w:vAlign w:val="center"/>
          </w:tcPr>
          <w:p w14:paraId="48CD40ED">
            <w:pPr>
              <w:jc w:val="left"/>
              <w:textAlignment w:val="auto"/>
              <w:rPr>
                <w:kern w:val="0"/>
                <w:sz w:val="18"/>
                <w:szCs w:val="18"/>
              </w:rPr>
            </w:pPr>
            <w:r>
              <w:rPr>
                <w:rFonts w:hint="eastAsia"/>
                <w:kern w:val="0"/>
                <w:sz w:val="18"/>
                <w:szCs w:val="18"/>
              </w:rPr>
              <w:t>　</w:t>
            </w:r>
          </w:p>
        </w:tc>
        <w:tc>
          <w:tcPr>
            <w:tcW w:w="662" w:type="dxa"/>
            <w:shd w:val="clear" w:color="FFFFFF" w:fill="FFFFFF"/>
            <w:vAlign w:val="center"/>
          </w:tcPr>
          <w:p w14:paraId="2D68F8B5">
            <w:pPr>
              <w:jc w:val="right"/>
              <w:textAlignment w:val="auto"/>
              <w:rPr>
                <w:kern w:val="0"/>
                <w:sz w:val="18"/>
                <w:szCs w:val="18"/>
              </w:rPr>
            </w:pPr>
            <w:r>
              <w:rPr>
                <w:rFonts w:hint="eastAsia"/>
                <w:kern w:val="0"/>
                <w:sz w:val="18"/>
                <w:szCs w:val="18"/>
              </w:rPr>
              <w:t>　</w:t>
            </w:r>
          </w:p>
        </w:tc>
        <w:tc>
          <w:tcPr>
            <w:tcW w:w="767" w:type="dxa"/>
            <w:shd w:val="clear" w:color="FFFFFF" w:fill="FFFFFF"/>
            <w:vAlign w:val="center"/>
          </w:tcPr>
          <w:p w14:paraId="1138A36D">
            <w:pPr>
              <w:jc w:val="right"/>
              <w:textAlignment w:val="auto"/>
              <w:rPr>
                <w:kern w:val="0"/>
                <w:sz w:val="18"/>
                <w:szCs w:val="18"/>
              </w:rPr>
            </w:pPr>
            <w:r>
              <w:rPr>
                <w:rFonts w:hint="eastAsia"/>
                <w:kern w:val="0"/>
                <w:sz w:val="18"/>
                <w:szCs w:val="18"/>
              </w:rPr>
              <w:t>　</w:t>
            </w:r>
          </w:p>
        </w:tc>
        <w:tc>
          <w:tcPr>
            <w:tcW w:w="803" w:type="dxa"/>
            <w:shd w:val="clear" w:color="FFFFFF" w:fill="FFFFFF"/>
            <w:vAlign w:val="center"/>
          </w:tcPr>
          <w:p w14:paraId="71293F16">
            <w:pPr>
              <w:jc w:val="right"/>
              <w:textAlignment w:val="auto"/>
              <w:rPr>
                <w:kern w:val="0"/>
                <w:sz w:val="18"/>
                <w:szCs w:val="18"/>
              </w:rPr>
            </w:pPr>
            <w:r>
              <w:rPr>
                <w:rFonts w:hint="eastAsia"/>
                <w:kern w:val="0"/>
                <w:sz w:val="18"/>
                <w:szCs w:val="18"/>
              </w:rPr>
              <w:t>　</w:t>
            </w:r>
          </w:p>
        </w:tc>
        <w:tc>
          <w:tcPr>
            <w:tcW w:w="802" w:type="dxa"/>
            <w:shd w:val="clear" w:color="FFFFFF" w:fill="FFFFFF"/>
            <w:vAlign w:val="center"/>
          </w:tcPr>
          <w:p w14:paraId="6562D1C0">
            <w:pPr>
              <w:jc w:val="right"/>
              <w:textAlignment w:val="auto"/>
              <w:rPr>
                <w:kern w:val="0"/>
                <w:sz w:val="18"/>
                <w:szCs w:val="18"/>
              </w:rPr>
            </w:pPr>
            <w:r>
              <w:rPr>
                <w:rFonts w:hint="eastAsia"/>
                <w:kern w:val="0"/>
                <w:sz w:val="18"/>
                <w:szCs w:val="18"/>
              </w:rPr>
              <w:t>　</w:t>
            </w:r>
          </w:p>
        </w:tc>
        <w:tc>
          <w:tcPr>
            <w:tcW w:w="691" w:type="dxa"/>
            <w:shd w:val="clear" w:color="FFFFFF" w:fill="FFFFFF"/>
            <w:vAlign w:val="center"/>
          </w:tcPr>
          <w:p w14:paraId="6EC029BB">
            <w:pPr>
              <w:jc w:val="right"/>
              <w:textAlignment w:val="auto"/>
              <w:rPr>
                <w:kern w:val="0"/>
                <w:sz w:val="18"/>
                <w:szCs w:val="18"/>
              </w:rPr>
            </w:pPr>
            <w:r>
              <w:rPr>
                <w:rFonts w:hint="eastAsia"/>
                <w:kern w:val="0"/>
                <w:sz w:val="18"/>
                <w:szCs w:val="18"/>
              </w:rPr>
              <w:t>　</w:t>
            </w:r>
          </w:p>
        </w:tc>
      </w:tr>
      <w:tr w14:paraId="54CEC9B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851" w:hRule="atLeast"/>
          <w:jc w:val="center"/>
        </w:trPr>
        <w:tc>
          <w:tcPr>
            <w:tcW w:w="608" w:type="dxa"/>
            <w:shd w:val="clear" w:color="FFFFFF" w:fill="FFFFFF"/>
            <w:vAlign w:val="center"/>
          </w:tcPr>
          <w:p w14:paraId="3FC2A555">
            <w:pPr>
              <w:jc w:val="center"/>
              <w:textAlignment w:val="auto"/>
              <w:rPr>
                <w:kern w:val="0"/>
                <w:sz w:val="18"/>
                <w:szCs w:val="18"/>
              </w:rPr>
            </w:pPr>
          </w:p>
        </w:tc>
        <w:tc>
          <w:tcPr>
            <w:tcW w:w="1423" w:type="dxa"/>
            <w:shd w:val="clear" w:color="FFFFFF" w:fill="FFFFFF"/>
            <w:vAlign w:val="center"/>
          </w:tcPr>
          <w:p w14:paraId="54429D31">
            <w:pPr>
              <w:jc w:val="center"/>
              <w:textAlignment w:val="auto"/>
              <w:rPr>
                <w:kern w:val="0"/>
                <w:sz w:val="18"/>
                <w:szCs w:val="18"/>
              </w:rPr>
            </w:pPr>
          </w:p>
        </w:tc>
        <w:tc>
          <w:tcPr>
            <w:tcW w:w="1845" w:type="dxa"/>
            <w:shd w:val="clear" w:color="FFFFFF" w:fill="FFFFFF"/>
            <w:vAlign w:val="center"/>
          </w:tcPr>
          <w:p w14:paraId="59C4868F">
            <w:pPr>
              <w:jc w:val="center"/>
              <w:textAlignment w:val="auto"/>
              <w:rPr>
                <w:kern w:val="0"/>
                <w:sz w:val="18"/>
                <w:szCs w:val="18"/>
              </w:rPr>
            </w:pPr>
            <w:r>
              <w:rPr>
                <w:rFonts w:hint="eastAsia"/>
                <w:kern w:val="0"/>
                <w:sz w:val="18"/>
                <w:szCs w:val="18"/>
              </w:rPr>
              <w:t>二次搬运费</w:t>
            </w:r>
          </w:p>
        </w:tc>
        <w:tc>
          <w:tcPr>
            <w:tcW w:w="1149" w:type="dxa"/>
            <w:shd w:val="clear" w:color="FFFFFF" w:fill="FFFFFF"/>
            <w:vAlign w:val="center"/>
          </w:tcPr>
          <w:p w14:paraId="073825C5">
            <w:pPr>
              <w:jc w:val="left"/>
              <w:textAlignment w:val="auto"/>
              <w:rPr>
                <w:kern w:val="0"/>
                <w:sz w:val="18"/>
                <w:szCs w:val="18"/>
              </w:rPr>
            </w:pPr>
            <w:r>
              <w:rPr>
                <w:rFonts w:hint="eastAsia"/>
                <w:kern w:val="0"/>
                <w:sz w:val="18"/>
                <w:szCs w:val="18"/>
              </w:rPr>
              <w:t>　</w:t>
            </w:r>
          </w:p>
        </w:tc>
        <w:tc>
          <w:tcPr>
            <w:tcW w:w="662" w:type="dxa"/>
            <w:shd w:val="clear" w:color="FFFFFF" w:fill="FFFFFF"/>
            <w:vAlign w:val="center"/>
          </w:tcPr>
          <w:p w14:paraId="71426583">
            <w:pPr>
              <w:jc w:val="right"/>
              <w:textAlignment w:val="auto"/>
              <w:rPr>
                <w:kern w:val="0"/>
                <w:sz w:val="18"/>
                <w:szCs w:val="18"/>
              </w:rPr>
            </w:pPr>
            <w:r>
              <w:rPr>
                <w:rFonts w:hint="eastAsia"/>
                <w:kern w:val="0"/>
                <w:sz w:val="18"/>
                <w:szCs w:val="18"/>
              </w:rPr>
              <w:t>　</w:t>
            </w:r>
          </w:p>
        </w:tc>
        <w:tc>
          <w:tcPr>
            <w:tcW w:w="767" w:type="dxa"/>
            <w:shd w:val="clear" w:color="FFFFFF" w:fill="FFFFFF"/>
            <w:vAlign w:val="center"/>
          </w:tcPr>
          <w:p w14:paraId="64678387">
            <w:pPr>
              <w:jc w:val="right"/>
              <w:textAlignment w:val="auto"/>
              <w:rPr>
                <w:kern w:val="0"/>
                <w:sz w:val="18"/>
                <w:szCs w:val="18"/>
              </w:rPr>
            </w:pPr>
            <w:r>
              <w:rPr>
                <w:rFonts w:hint="eastAsia"/>
                <w:kern w:val="0"/>
                <w:sz w:val="18"/>
                <w:szCs w:val="18"/>
              </w:rPr>
              <w:t>　</w:t>
            </w:r>
          </w:p>
        </w:tc>
        <w:tc>
          <w:tcPr>
            <w:tcW w:w="803" w:type="dxa"/>
            <w:shd w:val="clear" w:color="FFFFFF" w:fill="FFFFFF"/>
            <w:vAlign w:val="center"/>
          </w:tcPr>
          <w:p w14:paraId="34DD7A79">
            <w:pPr>
              <w:jc w:val="right"/>
              <w:textAlignment w:val="auto"/>
              <w:rPr>
                <w:kern w:val="0"/>
                <w:sz w:val="18"/>
                <w:szCs w:val="18"/>
              </w:rPr>
            </w:pPr>
            <w:r>
              <w:rPr>
                <w:rFonts w:hint="eastAsia"/>
                <w:kern w:val="0"/>
                <w:sz w:val="18"/>
                <w:szCs w:val="18"/>
              </w:rPr>
              <w:t>　</w:t>
            </w:r>
          </w:p>
        </w:tc>
        <w:tc>
          <w:tcPr>
            <w:tcW w:w="802" w:type="dxa"/>
            <w:shd w:val="clear" w:color="FFFFFF" w:fill="FFFFFF"/>
            <w:vAlign w:val="center"/>
          </w:tcPr>
          <w:p w14:paraId="46C4742E">
            <w:pPr>
              <w:jc w:val="right"/>
              <w:textAlignment w:val="auto"/>
              <w:rPr>
                <w:kern w:val="0"/>
                <w:sz w:val="18"/>
                <w:szCs w:val="18"/>
              </w:rPr>
            </w:pPr>
            <w:r>
              <w:rPr>
                <w:rFonts w:hint="eastAsia"/>
                <w:kern w:val="0"/>
                <w:sz w:val="18"/>
                <w:szCs w:val="18"/>
              </w:rPr>
              <w:t>　</w:t>
            </w:r>
          </w:p>
        </w:tc>
        <w:tc>
          <w:tcPr>
            <w:tcW w:w="691" w:type="dxa"/>
            <w:shd w:val="clear" w:color="FFFFFF" w:fill="FFFFFF"/>
            <w:vAlign w:val="center"/>
          </w:tcPr>
          <w:p w14:paraId="4C57A3DD">
            <w:pPr>
              <w:jc w:val="right"/>
              <w:textAlignment w:val="auto"/>
              <w:rPr>
                <w:kern w:val="0"/>
                <w:sz w:val="18"/>
                <w:szCs w:val="18"/>
              </w:rPr>
            </w:pPr>
            <w:r>
              <w:rPr>
                <w:rFonts w:hint="eastAsia"/>
                <w:kern w:val="0"/>
                <w:sz w:val="18"/>
                <w:szCs w:val="18"/>
              </w:rPr>
              <w:t>　</w:t>
            </w:r>
          </w:p>
        </w:tc>
      </w:tr>
      <w:tr w14:paraId="3450E86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851" w:hRule="atLeast"/>
          <w:jc w:val="center"/>
        </w:trPr>
        <w:tc>
          <w:tcPr>
            <w:tcW w:w="608" w:type="dxa"/>
            <w:shd w:val="clear" w:color="FFFFFF" w:fill="FFFFFF"/>
            <w:vAlign w:val="center"/>
          </w:tcPr>
          <w:p w14:paraId="7215B2FA">
            <w:pPr>
              <w:jc w:val="center"/>
              <w:textAlignment w:val="auto"/>
              <w:rPr>
                <w:kern w:val="0"/>
                <w:sz w:val="18"/>
                <w:szCs w:val="18"/>
              </w:rPr>
            </w:pPr>
          </w:p>
        </w:tc>
        <w:tc>
          <w:tcPr>
            <w:tcW w:w="1423" w:type="dxa"/>
            <w:shd w:val="clear" w:color="FFFFFF" w:fill="FFFFFF"/>
            <w:vAlign w:val="center"/>
          </w:tcPr>
          <w:p w14:paraId="269EBDBA">
            <w:pPr>
              <w:jc w:val="center"/>
              <w:textAlignment w:val="auto"/>
              <w:rPr>
                <w:kern w:val="0"/>
                <w:sz w:val="18"/>
                <w:szCs w:val="18"/>
              </w:rPr>
            </w:pPr>
          </w:p>
        </w:tc>
        <w:tc>
          <w:tcPr>
            <w:tcW w:w="1845" w:type="dxa"/>
            <w:shd w:val="clear" w:color="FFFFFF" w:fill="FFFFFF"/>
            <w:vAlign w:val="center"/>
          </w:tcPr>
          <w:p w14:paraId="7E87572D">
            <w:pPr>
              <w:jc w:val="center"/>
              <w:textAlignment w:val="auto"/>
              <w:rPr>
                <w:kern w:val="0"/>
                <w:sz w:val="18"/>
                <w:szCs w:val="18"/>
              </w:rPr>
            </w:pPr>
            <w:r>
              <w:rPr>
                <w:rFonts w:hint="eastAsia"/>
                <w:kern w:val="0"/>
                <w:sz w:val="18"/>
                <w:szCs w:val="18"/>
              </w:rPr>
              <w:t>冬雨季施工增加费</w:t>
            </w:r>
          </w:p>
        </w:tc>
        <w:tc>
          <w:tcPr>
            <w:tcW w:w="1149" w:type="dxa"/>
            <w:shd w:val="clear" w:color="FFFFFF" w:fill="FFFFFF"/>
            <w:vAlign w:val="center"/>
          </w:tcPr>
          <w:p w14:paraId="361E1F05">
            <w:pPr>
              <w:jc w:val="left"/>
              <w:textAlignment w:val="auto"/>
              <w:rPr>
                <w:kern w:val="0"/>
                <w:sz w:val="18"/>
                <w:szCs w:val="18"/>
              </w:rPr>
            </w:pPr>
            <w:r>
              <w:rPr>
                <w:rFonts w:hint="eastAsia"/>
                <w:kern w:val="0"/>
                <w:sz w:val="18"/>
                <w:szCs w:val="18"/>
              </w:rPr>
              <w:t>　</w:t>
            </w:r>
          </w:p>
        </w:tc>
        <w:tc>
          <w:tcPr>
            <w:tcW w:w="662" w:type="dxa"/>
            <w:shd w:val="clear" w:color="FFFFFF" w:fill="FFFFFF"/>
            <w:vAlign w:val="center"/>
          </w:tcPr>
          <w:p w14:paraId="73DF9584">
            <w:pPr>
              <w:jc w:val="right"/>
              <w:textAlignment w:val="auto"/>
              <w:rPr>
                <w:kern w:val="0"/>
                <w:sz w:val="18"/>
                <w:szCs w:val="18"/>
              </w:rPr>
            </w:pPr>
            <w:r>
              <w:rPr>
                <w:rFonts w:hint="eastAsia"/>
                <w:kern w:val="0"/>
                <w:sz w:val="18"/>
                <w:szCs w:val="18"/>
              </w:rPr>
              <w:t>　</w:t>
            </w:r>
          </w:p>
        </w:tc>
        <w:tc>
          <w:tcPr>
            <w:tcW w:w="767" w:type="dxa"/>
            <w:shd w:val="clear" w:color="FFFFFF" w:fill="FFFFFF"/>
            <w:vAlign w:val="center"/>
          </w:tcPr>
          <w:p w14:paraId="25BEE0F1">
            <w:pPr>
              <w:jc w:val="right"/>
              <w:textAlignment w:val="auto"/>
              <w:rPr>
                <w:kern w:val="0"/>
                <w:sz w:val="18"/>
                <w:szCs w:val="18"/>
              </w:rPr>
            </w:pPr>
            <w:r>
              <w:rPr>
                <w:rFonts w:hint="eastAsia"/>
                <w:kern w:val="0"/>
                <w:sz w:val="18"/>
                <w:szCs w:val="18"/>
              </w:rPr>
              <w:t>　</w:t>
            </w:r>
          </w:p>
        </w:tc>
        <w:tc>
          <w:tcPr>
            <w:tcW w:w="803" w:type="dxa"/>
            <w:shd w:val="clear" w:color="FFFFFF" w:fill="FFFFFF"/>
            <w:vAlign w:val="center"/>
          </w:tcPr>
          <w:p w14:paraId="7FA3B20E">
            <w:pPr>
              <w:jc w:val="right"/>
              <w:textAlignment w:val="auto"/>
              <w:rPr>
                <w:kern w:val="0"/>
                <w:sz w:val="18"/>
                <w:szCs w:val="18"/>
              </w:rPr>
            </w:pPr>
            <w:r>
              <w:rPr>
                <w:rFonts w:hint="eastAsia"/>
                <w:kern w:val="0"/>
                <w:sz w:val="18"/>
                <w:szCs w:val="18"/>
              </w:rPr>
              <w:t>　</w:t>
            </w:r>
          </w:p>
        </w:tc>
        <w:tc>
          <w:tcPr>
            <w:tcW w:w="802" w:type="dxa"/>
            <w:shd w:val="clear" w:color="FFFFFF" w:fill="FFFFFF"/>
            <w:vAlign w:val="center"/>
          </w:tcPr>
          <w:p w14:paraId="3BB7D2EA">
            <w:pPr>
              <w:jc w:val="right"/>
              <w:textAlignment w:val="auto"/>
              <w:rPr>
                <w:kern w:val="0"/>
                <w:sz w:val="18"/>
                <w:szCs w:val="18"/>
              </w:rPr>
            </w:pPr>
            <w:r>
              <w:rPr>
                <w:rFonts w:hint="eastAsia"/>
                <w:kern w:val="0"/>
                <w:sz w:val="18"/>
                <w:szCs w:val="18"/>
              </w:rPr>
              <w:t>　</w:t>
            </w:r>
          </w:p>
        </w:tc>
        <w:tc>
          <w:tcPr>
            <w:tcW w:w="691" w:type="dxa"/>
            <w:shd w:val="clear" w:color="FFFFFF" w:fill="FFFFFF"/>
            <w:vAlign w:val="center"/>
          </w:tcPr>
          <w:p w14:paraId="639A3509">
            <w:pPr>
              <w:jc w:val="right"/>
              <w:textAlignment w:val="auto"/>
              <w:rPr>
                <w:kern w:val="0"/>
                <w:sz w:val="18"/>
                <w:szCs w:val="18"/>
              </w:rPr>
            </w:pPr>
            <w:r>
              <w:rPr>
                <w:rFonts w:hint="eastAsia"/>
                <w:kern w:val="0"/>
                <w:sz w:val="18"/>
                <w:szCs w:val="18"/>
              </w:rPr>
              <w:t>　</w:t>
            </w:r>
          </w:p>
        </w:tc>
      </w:tr>
      <w:tr w14:paraId="4F14166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851" w:hRule="atLeast"/>
          <w:jc w:val="center"/>
        </w:trPr>
        <w:tc>
          <w:tcPr>
            <w:tcW w:w="608" w:type="dxa"/>
            <w:shd w:val="clear" w:color="FFFFFF" w:fill="FFFFFF"/>
            <w:vAlign w:val="center"/>
          </w:tcPr>
          <w:p w14:paraId="1F59CFC7">
            <w:pPr>
              <w:jc w:val="center"/>
              <w:textAlignment w:val="auto"/>
              <w:rPr>
                <w:kern w:val="0"/>
                <w:sz w:val="18"/>
                <w:szCs w:val="18"/>
              </w:rPr>
            </w:pPr>
          </w:p>
        </w:tc>
        <w:tc>
          <w:tcPr>
            <w:tcW w:w="1423" w:type="dxa"/>
            <w:shd w:val="clear" w:color="FFFFFF" w:fill="FFFFFF"/>
            <w:vAlign w:val="center"/>
          </w:tcPr>
          <w:p w14:paraId="352759B1">
            <w:pPr>
              <w:jc w:val="center"/>
              <w:textAlignment w:val="auto"/>
              <w:rPr>
                <w:kern w:val="0"/>
                <w:sz w:val="18"/>
                <w:szCs w:val="18"/>
              </w:rPr>
            </w:pPr>
          </w:p>
        </w:tc>
        <w:tc>
          <w:tcPr>
            <w:tcW w:w="1845" w:type="dxa"/>
            <w:shd w:val="clear" w:color="FFFFFF" w:fill="FFFFFF"/>
            <w:vAlign w:val="center"/>
          </w:tcPr>
          <w:p w14:paraId="6EDCB58A">
            <w:pPr>
              <w:jc w:val="center"/>
              <w:textAlignment w:val="auto"/>
              <w:rPr>
                <w:kern w:val="0"/>
                <w:sz w:val="18"/>
                <w:szCs w:val="18"/>
              </w:rPr>
            </w:pPr>
            <w:r>
              <w:rPr>
                <w:rFonts w:hint="eastAsia"/>
                <w:kern w:val="0"/>
                <w:sz w:val="18"/>
                <w:szCs w:val="18"/>
              </w:rPr>
              <w:t>已完工程及设备保护费</w:t>
            </w:r>
          </w:p>
        </w:tc>
        <w:tc>
          <w:tcPr>
            <w:tcW w:w="1149" w:type="dxa"/>
            <w:shd w:val="clear" w:color="FFFFFF" w:fill="FFFFFF"/>
            <w:vAlign w:val="center"/>
          </w:tcPr>
          <w:p w14:paraId="5F33830B">
            <w:pPr>
              <w:jc w:val="left"/>
              <w:textAlignment w:val="auto"/>
              <w:rPr>
                <w:kern w:val="0"/>
                <w:sz w:val="18"/>
                <w:szCs w:val="18"/>
              </w:rPr>
            </w:pPr>
            <w:r>
              <w:rPr>
                <w:rFonts w:hint="eastAsia"/>
                <w:kern w:val="0"/>
                <w:sz w:val="18"/>
                <w:szCs w:val="18"/>
              </w:rPr>
              <w:t>　</w:t>
            </w:r>
          </w:p>
        </w:tc>
        <w:tc>
          <w:tcPr>
            <w:tcW w:w="662" w:type="dxa"/>
            <w:shd w:val="clear" w:color="FFFFFF" w:fill="FFFFFF"/>
            <w:vAlign w:val="center"/>
          </w:tcPr>
          <w:p w14:paraId="3DADD7F1">
            <w:pPr>
              <w:jc w:val="right"/>
              <w:textAlignment w:val="auto"/>
              <w:rPr>
                <w:kern w:val="0"/>
                <w:sz w:val="18"/>
                <w:szCs w:val="18"/>
              </w:rPr>
            </w:pPr>
            <w:r>
              <w:rPr>
                <w:rFonts w:hint="eastAsia"/>
                <w:kern w:val="0"/>
                <w:sz w:val="18"/>
                <w:szCs w:val="18"/>
              </w:rPr>
              <w:t>　</w:t>
            </w:r>
          </w:p>
        </w:tc>
        <w:tc>
          <w:tcPr>
            <w:tcW w:w="767" w:type="dxa"/>
            <w:shd w:val="clear" w:color="FFFFFF" w:fill="FFFFFF"/>
            <w:vAlign w:val="center"/>
          </w:tcPr>
          <w:p w14:paraId="265418BA">
            <w:pPr>
              <w:jc w:val="right"/>
              <w:textAlignment w:val="auto"/>
              <w:rPr>
                <w:kern w:val="0"/>
                <w:sz w:val="18"/>
                <w:szCs w:val="18"/>
              </w:rPr>
            </w:pPr>
            <w:r>
              <w:rPr>
                <w:rFonts w:hint="eastAsia"/>
                <w:kern w:val="0"/>
                <w:sz w:val="18"/>
                <w:szCs w:val="18"/>
              </w:rPr>
              <w:t>　</w:t>
            </w:r>
          </w:p>
        </w:tc>
        <w:tc>
          <w:tcPr>
            <w:tcW w:w="803" w:type="dxa"/>
            <w:shd w:val="clear" w:color="FFFFFF" w:fill="FFFFFF"/>
            <w:vAlign w:val="center"/>
          </w:tcPr>
          <w:p w14:paraId="6E9B23DD">
            <w:pPr>
              <w:jc w:val="right"/>
              <w:textAlignment w:val="auto"/>
              <w:rPr>
                <w:kern w:val="0"/>
                <w:sz w:val="18"/>
                <w:szCs w:val="18"/>
              </w:rPr>
            </w:pPr>
            <w:r>
              <w:rPr>
                <w:rFonts w:hint="eastAsia"/>
                <w:kern w:val="0"/>
                <w:sz w:val="18"/>
                <w:szCs w:val="18"/>
              </w:rPr>
              <w:t>　</w:t>
            </w:r>
          </w:p>
        </w:tc>
        <w:tc>
          <w:tcPr>
            <w:tcW w:w="802" w:type="dxa"/>
            <w:shd w:val="clear" w:color="FFFFFF" w:fill="FFFFFF"/>
            <w:vAlign w:val="center"/>
          </w:tcPr>
          <w:p w14:paraId="686AD5A6">
            <w:pPr>
              <w:jc w:val="right"/>
              <w:textAlignment w:val="auto"/>
              <w:rPr>
                <w:kern w:val="0"/>
                <w:sz w:val="18"/>
                <w:szCs w:val="18"/>
              </w:rPr>
            </w:pPr>
            <w:r>
              <w:rPr>
                <w:rFonts w:hint="eastAsia"/>
                <w:kern w:val="0"/>
                <w:sz w:val="18"/>
                <w:szCs w:val="18"/>
              </w:rPr>
              <w:t>　</w:t>
            </w:r>
          </w:p>
        </w:tc>
        <w:tc>
          <w:tcPr>
            <w:tcW w:w="691" w:type="dxa"/>
            <w:shd w:val="clear" w:color="FFFFFF" w:fill="FFFFFF"/>
            <w:vAlign w:val="center"/>
          </w:tcPr>
          <w:p w14:paraId="52293851">
            <w:pPr>
              <w:jc w:val="right"/>
              <w:textAlignment w:val="auto"/>
              <w:rPr>
                <w:kern w:val="0"/>
                <w:sz w:val="18"/>
                <w:szCs w:val="18"/>
              </w:rPr>
            </w:pPr>
            <w:r>
              <w:rPr>
                <w:rFonts w:hint="eastAsia"/>
                <w:kern w:val="0"/>
                <w:sz w:val="18"/>
                <w:szCs w:val="18"/>
              </w:rPr>
              <w:t>　</w:t>
            </w:r>
          </w:p>
        </w:tc>
      </w:tr>
      <w:tr w14:paraId="6E67354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851" w:hRule="atLeast"/>
          <w:jc w:val="center"/>
        </w:trPr>
        <w:tc>
          <w:tcPr>
            <w:tcW w:w="608" w:type="dxa"/>
            <w:shd w:val="clear" w:color="FFFFFF" w:fill="FFFFFF"/>
            <w:vAlign w:val="center"/>
          </w:tcPr>
          <w:p w14:paraId="751DE1A6">
            <w:pPr>
              <w:jc w:val="center"/>
              <w:textAlignment w:val="auto"/>
              <w:rPr>
                <w:kern w:val="0"/>
                <w:sz w:val="18"/>
                <w:szCs w:val="18"/>
              </w:rPr>
            </w:pPr>
            <w:r>
              <w:rPr>
                <w:rFonts w:hint="eastAsia"/>
                <w:kern w:val="0"/>
                <w:sz w:val="18"/>
                <w:szCs w:val="18"/>
              </w:rPr>
              <w:t>　</w:t>
            </w:r>
          </w:p>
        </w:tc>
        <w:tc>
          <w:tcPr>
            <w:tcW w:w="1423" w:type="dxa"/>
            <w:shd w:val="clear" w:color="FFFFFF" w:fill="FFFFFF"/>
            <w:vAlign w:val="center"/>
          </w:tcPr>
          <w:p w14:paraId="36673482">
            <w:pPr>
              <w:jc w:val="center"/>
              <w:textAlignment w:val="auto"/>
              <w:rPr>
                <w:kern w:val="0"/>
                <w:sz w:val="18"/>
                <w:szCs w:val="18"/>
              </w:rPr>
            </w:pPr>
            <w:r>
              <w:rPr>
                <w:rFonts w:hint="eastAsia"/>
                <w:kern w:val="0"/>
                <w:sz w:val="18"/>
                <w:szCs w:val="18"/>
              </w:rPr>
              <w:t>　</w:t>
            </w:r>
          </w:p>
        </w:tc>
        <w:tc>
          <w:tcPr>
            <w:tcW w:w="1845" w:type="dxa"/>
            <w:shd w:val="clear" w:color="FFFFFF" w:fill="FFFFFF"/>
            <w:vAlign w:val="center"/>
          </w:tcPr>
          <w:p w14:paraId="33257293">
            <w:pPr>
              <w:jc w:val="left"/>
              <w:textAlignment w:val="auto"/>
              <w:rPr>
                <w:kern w:val="0"/>
                <w:sz w:val="18"/>
                <w:szCs w:val="18"/>
              </w:rPr>
            </w:pPr>
          </w:p>
        </w:tc>
        <w:tc>
          <w:tcPr>
            <w:tcW w:w="1149" w:type="dxa"/>
            <w:shd w:val="clear" w:color="FFFFFF" w:fill="FFFFFF"/>
            <w:vAlign w:val="center"/>
          </w:tcPr>
          <w:p w14:paraId="0F78EE53">
            <w:pPr>
              <w:jc w:val="left"/>
              <w:textAlignment w:val="auto"/>
              <w:rPr>
                <w:kern w:val="0"/>
                <w:sz w:val="18"/>
                <w:szCs w:val="18"/>
              </w:rPr>
            </w:pPr>
            <w:r>
              <w:rPr>
                <w:rFonts w:hint="eastAsia"/>
                <w:kern w:val="0"/>
                <w:sz w:val="18"/>
                <w:szCs w:val="18"/>
              </w:rPr>
              <w:t>　</w:t>
            </w:r>
          </w:p>
        </w:tc>
        <w:tc>
          <w:tcPr>
            <w:tcW w:w="662" w:type="dxa"/>
            <w:shd w:val="clear" w:color="FFFFFF" w:fill="FFFFFF"/>
            <w:vAlign w:val="center"/>
          </w:tcPr>
          <w:p w14:paraId="65D23658">
            <w:pPr>
              <w:jc w:val="right"/>
              <w:textAlignment w:val="auto"/>
              <w:rPr>
                <w:kern w:val="0"/>
                <w:sz w:val="18"/>
                <w:szCs w:val="18"/>
              </w:rPr>
            </w:pPr>
            <w:r>
              <w:rPr>
                <w:rFonts w:hint="eastAsia"/>
                <w:kern w:val="0"/>
                <w:sz w:val="18"/>
                <w:szCs w:val="18"/>
              </w:rPr>
              <w:t>　</w:t>
            </w:r>
          </w:p>
        </w:tc>
        <w:tc>
          <w:tcPr>
            <w:tcW w:w="767" w:type="dxa"/>
            <w:shd w:val="clear" w:color="FFFFFF" w:fill="FFFFFF"/>
            <w:vAlign w:val="center"/>
          </w:tcPr>
          <w:p w14:paraId="60ECFEA2">
            <w:pPr>
              <w:jc w:val="right"/>
              <w:textAlignment w:val="auto"/>
              <w:rPr>
                <w:kern w:val="0"/>
                <w:sz w:val="18"/>
                <w:szCs w:val="18"/>
              </w:rPr>
            </w:pPr>
            <w:r>
              <w:rPr>
                <w:rFonts w:hint="eastAsia"/>
                <w:kern w:val="0"/>
                <w:sz w:val="18"/>
                <w:szCs w:val="18"/>
              </w:rPr>
              <w:t>　</w:t>
            </w:r>
          </w:p>
        </w:tc>
        <w:tc>
          <w:tcPr>
            <w:tcW w:w="803" w:type="dxa"/>
            <w:shd w:val="clear" w:color="FFFFFF" w:fill="FFFFFF"/>
            <w:vAlign w:val="center"/>
          </w:tcPr>
          <w:p w14:paraId="53870BDD">
            <w:pPr>
              <w:jc w:val="right"/>
              <w:textAlignment w:val="auto"/>
              <w:rPr>
                <w:kern w:val="0"/>
                <w:sz w:val="18"/>
                <w:szCs w:val="18"/>
              </w:rPr>
            </w:pPr>
            <w:r>
              <w:rPr>
                <w:rFonts w:hint="eastAsia"/>
                <w:kern w:val="0"/>
                <w:sz w:val="18"/>
                <w:szCs w:val="18"/>
              </w:rPr>
              <w:t>　</w:t>
            </w:r>
          </w:p>
        </w:tc>
        <w:tc>
          <w:tcPr>
            <w:tcW w:w="802" w:type="dxa"/>
            <w:shd w:val="clear" w:color="FFFFFF" w:fill="FFFFFF"/>
            <w:vAlign w:val="center"/>
          </w:tcPr>
          <w:p w14:paraId="14381E0A">
            <w:pPr>
              <w:jc w:val="right"/>
              <w:textAlignment w:val="auto"/>
              <w:rPr>
                <w:kern w:val="0"/>
                <w:sz w:val="18"/>
                <w:szCs w:val="18"/>
              </w:rPr>
            </w:pPr>
            <w:r>
              <w:rPr>
                <w:rFonts w:hint="eastAsia"/>
                <w:kern w:val="0"/>
                <w:sz w:val="18"/>
                <w:szCs w:val="18"/>
              </w:rPr>
              <w:t>　</w:t>
            </w:r>
          </w:p>
        </w:tc>
        <w:tc>
          <w:tcPr>
            <w:tcW w:w="691" w:type="dxa"/>
            <w:shd w:val="clear" w:color="FFFFFF" w:fill="FFFFFF"/>
            <w:vAlign w:val="center"/>
          </w:tcPr>
          <w:p w14:paraId="75D2226F">
            <w:pPr>
              <w:jc w:val="right"/>
              <w:textAlignment w:val="auto"/>
              <w:rPr>
                <w:kern w:val="0"/>
                <w:sz w:val="18"/>
                <w:szCs w:val="18"/>
              </w:rPr>
            </w:pPr>
            <w:r>
              <w:rPr>
                <w:rFonts w:hint="eastAsia"/>
                <w:kern w:val="0"/>
                <w:sz w:val="18"/>
                <w:szCs w:val="18"/>
              </w:rPr>
              <w:t>　</w:t>
            </w:r>
          </w:p>
        </w:tc>
      </w:tr>
      <w:tr w14:paraId="755FB36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851" w:hRule="atLeast"/>
          <w:jc w:val="center"/>
        </w:trPr>
        <w:tc>
          <w:tcPr>
            <w:tcW w:w="608" w:type="dxa"/>
            <w:shd w:val="clear" w:color="FFFFFF" w:fill="FFFFFF"/>
            <w:vAlign w:val="center"/>
          </w:tcPr>
          <w:p w14:paraId="7DA62869">
            <w:pPr>
              <w:jc w:val="center"/>
              <w:textAlignment w:val="auto"/>
              <w:rPr>
                <w:kern w:val="0"/>
                <w:sz w:val="18"/>
                <w:szCs w:val="18"/>
              </w:rPr>
            </w:pPr>
            <w:r>
              <w:rPr>
                <w:rFonts w:hint="eastAsia"/>
                <w:kern w:val="0"/>
                <w:sz w:val="18"/>
                <w:szCs w:val="18"/>
              </w:rPr>
              <w:t>　</w:t>
            </w:r>
          </w:p>
        </w:tc>
        <w:tc>
          <w:tcPr>
            <w:tcW w:w="1423" w:type="dxa"/>
            <w:shd w:val="clear" w:color="FFFFFF" w:fill="FFFFFF"/>
            <w:vAlign w:val="center"/>
          </w:tcPr>
          <w:p w14:paraId="50CA5D29">
            <w:pPr>
              <w:jc w:val="center"/>
              <w:textAlignment w:val="auto"/>
              <w:rPr>
                <w:kern w:val="0"/>
                <w:sz w:val="18"/>
                <w:szCs w:val="18"/>
              </w:rPr>
            </w:pPr>
            <w:r>
              <w:rPr>
                <w:rFonts w:hint="eastAsia"/>
                <w:kern w:val="0"/>
                <w:sz w:val="18"/>
                <w:szCs w:val="18"/>
              </w:rPr>
              <w:t>　</w:t>
            </w:r>
          </w:p>
        </w:tc>
        <w:tc>
          <w:tcPr>
            <w:tcW w:w="1845" w:type="dxa"/>
            <w:shd w:val="clear" w:color="FFFFFF" w:fill="FFFFFF"/>
            <w:vAlign w:val="center"/>
          </w:tcPr>
          <w:p w14:paraId="1706ABD6">
            <w:pPr>
              <w:jc w:val="left"/>
              <w:textAlignment w:val="auto"/>
              <w:rPr>
                <w:kern w:val="0"/>
                <w:sz w:val="18"/>
                <w:szCs w:val="18"/>
              </w:rPr>
            </w:pPr>
            <w:r>
              <w:rPr>
                <w:rFonts w:hint="eastAsia"/>
                <w:kern w:val="0"/>
                <w:sz w:val="18"/>
                <w:szCs w:val="18"/>
              </w:rPr>
              <w:t>　</w:t>
            </w:r>
          </w:p>
        </w:tc>
        <w:tc>
          <w:tcPr>
            <w:tcW w:w="1149" w:type="dxa"/>
            <w:shd w:val="clear" w:color="FFFFFF" w:fill="FFFFFF"/>
            <w:vAlign w:val="center"/>
          </w:tcPr>
          <w:p w14:paraId="1EA092D6">
            <w:pPr>
              <w:jc w:val="left"/>
              <w:textAlignment w:val="auto"/>
              <w:rPr>
                <w:kern w:val="0"/>
                <w:sz w:val="18"/>
                <w:szCs w:val="18"/>
              </w:rPr>
            </w:pPr>
            <w:r>
              <w:rPr>
                <w:rFonts w:hint="eastAsia"/>
                <w:kern w:val="0"/>
                <w:sz w:val="18"/>
                <w:szCs w:val="18"/>
              </w:rPr>
              <w:t>　</w:t>
            </w:r>
          </w:p>
        </w:tc>
        <w:tc>
          <w:tcPr>
            <w:tcW w:w="662" w:type="dxa"/>
            <w:shd w:val="clear" w:color="FFFFFF" w:fill="FFFFFF"/>
            <w:vAlign w:val="center"/>
          </w:tcPr>
          <w:p w14:paraId="3096E676">
            <w:pPr>
              <w:jc w:val="right"/>
              <w:textAlignment w:val="auto"/>
              <w:rPr>
                <w:kern w:val="0"/>
                <w:sz w:val="18"/>
                <w:szCs w:val="18"/>
              </w:rPr>
            </w:pPr>
            <w:r>
              <w:rPr>
                <w:rFonts w:hint="eastAsia"/>
                <w:kern w:val="0"/>
                <w:sz w:val="18"/>
                <w:szCs w:val="18"/>
              </w:rPr>
              <w:t>　</w:t>
            </w:r>
          </w:p>
        </w:tc>
        <w:tc>
          <w:tcPr>
            <w:tcW w:w="767" w:type="dxa"/>
            <w:shd w:val="clear" w:color="FFFFFF" w:fill="FFFFFF"/>
            <w:vAlign w:val="center"/>
          </w:tcPr>
          <w:p w14:paraId="7DFF980D">
            <w:pPr>
              <w:jc w:val="right"/>
              <w:textAlignment w:val="auto"/>
              <w:rPr>
                <w:kern w:val="0"/>
                <w:sz w:val="18"/>
                <w:szCs w:val="18"/>
              </w:rPr>
            </w:pPr>
            <w:r>
              <w:rPr>
                <w:rFonts w:hint="eastAsia"/>
                <w:kern w:val="0"/>
                <w:sz w:val="18"/>
                <w:szCs w:val="18"/>
              </w:rPr>
              <w:t>　</w:t>
            </w:r>
          </w:p>
        </w:tc>
        <w:tc>
          <w:tcPr>
            <w:tcW w:w="803" w:type="dxa"/>
            <w:shd w:val="clear" w:color="FFFFFF" w:fill="FFFFFF"/>
            <w:vAlign w:val="center"/>
          </w:tcPr>
          <w:p w14:paraId="71375752">
            <w:pPr>
              <w:jc w:val="right"/>
              <w:textAlignment w:val="auto"/>
              <w:rPr>
                <w:kern w:val="0"/>
                <w:sz w:val="18"/>
                <w:szCs w:val="18"/>
              </w:rPr>
            </w:pPr>
            <w:r>
              <w:rPr>
                <w:rFonts w:hint="eastAsia"/>
                <w:kern w:val="0"/>
                <w:sz w:val="18"/>
                <w:szCs w:val="18"/>
              </w:rPr>
              <w:t>　</w:t>
            </w:r>
          </w:p>
        </w:tc>
        <w:tc>
          <w:tcPr>
            <w:tcW w:w="802" w:type="dxa"/>
            <w:shd w:val="clear" w:color="FFFFFF" w:fill="FFFFFF"/>
            <w:vAlign w:val="center"/>
          </w:tcPr>
          <w:p w14:paraId="67C845E4">
            <w:pPr>
              <w:jc w:val="right"/>
              <w:textAlignment w:val="auto"/>
              <w:rPr>
                <w:kern w:val="0"/>
                <w:sz w:val="18"/>
                <w:szCs w:val="18"/>
              </w:rPr>
            </w:pPr>
            <w:r>
              <w:rPr>
                <w:rFonts w:hint="eastAsia"/>
                <w:kern w:val="0"/>
                <w:sz w:val="18"/>
                <w:szCs w:val="18"/>
              </w:rPr>
              <w:t>　</w:t>
            </w:r>
          </w:p>
        </w:tc>
        <w:tc>
          <w:tcPr>
            <w:tcW w:w="691" w:type="dxa"/>
            <w:shd w:val="clear" w:color="FFFFFF" w:fill="FFFFFF"/>
            <w:vAlign w:val="center"/>
          </w:tcPr>
          <w:p w14:paraId="321FB258">
            <w:pPr>
              <w:jc w:val="right"/>
              <w:textAlignment w:val="auto"/>
              <w:rPr>
                <w:kern w:val="0"/>
                <w:sz w:val="18"/>
                <w:szCs w:val="18"/>
              </w:rPr>
            </w:pPr>
            <w:r>
              <w:rPr>
                <w:rFonts w:hint="eastAsia"/>
                <w:kern w:val="0"/>
                <w:sz w:val="18"/>
                <w:szCs w:val="18"/>
              </w:rPr>
              <w:t>　</w:t>
            </w:r>
          </w:p>
        </w:tc>
      </w:tr>
      <w:tr w14:paraId="53C5D5E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851" w:hRule="atLeast"/>
          <w:jc w:val="center"/>
        </w:trPr>
        <w:tc>
          <w:tcPr>
            <w:tcW w:w="608" w:type="dxa"/>
            <w:shd w:val="clear" w:color="FFFFFF" w:fill="FFFFFF"/>
            <w:vAlign w:val="center"/>
          </w:tcPr>
          <w:p w14:paraId="1AED40CA">
            <w:pPr>
              <w:jc w:val="center"/>
              <w:textAlignment w:val="auto"/>
              <w:rPr>
                <w:kern w:val="0"/>
                <w:sz w:val="18"/>
                <w:szCs w:val="18"/>
              </w:rPr>
            </w:pPr>
          </w:p>
        </w:tc>
        <w:tc>
          <w:tcPr>
            <w:tcW w:w="1423" w:type="dxa"/>
            <w:shd w:val="clear" w:color="FFFFFF" w:fill="FFFFFF"/>
            <w:vAlign w:val="center"/>
          </w:tcPr>
          <w:p w14:paraId="1871E422">
            <w:pPr>
              <w:jc w:val="center"/>
              <w:textAlignment w:val="auto"/>
              <w:rPr>
                <w:kern w:val="0"/>
                <w:sz w:val="18"/>
                <w:szCs w:val="18"/>
              </w:rPr>
            </w:pPr>
          </w:p>
        </w:tc>
        <w:tc>
          <w:tcPr>
            <w:tcW w:w="1845" w:type="dxa"/>
            <w:shd w:val="clear" w:color="FFFFFF" w:fill="FFFFFF"/>
            <w:vAlign w:val="center"/>
          </w:tcPr>
          <w:p w14:paraId="4A51EA1C">
            <w:pPr>
              <w:jc w:val="left"/>
              <w:textAlignment w:val="auto"/>
              <w:rPr>
                <w:kern w:val="0"/>
                <w:sz w:val="18"/>
                <w:szCs w:val="18"/>
              </w:rPr>
            </w:pPr>
          </w:p>
        </w:tc>
        <w:tc>
          <w:tcPr>
            <w:tcW w:w="1149" w:type="dxa"/>
            <w:shd w:val="clear" w:color="FFFFFF" w:fill="FFFFFF"/>
            <w:vAlign w:val="center"/>
          </w:tcPr>
          <w:p w14:paraId="4F7A3471">
            <w:pPr>
              <w:jc w:val="left"/>
              <w:textAlignment w:val="auto"/>
              <w:rPr>
                <w:kern w:val="0"/>
                <w:sz w:val="18"/>
                <w:szCs w:val="18"/>
              </w:rPr>
            </w:pPr>
          </w:p>
        </w:tc>
        <w:tc>
          <w:tcPr>
            <w:tcW w:w="662" w:type="dxa"/>
            <w:shd w:val="clear" w:color="FFFFFF" w:fill="FFFFFF"/>
            <w:vAlign w:val="center"/>
          </w:tcPr>
          <w:p w14:paraId="1FF40A39">
            <w:pPr>
              <w:jc w:val="right"/>
              <w:textAlignment w:val="auto"/>
              <w:rPr>
                <w:kern w:val="0"/>
                <w:sz w:val="18"/>
                <w:szCs w:val="18"/>
              </w:rPr>
            </w:pPr>
          </w:p>
        </w:tc>
        <w:tc>
          <w:tcPr>
            <w:tcW w:w="767" w:type="dxa"/>
            <w:shd w:val="clear" w:color="FFFFFF" w:fill="FFFFFF"/>
            <w:vAlign w:val="center"/>
          </w:tcPr>
          <w:p w14:paraId="658FC23B">
            <w:pPr>
              <w:jc w:val="right"/>
              <w:textAlignment w:val="auto"/>
              <w:rPr>
                <w:kern w:val="0"/>
                <w:sz w:val="18"/>
                <w:szCs w:val="18"/>
              </w:rPr>
            </w:pPr>
          </w:p>
        </w:tc>
        <w:tc>
          <w:tcPr>
            <w:tcW w:w="803" w:type="dxa"/>
            <w:shd w:val="clear" w:color="FFFFFF" w:fill="FFFFFF"/>
            <w:vAlign w:val="center"/>
          </w:tcPr>
          <w:p w14:paraId="6400DFBB">
            <w:pPr>
              <w:jc w:val="right"/>
              <w:textAlignment w:val="auto"/>
              <w:rPr>
                <w:kern w:val="0"/>
                <w:sz w:val="18"/>
                <w:szCs w:val="18"/>
              </w:rPr>
            </w:pPr>
          </w:p>
        </w:tc>
        <w:tc>
          <w:tcPr>
            <w:tcW w:w="802" w:type="dxa"/>
            <w:shd w:val="clear" w:color="FFFFFF" w:fill="FFFFFF"/>
            <w:vAlign w:val="center"/>
          </w:tcPr>
          <w:p w14:paraId="154D1FCA">
            <w:pPr>
              <w:jc w:val="right"/>
              <w:textAlignment w:val="auto"/>
              <w:rPr>
                <w:kern w:val="0"/>
                <w:sz w:val="18"/>
                <w:szCs w:val="18"/>
              </w:rPr>
            </w:pPr>
          </w:p>
        </w:tc>
        <w:tc>
          <w:tcPr>
            <w:tcW w:w="691" w:type="dxa"/>
            <w:shd w:val="clear" w:color="FFFFFF" w:fill="FFFFFF"/>
            <w:vAlign w:val="center"/>
          </w:tcPr>
          <w:p w14:paraId="599B9B5F">
            <w:pPr>
              <w:jc w:val="right"/>
              <w:textAlignment w:val="auto"/>
              <w:rPr>
                <w:kern w:val="0"/>
                <w:sz w:val="18"/>
                <w:szCs w:val="18"/>
              </w:rPr>
            </w:pPr>
          </w:p>
        </w:tc>
      </w:tr>
      <w:tr w14:paraId="5429FAA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851" w:hRule="atLeast"/>
          <w:jc w:val="center"/>
        </w:trPr>
        <w:tc>
          <w:tcPr>
            <w:tcW w:w="608" w:type="dxa"/>
            <w:shd w:val="clear" w:color="FFFFFF" w:fill="FFFFFF"/>
            <w:vAlign w:val="center"/>
          </w:tcPr>
          <w:p w14:paraId="4316DB39">
            <w:pPr>
              <w:jc w:val="center"/>
              <w:textAlignment w:val="auto"/>
              <w:rPr>
                <w:kern w:val="0"/>
                <w:sz w:val="18"/>
                <w:szCs w:val="18"/>
              </w:rPr>
            </w:pPr>
          </w:p>
        </w:tc>
        <w:tc>
          <w:tcPr>
            <w:tcW w:w="1423" w:type="dxa"/>
            <w:shd w:val="clear" w:color="FFFFFF" w:fill="FFFFFF"/>
            <w:vAlign w:val="center"/>
          </w:tcPr>
          <w:p w14:paraId="445B6B4A">
            <w:pPr>
              <w:jc w:val="center"/>
              <w:textAlignment w:val="auto"/>
              <w:rPr>
                <w:kern w:val="0"/>
                <w:sz w:val="18"/>
                <w:szCs w:val="18"/>
              </w:rPr>
            </w:pPr>
          </w:p>
        </w:tc>
        <w:tc>
          <w:tcPr>
            <w:tcW w:w="1845" w:type="dxa"/>
            <w:shd w:val="clear" w:color="FFFFFF" w:fill="FFFFFF"/>
            <w:vAlign w:val="center"/>
          </w:tcPr>
          <w:p w14:paraId="265820BF">
            <w:pPr>
              <w:jc w:val="left"/>
              <w:textAlignment w:val="auto"/>
              <w:rPr>
                <w:kern w:val="0"/>
                <w:sz w:val="18"/>
                <w:szCs w:val="18"/>
              </w:rPr>
            </w:pPr>
          </w:p>
        </w:tc>
        <w:tc>
          <w:tcPr>
            <w:tcW w:w="1149" w:type="dxa"/>
            <w:shd w:val="clear" w:color="FFFFFF" w:fill="FFFFFF"/>
            <w:vAlign w:val="center"/>
          </w:tcPr>
          <w:p w14:paraId="72FB7DFF">
            <w:pPr>
              <w:jc w:val="left"/>
              <w:textAlignment w:val="auto"/>
              <w:rPr>
                <w:kern w:val="0"/>
                <w:sz w:val="18"/>
                <w:szCs w:val="18"/>
              </w:rPr>
            </w:pPr>
          </w:p>
        </w:tc>
        <w:tc>
          <w:tcPr>
            <w:tcW w:w="662" w:type="dxa"/>
            <w:shd w:val="clear" w:color="FFFFFF" w:fill="FFFFFF"/>
            <w:vAlign w:val="center"/>
          </w:tcPr>
          <w:p w14:paraId="105EF047">
            <w:pPr>
              <w:jc w:val="right"/>
              <w:textAlignment w:val="auto"/>
              <w:rPr>
                <w:kern w:val="0"/>
                <w:sz w:val="18"/>
                <w:szCs w:val="18"/>
              </w:rPr>
            </w:pPr>
          </w:p>
        </w:tc>
        <w:tc>
          <w:tcPr>
            <w:tcW w:w="767" w:type="dxa"/>
            <w:shd w:val="clear" w:color="FFFFFF" w:fill="FFFFFF"/>
            <w:vAlign w:val="center"/>
          </w:tcPr>
          <w:p w14:paraId="2FAF9D12">
            <w:pPr>
              <w:jc w:val="right"/>
              <w:textAlignment w:val="auto"/>
              <w:rPr>
                <w:kern w:val="0"/>
                <w:sz w:val="18"/>
                <w:szCs w:val="18"/>
              </w:rPr>
            </w:pPr>
          </w:p>
        </w:tc>
        <w:tc>
          <w:tcPr>
            <w:tcW w:w="803" w:type="dxa"/>
            <w:shd w:val="clear" w:color="FFFFFF" w:fill="FFFFFF"/>
            <w:vAlign w:val="center"/>
          </w:tcPr>
          <w:p w14:paraId="78168473">
            <w:pPr>
              <w:jc w:val="right"/>
              <w:textAlignment w:val="auto"/>
              <w:rPr>
                <w:kern w:val="0"/>
                <w:sz w:val="18"/>
                <w:szCs w:val="18"/>
              </w:rPr>
            </w:pPr>
          </w:p>
        </w:tc>
        <w:tc>
          <w:tcPr>
            <w:tcW w:w="802" w:type="dxa"/>
            <w:shd w:val="clear" w:color="FFFFFF" w:fill="FFFFFF"/>
            <w:vAlign w:val="center"/>
          </w:tcPr>
          <w:p w14:paraId="737778AE">
            <w:pPr>
              <w:jc w:val="right"/>
              <w:textAlignment w:val="auto"/>
              <w:rPr>
                <w:kern w:val="0"/>
                <w:sz w:val="18"/>
                <w:szCs w:val="18"/>
              </w:rPr>
            </w:pPr>
          </w:p>
        </w:tc>
        <w:tc>
          <w:tcPr>
            <w:tcW w:w="691" w:type="dxa"/>
            <w:shd w:val="clear" w:color="FFFFFF" w:fill="FFFFFF"/>
            <w:vAlign w:val="center"/>
          </w:tcPr>
          <w:p w14:paraId="4BFB5E2E">
            <w:pPr>
              <w:jc w:val="right"/>
              <w:textAlignment w:val="auto"/>
              <w:rPr>
                <w:kern w:val="0"/>
                <w:sz w:val="18"/>
                <w:szCs w:val="18"/>
              </w:rPr>
            </w:pPr>
          </w:p>
        </w:tc>
      </w:tr>
      <w:tr w14:paraId="34D9EE5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851" w:hRule="atLeast"/>
          <w:jc w:val="center"/>
        </w:trPr>
        <w:tc>
          <w:tcPr>
            <w:tcW w:w="608" w:type="dxa"/>
            <w:shd w:val="clear" w:color="FFFFFF" w:fill="FFFFFF"/>
            <w:vAlign w:val="center"/>
          </w:tcPr>
          <w:p w14:paraId="2B071DA8">
            <w:pPr>
              <w:jc w:val="center"/>
              <w:textAlignment w:val="auto"/>
              <w:rPr>
                <w:kern w:val="0"/>
                <w:sz w:val="18"/>
                <w:szCs w:val="18"/>
              </w:rPr>
            </w:pPr>
          </w:p>
        </w:tc>
        <w:tc>
          <w:tcPr>
            <w:tcW w:w="1423" w:type="dxa"/>
            <w:shd w:val="clear" w:color="FFFFFF" w:fill="FFFFFF"/>
            <w:vAlign w:val="center"/>
          </w:tcPr>
          <w:p w14:paraId="3A9CFAD6">
            <w:pPr>
              <w:jc w:val="center"/>
              <w:textAlignment w:val="auto"/>
              <w:rPr>
                <w:kern w:val="0"/>
                <w:sz w:val="18"/>
                <w:szCs w:val="18"/>
              </w:rPr>
            </w:pPr>
          </w:p>
        </w:tc>
        <w:tc>
          <w:tcPr>
            <w:tcW w:w="1845" w:type="dxa"/>
            <w:shd w:val="clear" w:color="FFFFFF" w:fill="FFFFFF"/>
            <w:vAlign w:val="center"/>
          </w:tcPr>
          <w:p w14:paraId="13CB5311">
            <w:pPr>
              <w:jc w:val="left"/>
              <w:textAlignment w:val="auto"/>
              <w:rPr>
                <w:kern w:val="0"/>
                <w:sz w:val="18"/>
                <w:szCs w:val="18"/>
              </w:rPr>
            </w:pPr>
          </w:p>
        </w:tc>
        <w:tc>
          <w:tcPr>
            <w:tcW w:w="1149" w:type="dxa"/>
            <w:shd w:val="clear" w:color="FFFFFF" w:fill="FFFFFF"/>
            <w:vAlign w:val="center"/>
          </w:tcPr>
          <w:p w14:paraId="23E4648C">
            <w:pPr>
              <w:jc w:val="left"/>
              <w:textAlignment w:val="auto"/>
              <w:rPr>
                <w:kern w:val="0"/>
                <w:sz w:val="18"/>
                <w:szCs w:val="18"/>
              </w:rPr>
            </w:pPr>
          </w:p>
        </w:tc>
        <w:tc>
          <w:tcPr>
            <w:tcW w:w="662" w:type="dxa"/>
            <w:shd w:val="clear" w:color="FFFFFF" w:fill="FFFFFF"/>
            <w:vAlign w:val="center"/>
          </w:tcPr>
          <w:p w14:paraId="1A4F2607">
            <w:pPr>
              <w:jc w:val="right"/>
              <w:textAlignment w:val="auto"/>
              <w:rPr>
                <w:kern w:val="0"/>
                <w:sz w:val="18"/>
                <w:szCs w:val="18"/>
              </w:rPr>
            </w:pPr>
          </w:p>
        </w:tc>
        <w:tc>
          <w:tcPr>
            <w:tcW w:w="767" w:type="dxa"/>
            <w:shd w:val="clear" w:color="FFFFFF" w:fill="FFFFFF"/>
            <w:vAlign w:val="center"/>
          </w:tcPr>
          <w:p w14:paraId="62DD4DF7">
            <w:pPr>
              <w:jc w:val="right"/>
              <w:textAlignment w:val="auto"/>
              <w:rPr>
                <w:kern w:val="0"/>
                <w:sz w:val="18"/>
                <w:szCs w:val="18"/>
              </w:rPr>
            </w:pPr>
          </w:p>
        </w:tc>
        <w:tc>
          <w:tcPr>
            <w:tcW w:w="803" w:type="dxa"/>
            <w:shd w:val="clear" w:color="FFFFFF" w:fill="FFFFFF"/>
            <w:vAlign w:val="center"/>
          </w:tcPr>
          <w:p w14:paraId="7A6527C9">
            <w:pPr>
              <w:jc w:val="right"/>
              <w:textAlignment w:val="auto"/>
              <w:rPr>
                <w:kern w:val="0"/>
                <w:sz w:val="18"/>
                <w:szCs w:val="18"/>
              </w:rPr>
            </w:pPr>
          </w:p>
        </w:tc>
        <w:tc>
          <w:tcPr>
            <w:tcW w:w="802" w:type="dxa"/>
            <w:shd w:val="clear" w:color="FFFFFF" w:fill="FFFFFF"/>
            <w:vAlign w:val="center"/>
          </w:tcPr>
          <w:p w14:paraId="22A88E52">
            <w:pPr>
              <w:jc w:val="right"/>
              <w:textAlignment w:val="auto"/>
              <w:rPr>
                <w:kern w:val="0"/>
                <w:sz w:val="18"/>
                <w:szCs w:val="18"/>
              </w:rPr>
            </w:pPr>
          </w:p>
        </w:tc>
        <w:tc>
          <w:tcPr>
            <w:tcW w:w="691" w:type="dxa"/>
            <w:shd w:val="clear" w:color="FFFFFF" w:fill="FFFFFF"/>
            <w:vAlign w:val="center"/>
          </w:tcPr>
          <w:p w14:paraId="2E7C4EFF">
            <w:pPr>
              <w:jc w:val="right"/>
              <w:textAlignment w:val="auto"/>
              <w:rPr>
                <w:kern w:val="0"/>
                <w:sz w:val="18"/>
                <w:szCs w:val="18"/>
              </w:rPr>
            </w:pPr>
          </w:p>
        </w:tc>
      </w:tr>
      <w:tr w14:paraId="63C1F38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851" w:hRule="atLeast"/>
          <w:jc w:val="center"/>
        </w:trPr>
        <w:tc>
          <w:tcPr>
            <w:tcW w:w="5687" w:type="dxa"/>
            <w:gridSpan w:val="5"/>
            <w:shd w:val="clear" w:color="FFFFFF" w:fill="FFFFFF"/>
            <w:vAlign w:val="center"/>
          </w:tcPr>
          <w:p w14:paraId="4BD4F981">
            <w:pPr>
              <w:jc w:val="center"/>
              <w:textAlignment w:val="auto"/>
              <w:rPr>
                <w:kern w:val="0"/>
                <w:sz w:val="18"/>
                <w:szCs w:val="18"/>
              </w:rPr>
            </w:pPr>
            <w:r>
              <w:rPr>
                <w:rFonts w:hint="eastAsia"/>
                <w:kern w:val="0"/>
                <w:sz w:val="24"/>
              </w:rPr>
              <w:t>合</w:t>
            </w:r>
            <w:r>
              <w:rPr>
                <w:kern w:val="0"/>
                <w:sz w:val="24"/>
              </w:rPr>
              <w:t xml:space="preserve">    </w:t>
            </w:r>
            <w:r>
              <w:rPr>
                <w:rFonts w:hint="eastAsia"/>
                <w:kern w:val="0"/>
                <w:sz w:val="24"/>
              </w:rPr>
              <w:t>计</w:t>
            </w:r>
          </w:p>
        </w:tc>
        <w:tc>
          <w:tcPr>
            <w:tcW w:w="767" w:type="dxa"/>
            <w:shd w:val="clear" w:color="FFFFFF" w:fill="FFFFFF"/>
            <w:vAlign w:val="center"/>
          </w:tcPr>
          <w:p w14:paraId="6C0CC43D">
            <w:pPr>
              <w:jc w:val="right"/>
              <w:textAlignment w:val="auto"/>
              <w:rPr>
                <w:kern w:val="0"/>
                <w:sz w:val="18"/>
                <w:szCs w:val="18"/>
              </w:rPr>
            </w:pPr>
            <w:r>
              <w:rPr>
                <w:rFonts w:hint="eastAsia"/>
                <w:kern w:val="0"/>
                <w:sz w:val="18"/>
                <w:szCs w:val="18"/>
              </w:rPr>
              <w:t>　</w:t>
            </w:r>
          </w:p>
        </w:tc>
        <w:tc>
          <w:tcPr>
            <w:tcW w:w="803" w:type="dxa"/>
            <w:shd w:val="clear" w:color="FFFFFF" w:fill="FFFFFF"/>
            <w:vAlign w:val="center"/>
          </w:tcPr>
          <w:p w14:paraId="246600B0">
            <w:pPr>
              <w:jc w:val="right"/>
              <w:textAlignment w:val="auto"/>
              <w:rPr>
                <w:kern w:val="0"/>
                <w:sz w:val="18"/>
                <w:szCs w:val="18"/>
              </w:rPr>
            </w:pPr>
            <w:r>
              <w:rPr>
                <w:rFonts w:hint="eastAsia"/>
                <w:kern w:val="0"/>
                <w:sz w:val="18"/>
                <w:szCs w:val="18"/>
              </w:rPr>
              <w:t>　</w:t>
            </w:r>
          </w:p>
        </w:tc>
        <w:tc>
          <w:tcPr>
            <w:tcW w:w="802" w:type="dxa"/>
            <w:shd w:val="clear" w:color="FFFFFF" w:fill="FFFFFF"/>
            <w:vAlign w:val="center"/>
          </w:tcPr>
          <w:p w14:paraId="0464A37E">
            <w:pPr>
              <w:jc w:val="right"/>
              <w:textAlignment w:val="auto"/>
              <w:rPr>
                <w:kern w:val="0"/>
                <w:sz w:val="18"/>
                <w:szCs w:val="18"/>
              </w:rPr>
            </w:pPr>
            <w:r>
              <w:rPr>
                <w:rFonts w:hint="eastAsia"/>
                <w:kern w:val="0"/>
                <w:sz w:val="18"/>
                <w:szCs w:val="18"/>
              </w:rPr>
              <w:t>　</w:t>
            </w:r>
          </w:p>
        </w:tc>
        <w:tc>
          <w:tcPr>
            <w:tcW w:w="691" w:type="dxa"/>
            <w:shd w:val="clear" w:color="FFFFFF" w:fill="FFFFFF"/>
            <w:vAlign w:val="center"/>
          </w:tcPr>
          <w:p w14:paraId="6567F5B4">
            <w:pPr>
              <w:jc w:val="right"/>
              <w:textAlignment w:val="auto"/>
              <w:rPr>
                <w:kern w:val="0"/>
                <w:sz w:val="18"/>
                <w:szCs w:val="18"/>
              </w:rPr>
            </w:pPr>
            <w:r>
              <w:rPr>
                <w:rFonts w:hint="eastAsia"/>
                <w:kern w:val="0"/>
                <w:sz w:val="18"/>
                <w:szCs w:val="18"/>
              </w:rPr>
              <w:t>　</w:t>
            </w:r>
          </w:p>
        </w:tc>
      </w:tr>
    </w:tbl>
    <w:p w14:paraId="44D9E04B">
      <w:pPr>
        <w:widowControl w:val="0"/>
        <w:spacing w:before="156" w:beforeLines="50" w:line="240" w:lineRule="atLeast"/>
        <w:textAlignment w:val="auto"/>
        <w:rPr>
          <w:rFonts w:ascii="宋体"/>
          <w:bCs/>
          <w:sz w:val="18"/>
          <w:szCs w:val="18"/>
        </w:rPr>
      </w:pPr>
      <w:r>
        <w:rPr>
          <w:rFonts w:hint="eastAsia" w:ascii="宋体" w:hAnsi="宋体"/>
          <w:bCs/>
          <w:sz w:val="18"/>
          <w:szCs w:val="18"/>
        </w:rPr>
        <w:t>编制人（造价人员）：</w:t>
      </w:r>
      <w:r>
        <w:rPr>
          <w:rFonts w:ascii="宋体" w:hAnsi="宋体"/>
          <w:bCs/>
          <w:sz w:val="18"/>
          <w:szCs w:val="18"/>
        </w:rPr>
        <w:t xml:space="preserve">                            </w:t>
      </w:r>
      <w:r>
        <w:rPr>
          <w:rFonts w:hint="eastAsia" w:ascii="宋体" w:hAnsi="宋体"/>
          <w:bCs/>
          <w:sz w:val="18"/>
          <w:szCs w:val="18"/>
        </w:rPr>
        <w:t>复核人（造价工程师）：</w:t>
      </w:r>
    </w:p>
    <w:p w14:paraId="2429ACE8">
      <w:pPr>
        <w:widowControl w:val="0"/>
        <w:spacing w:before="312" w:beforeLines="100" w:line="240" w:lineRule="atLeast"/>
        <w:textAlignment w:val="auto"/>
        <w:rPr>
          <w:sz w:val="18"/>
          <w:szCs w:val="18"/>
        </w:rPr>
      </w:pPr>
      <w:r>
        <w:rPr>
          <w:rFonts w:hint="eastAsia"/>
          <w:sz w:val="18"/>
          <w:szCs w:val="18"/>
        </w:rPr>
        <w:t>注：</w:t>
      </w:r>
      <w:r>
        <w:rPr>
          <w:sz w:val="18"/>
          <w:szCs w:val="18"/>
        </w:rPr>
        <w:t>1.“</w:t>
      </w:r>
      <w:r>
        <w:rPr>
          <w:rFonts w:hint="eastAsia"/>
          <w:sz w:val="18"/>
          <w:szCs w:val="18"/>
        </w:rPr>
        <w:t>计算基础</w:t>
      </w:r>
      <w:r>
        <w:rPr>
          <w:sz w:val="18"/>
          <w:szCs w:val="18"/>
        </w:rPr>
        <w:t>”</w:t>
      </w:r>
      <w:r>
        <w:rPr>
          <w:rFonts w:hint="eastAsia"/>
          <w:sz w:val="18"/>
          <w:szCs w:val="18"/>
        </w:rPr>
        <w:t>中安全文明施工费可为</w:t>
      </w:r>
      <w:r>
        <w:rPr>
          <w:sz w:val="18"/>
          <w:szCs w:val="18"/>
        </w:rPr>
        <w:t>“</w:t>
      </w:r>
      <w:r>
        <w:rPr>
          <w:rFonts w:hint="eastAsia"/>
          <w:sz w:val="18"/>
          <w:szCs w:val="18"/>
        </w:rPr>
        <w:t>定额基价</w:t>
      </w:r>
      <w:r>
        <w:rPr>
          <w:sz w:val="18"/>
          <w:szCs w:val="18"/>
        </w:rPr>
        <w:t>”</w:t>
      </w:r>
      <w:r>
        <w:rPr>
          <w:rFonts w:hint="eastAsia"/>
          <w:sz w:val="18"/>
          <w:szCs w:val="18"/>
        </w:rPr>
        <w:t>、</w:t>
      </w:r>
      <w:r>
        <w:rPr>
          <w:sz w:val="18"/>
          <w:szCs w:val="18"/>
        </w:rPr>
        <w:t>“</w:t>
      </w:r>
      <w:r>
        <w:rPr>
          <w:rFonts w:hint="eastAsia"/>
          <w:sz w:val="18"/>
          <w:szCs w:val="18"/>
        </w:rPr>
        <w:t>定额人工费</w:t>
      </w:r>
      <w:r>
        <w:rPr>
          <w:sz w:val="18"/>
          <w:szCs w:val="18"/>
        </w:rPr>
        <w:t>”</w:t>
      </w:r>
      <w:r>
        <w:rPr>
          <w:rFonts w:hint="eastAsia"/>
          <w:sz w:val="18"/>
          <w:szCs w:val="18"/>
        </w:rPr>
        <w:t>或</w:t>
      </w:r>
      <w:r>
        <w:rPr>
          <w:sz w:val="18"/>
          <w:szCs w:val="18"/>
        </w:rPr>
        <w:t>“</w:t>
      </w:r>
      <w:r>
        <w:rPr>
          <w:rFonts w:hint="eastAsia"/>
          <w:sz w:val="18"/>
          <w:szCs w:val="18"/>
        </w:rPr>
        <w:t>定额人工费</w:t>
      </w:r>
      <w:r>
        <w:rPr>
          <w:sz w:val="18"/>
          <w:szCs w:val="18"/>
        </w:rPr>
        <w:t>+</w:t>
      </w:r>
      <w:r>
        <w:rPr>
          <w:rFonts w:hint="eastAsia"/>
          <w:sz w:val="18"/>
          <w:szCs w:val="18"/>
        </w:rPr>
        <w:t>定额机械费</w:t>
      </w:r>
      <w:r>
        <w:rPr>
          <w:sz w:val="18"/>
          <w:szCs w:val="18"/>
        </w:rPr>
        <w:t>”</w:t>
      </w:r>
      <w:r>
        <w:rPr>
          <w:rFonts w:hint="eastAsia"/>
          <w:sz w:val="18"/>
          <w:szCs w:val="18"/>
        </w:rPr>
        <w:t>，其它项目可为</w:t>
      </w:r>
      <w:r>
        <w:rPr>
          <w:sz w:val="18"/>
          <w:szCs w:val="18"/>
        </w:rPr>
        <w:t>“</w:t>
      </w:r>
      <w:r>
        <w:rPr>
          <w:rFonts w:hint="eastAsia"/>
          <w:sz w:val="18"/>
          <w:szCs w:val="18"/>
        </w:rPr>
        <w:t>定额人工费</w:t>
      </w:r>
      <w:r>
        <w:rPr>
          <w:sz w:val="18"/>
          <w:szCs w:val="18"/>
        </w:rPr>
        <w:t>”</w:t>
      </w:r>
      <w:r>
        <w:rPr>
          <w:rFonts w:hint="eastAsia"/>
          <w:sz w:val="18"/>
          <w:szCs w:val="18"/>
        </w:rPr>
        <w:t>或</w:t>
      </w:r>
      <w:r>
        <w:rPr>
          <w:sz w:val="18"/>
          <w:szCs w:val="18"/>
        </w:rPr>
        <w:t>“</w:t>
      </w:r>
      <w:r>
        <w:rPr>
          <w:rFonts w:hint="eastAsia"/>
          <w:sz w:val="18"/>
          <w:szCs w:val="18"/>
        </w:rPr>
        <w:t>定额人工费</w:t>
      </w:r>
      <w:r>
        <w:rPr>
          <w:sz w:val="18"/>
          <w:szCs w:val="18"/>
        </w:rPr>
        <w:t>+</w:t>
      </w:r>
      <w:r>
        <w:rPr>
          <w:rFonts w:hint="eastAsia"/>
          <w:sz w:val="18"/>
          <w:szCs w:val="18"/>
        </w:rPr>
        <w:t>定额机械费</w:t>
      </w:r>
      <w:r>
        <w:rPr>
          <w:sz w:val="18"/>
          <w:szCs w:val="18"/>
        </w:rPr>
        <w:t>”</w:t>
      </w:r>
      <w:r>
        <w:rPr>
          <w:rFonts w:hint="eastAsia"/>
          <w:sz w:val="18"/>
          <w:szCs w:val="18"/>
        </w:rPr>
        <w:t>。</w:t>
      </w:r>
    </w:p>
    <w:p w14:paraId="10F49F04">
      <w:pPr>
        <w:widowControl w:val="0"/>
        <w:spacing w:line="240" w:lineRule="atLeast"/>
        <w:ind w:firstLine="360" w:firstLineChars="200"/>
        <w:textAlignment w:val="auto"/>
        <w:rPr>
          <w:sz w:val="18"/>
          <w:szCs w:val="18"/>
        </w:rPr>
      </w:pPr>
      <w:r>
        <w:rPr>
          <w:sz w:val="18"/>
          <w:szCs w:val="18"/>
        </w:rPr>
        <w:t>2.</w:t>
      </w:r>
      <w:r>
        <w:rPr>
          <w:rFonts w:hint="eastAsia"/>
          <w:sz w:val="18"/>
          <w:szCs w:val="18"/>
        </w:rPr>
        <w:t>按施工方案计算的措施费，若无</w:t>
      </w:r>
      <w:r>
        <w:rPr>
          <w:sz w:val="18"/>
          <w:szCs w:val="18"/>
        </w:rPr>
        <w:t>“</w:t>
      </w:r>
      <w:r>
        <w:rPr>
          <w:rFonts w:hint="eastAsia"/>
          <w:sz w:val="18"/>
          <w:szCs w:val="18"/>
        </w:rPr>
        <w:t>计算基础</w:t>
      </w:r>
      <w:r>
        <w:rPr>
          <w:sz w:val="18"/>
          <w:szCs w:val="18"/>
        </w:rPr>
        <w:t>”</w:t>
      </w:r>
      <w:r>
        <w:rPr>
          <w:rFonts w:hint="eastAsia"/>
          <w:sz w:val="18"/>
          <w:szCs w:val="18"/>
        </w:rPr>
        <w:t>和</w:t>
      </w:r>
      <w:r>
        <w:rPr>
          <w:sz w:val="18"/>
          <w:szCs w:val="18"/>
        </w:rPr>
        <w:t>“</w:t>
      </w:r>
      <w:r>
        <w:rPr>
          <w:rFonts w:hint="eastAsia"/>
          <w:sz w:val="18"/>
          <w:szCs w:val="18"/>
        </w:rPr>
        <w:t>费率</w:t>
      </w:r>
      <w:r>
        <w:rPr>
          <w:sz w:val="18"/>
          <w:szCs w:val="18"/>
        </w:rPr>
        <w:t>”</w:t>
      </w:r>
      <w:r>
        <w:rPr>
          <w:rFonts w:hint="eastAsia"/>
          <w:sz w:val="18"/>
          <w:szCs w:val="18"/>
        </w:rPr>
        <w:t>的数值，也可只填</w:t>
      </w:r>
      <w:r>
        <w:rPr>
          <w:sz w:val="18"/>
          <w:szCs w:val="18"/>
        </w:rPr>
        <w:t>“</w:t>
      </w:r>
      <w:r>
        <w:rPr>
          <w:rFonts w:hint="eastAsia"/>
          <w:sz w:val="18"/>
          <w:szCs w:val="18"/>
        </w:rPr>
        <w:t>金额</w:t>
      </w:r>
      <w:r>
        <w:rPr>
          <w:sz w:val="18"/>
          <w:szCs w:val="18"/>
        </w:rPr>
        <w:t>”</w:t>
      </w:r>
      <w:r>
        <w:rPr>
          <w:rFonts w:hint="eastAsia"/>
          <w:sz w:val="18"/>
          <w:szCs w:val="18"/>
        </w:rPr>
        <w:t>数值，但应在备注栏说明施工方案出处或计算方法。</w:t>
      </w:r>
    </w:p>
    <w:p w14:paraId="625F5F7F">
      <w:pPr>
        <w:widowControl w:val="0"/>
        <w:tabs>
          <w:tab w:val="left" w:pos="6135"/>
        </w:tabs>
        <w:textAlignment w:val="auto"/>
        <w:rPr>
          <w:rFonts w:eastAsia="黑体"/>
        </w:rPr>
      </w:pPr>
    </w:p>
    <w:p w14:paraId="124E6ECB">
      <w:pPr>
        <w:widowControl w:val="0"/>
        <w:tabs>
          <w:tab w:val="left" w:pos="6135"/>
        </w:tabs>
        <w:jc w:val="right"/>
        <w:textAlignment w:val="auto"/>
        <w:rPr>
          <w:rFonts w:eastAsia="黑体"/>
        </w:rPr>
      </w:pPr>
      <w:r>
        <w:rPr>
          <w:rFonts w:hint="eastAsia" w:eastAsia="黑体"/>
        </w:rPr>
        <w:t>表</w:t>
      </w:r>
      <w:r>
        <w:rPr>
          <w:rFonts w:eastAsia="黑体"/>
        </w:rPr>
        <w:t>-11</w:t>
      </w:r>
    </w:p>
    <w:p w14:paraId="2E530604">
      <w:pPr>
        <w:widowControl w:val="0"/>
        <w:tabs>
          <w:tab w:val="left" w:pos="6135"/>
        </w:tabs>
        <w:textAlignment w:val="auto"/>
        <w:rPr>
          <w:rFonts w:eastAsia="黑体"/>
        </w:rPr>
      </w:pPr>
    </w:p>
    <w:p w14:paraId="00C85FA0">
      <w:pPr>
        <w:widowControl w:val="0"/>
        <w:spacing w:line="360" w:lineRule="auto"/>
        <w:jc w:val="left"/>
        <w:textAlignment w:val="auto"/>
      </w:pPr>
    </w:p>
    <w:p w14:paraId="03DC89B6">
      <w:pPr>
        <w:widowControl w:val="0"/>
        <w:tabs>
          <w:tab w:val="left" w:pos="6135"/>
        </w:tabs>
        <w:jc w:val="center"/>
        <w:textAlignment w:val="auto"/>
        <w:rPr>
          <w:rFonts w:eastAsia="黑体"/>
          <w:sz w:val="32"/>
          <w:szCs w:val="32"/>
        </w:rPr>
      </w:pPr>
      <w:r>
        <w:rPr>
          <w:rFonts w:eastAsia="黑体"/>
          <w:sz w:val="32"/>
          <w:szCs w:val="32"/>
        </w:rPr>
        <w:t>G.1</w:t>
      </w:r>
      <w:r>
        <w:rPr>
          <w:rFonts w:hint="eastAsia" w:eastAsia="黑体"/>
          <w:sz w:val="32"/>
          <w:szCs w:val="32"/>
        </w:rPr>
        <w:t>其他项目清单与计价汇总表</w:t>
      </w:r>
    </w:p>
    <w:p w14:paraId="0D2E8DDC">
      <w:pPr>
        <w:widowControl w:val="0"/>
        <w:tabs>
          <w:tab w:val="left" w:pos="12120"/>
        </w:tabs>
        <w:spacing w:line="360" w:lineRule="auto"/>
        <w:ind w:left="105" w:hanging="105" w:hangingChars="50"/>
        <w:textAlignment w:val="auto"/>
        <w:rPr>
          <w:szCs w:val="21"/>
        </w:rPr>
      </w:pPr>
      <w:r>
        <w:rPr>
          <w:rFonts w:hint="eastAsia"/>
          <w:szCs w:val="21"/>
        </w:rPr>
        <w:t>工程名称：</w:t>
      </w:r>
      <w:r>
        <w:rPr>
          <w:szCs w:val="21"/>
        </w:rPr>
        <w:t xml:space="preserve">                             </w:t>
      </w:r>
      <w:r>
        <w:rPr>
          <w:rFonts w:hint="eastAsia"/>
          <w:szCs w:val="21"/>
        </w:rPr>
        <w:t>标段</w:t>
      </w:r>
      <w:r>
        <w:rPr>
          <w:szCs w:val="21"/>
        </w:rPr>
        <w:t xml:space="preserve"> </w:t>
      </w:r>
      <w:r>
        <w:rPr>
          <w:rFonts w:hint="eastAsia"/>
          <w:szCs w:val="21"/>
        </w:rPr>
        <w:t>：</w:t>
      </w:r>
      <w:r>
        <w:rPr>
          <w:szCs w:val="21"/>
        </w:rPr>
        <w:t xml:space="preserve">                    </w:t>
      </w:r>
      <w:r>
        <w:rPr>
          <w:rFonts w:hint="eastAsia"/>
          <w:szCs w:val="21"/>
        </w:rPr>
        <w:t>第</w:t>
      </w:r>
      <w:r>
        <w:rPr>
          <w:szCs w:val="21"/>
        </w:rPr>
        <w:t xml:space="preserve">  </w:t>
      </w:r>
      <w:r>
        <w:rPr>
          <w:rFonts w:hint="eastAsia"/>
          <w:szCs w:val="21"/>
        </w:rPr>
        <w:t>页</w:t>
      </w:r>
      <w:r>
        <w:rPr>
          <w:szCs w:val="21"/>
        </w:rPr>
        <w:t xml:space="preserve"> </w:t>
      </w:r>
      <w:r>
        <w:rPr>
          <w:rFonts w:hint="eastAsia"/>
          <w:szCs w:val="21"/>
        </w:rPr>
        <w:t>共</w:t>
      </w:r>
      <w:r>
        <w:rPr>
          <w:szCs w:val="21"/>
        </w:rPr>
        <w:t xml:space="preserve">  </w:t>
      </w:r>
      <w:r>
        <w:rPr>
          <w:rFonts w:hint="eastAsia"/>
          <w:szCs w:val="21"/>
        </w:rPr>
        <w:t>页</w:t>
      </w:r>
    </w:p>
    <w:tbl>
      <w:tblPr>
        <w:tblStyle w:val="45"/>
        <w:tblW w:w="0" w:type="auto"/>
        <w:jc w:val="center"/>
        <w:tblLayout w:type="fixed"/>
        <w:tblCellMar>
          <w:top w:w="0" w:type="dxa"/>
          <w:left w:w="108" w:type="dxa"/>
          <w:bottom w:w="0" w:type="dxa"/>
          <w:right w:w="108" w:type="dxa"/>
        </w:tblCellMar>
      </w:tblPr>
      <w:tblGrid>
        <w:gridCol w:w="1210"/>
        <w:gridCol w:w="2980"/>
        <w:gridCol w:w="1431"/>
        <w:gridCol w:w="1471"/>
        <w:gridCol w:w="1854"/>
      </w:tblGrid>
      <w:tr w14:paraId="43E06ACA">
        <w:tblPrEx>
          <w:tblCellMar>
            <w:top w:w="0" w:type="dxa"/>
            <w:left w:w="108" w:type="dxa"/>
            <w:bottom w:w="0" w:type="dxa"/>
            <w:right w:w="108" w:type="dxa"/>
          </w:tblCellMar>
        </w:tblPrEx>
        <w:trPr>
          <w:trHeight w:val="851" w:hRule="atLeast"/>
          <w:jc w:val="center"/>
        </w:trPr>
        <w:tc>
          <w:tcPr>
            <w:tcW w:w="1210" w:type="dxa"/>
            <w:tcBorders>
              <w:top w:val="single" w:color="000000" w:sz="8" w:space="0"/>
              <w:left w:val="single" w:color="000000" w:sz="8" w:space="0"/>
              <w:bottom w:val="single" w:color="000000" w:sz="4" w:space="0"/>
              <w:right w:val="single" w:color="000000" w:sz="4" w:space="0"/>
            </w:tcBorders>
            <w:shd w:val="clear" w:color="FFFFFF" w:fill="FFFFFF"/>
            <w:vAlign w:val="center"/>
          </w:tcPr>
          <w:p w14:paraId="4CAE8AF1">
            <w:pPr>
              <w:jc w:val="center"/>
              <w:textAlignment w:val="auto"/>
              <w:rPr>
                <w:kern w:val="0"/>
                <w:szCs w:val="21"/>
              </w:rPr>
            </w:pPr>
            <w:r>
              <w:rPr>
                <w:rFonts w:hint="eastAsia"/>
                <w:kern w:val="0"/>
                <w:szCs w:val="21"/>
              </w:rPr>
              <w:t>序号</w:t>
            </w:r>
          </w:p>
        </w:tc>
        <w:tc>
          <w:tcPr>
            <w:tcW w:w="2980" w:type="dxa"/>
            <w:tcBorders>
              <w:top w:val="single" w:color="000000" w:sz="8" w:space="0"/>
              <w:left w:val="nil"/>
              <w:bottom w:val="single" w:color="000000" w:sz="4" w:space="0"/>
              <w:right w:val="single" w:color="000000" w:sz="4" w:space="0"/>
            </w:tcBorders>
            <w:shd w:val="clear" w:color="FFFFFF" w:fill="FFFFFF"/>
            <w:vAlign w:val="center"/>
          </w:tcPr>
          <w:p w14:paraId="0BFEF45C">
            <w:pPr>
              <w:jc w:val="center"/>
              <w:textAlignment w:val="auto"/>
              <w:rPr>
                <w:kern w:val="0"/>
                <w:szCs w:val="21"/>
              </w:rPr>
            </w:pPr>
            <w:r>
              <w:rPr>
                <w:rFonts w:hint="eastAsia"/>
                <w:kern w:val="0"/>
                <w:szCs w:val="21"/>
              </w:rPr>
              <w:t>项目名称</w:t>
            </w:r>
          </w:p>
        </w:tc>
        <w:tc>
          <w:tcPr>
            <w:tcW w:w="1431" w:type="dxa"/>
            <w:tcBorders>
              <w:top w:val="single" w:color="000000" w:sz="8" w:space="0"/>
              <w:left w:val="nil"/>
              <w:bottom w:val="single" w:color="000000" w:sz="4" w:space="0"/>
              <w:right w:val="single" w:color="000000" w:sz="4" w:space="0"/>
            </w:tcBorders>
            <w:shd w:val="clear" w:color="FFFFFF" w:fill="FFFFFF"/>
            <w:vAlign w:val="center"/>
          </w:tcPr>
          <w:p w14:paraId="69978AC8">
            <w:pPr>
              <w:jc w:val="center"/>
              <w:textAlignment w:val="auto"/>
              <w:rPr>
                <w:kern w:val="0"/>
                <w:szCs w:val="21"/>
              </w:rPr>
            </w:pPr>
            <w:r>
              <w:rPr>
                <w:rFonts w:hint="eastAsia"/>
                <w:kern w:val="0"/>
                <w:szCs w:val="21"/>
              </w:rPr>
              <w:t>金额</w:t>
            </w:r>
            <w:r>
              <w:rPr>
                <w:kern w:val="0"/>
                <w:szCs w:val="21"/>
              </w:rPr>
              <w:t>(</w:t>
            </w:r>
            <w:r>
              <w:rPr>
                <w:rFonts w:hint="eastAsia"/>
                <w:kern w:val="0"/>
                <w:szCs w:val="21"/>
              </w:rPr>
              <w:t>元</w:t>
            </w:r>
            <w:r>
              <w:rPr>
                <w:kern w:val="0"/>
                <w:szCs w:val="21"/>
              </w:rPr>
              <w:t>)</w:t>
            </w:r>
          </w:p>
        </w:tc>
        <w:tc>
          <w:tcPr>
            <w:tcW w:w="1471" w:type="dxa"/>
            <w:tcBorders>
              <w:top w:val="single" w:color="000000" w:sz="8" w:space="0"/>
              <w:left w:val="nil"/>
              <w:bottom w:val="single" w:color="000000" w:sz="4" w:space="0"/>
              <w:right w:val="single" w:color="000000" w:sz="4" w:space="0"/>
            </w:tcBorders>
            <w:shd w:val="clear" w:color="FFFFFF" w:fill="FFFFFF"/>
            <w:vAlign w:val="center"/>
          </w:tcPr>
          <w:p w14:paraId="3A18B905">
            <w:pPr>
              <w:jc w:val="center"/>
              <w:textAlignment w:val="auto"/>
              <w:rPr>
                <w:kern w:val="0"/>
                <w:szCs w:val="21"/>
              </w:rPr>
            </w:pPr>
            <w:r>
              <w:rPr>
                <w:rFonts w:hint="eastAsia"/>
                <w:kern w:val="0"/>
                <w:szCs w:val="21"/>
              </w:rPr>
              <w:t>结算金额</w:t>
            </w:r>
            <w:r>
              <w:rPr>
                <w:kern w:val="0"/>
                <w:szCs w:val="21"/>
              </w:rPr>
              <w:t>(</w:t>
            </w:r>
            <w:r>
              <w:rPr>
                <w:rFonts w:hint="eastAsia"/>
                <w:kern w:val="0"/>
                <w:szCs w:val="21"/>
              </w:rPr>
              <w:t>元</w:t>
            </w:r>
            <w:r>
              <w:rPr>
                <w:kern w:val="0"/>
                <w:szCs w:val="21"/>
              </w:rPr>
              <w:t>)</w:t>
            </w:r>
          </w:p>
        </w:tc>
        <w:tc>
          <w:tcPr>
            <w:tcW w:w="1854" w:type="dxa"/>
            <w:tcBorders>
              <w:top w:val="single" w:color="000000" w:sz="8" w:space="0"/>
              <w:left w:val="nil"/>
              <w:bottom w:val="single" w:color="000000" w:sz="4" w:space="0"/>
              <w:right w:val="single" w:color="000000" w:sz="8" w:space="0"/>
            </w:tcBorders>
            <w:shd w:val="clear" w:color="FFFFFF" w:fill="FFFFFF"/>
            <w:vAlign w:val="center"/>
          </w:tcPr>
          <w:p w14:paraId="57D289FC">
            <w:pPr>
              <w:jc w:val="center"/>
              <w:textAlignment w:val="auto"/>
              <w:rPr>
                <w:kern w:val="0"/>
                <w:szCs w:val="21"/>
              </w:rPr>
            </w:pPr>
            <w:r>
              <w:rPr>
                <w:rFonts w:hint="eastAsia"/>
                <w:kern w:val="0"/>
                <w:szCs w:val="21"/>
              </w:rPr>
              <w:t>备注</w:t>
            </w:r>
          </w:p>
        </w:tc>
      </w:tr>
      <w:tr w14:paraId="5AA84B51">
        <w:tblPrEx>
          <w:tblCellMar>
            <w:top w:w="0" w:type="dxa"/>
            <w:left w:w="108" w:type="dxa"/>
            <w:bottom w:w="0" w:type="dxa"/>
            <w:right w:w="108" w:type="dxa"/>
          </w:tblCellMar>
        </w:tblPrEx>
        <w:trPr>
          <w:trHeight w:val="851" w:hRule="atLeast"/>
          <w:jc w:val="center"/>
        </w:trPr>
        <w:tc>
          <w:tcPr>
            <w:tcW w:w="121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0DE6424">
            <w:pPr>
              <w:widowControl w:val="0"/>
              <w:jc w:val="center"/>
              <w:textAlignment w:val="auto"/>
              <w:rPr>
                <w:szCs w:val="21"/>
              </w:rPr>
            </w:pPr>
            <w:r>
              <w:rPr>
                <w:szCs w:val="21"/>
              </w:rPr>
              <w:t>1</w:t>
            </w:r>
          </w:p>
        </w:tc>
        <w:tc>
          <w:tcPr>
            <w:tcW w:w="2980" w:type="dxa"/>
            <w:tcBorders>
              <w:top w:val="single" w:color="000000" w:sz="4" w:space="0"/>
              <w:left w:val="nil"/>
              <w:bottom w:val="single" w:color="000000" w:sz="4" w:space="0"/>
              <w:right w:val="single" w:color="000000" w:sz="4" w:space="0"/>
            </w:tcBorders>
            <w:shd w:val="clear" w:color="FFFFFF" w:fill="FFFFFF"/>
            <w:vAlign w:val="center"/>
          </w:tcPr>
          <w:p w14:paraId="6BBC21EF">
            <w:pPr>
              <w:widowControl w:val="0"/>
              <w:jc w:val="left"/>
              <w:textAlignment w:val="auto"/>
              <w:rPr>
                <w:szCs w:val="21"/>
              </w:rPr>
            </w:pPr>
            <w:r>
              <w:rPr>
                <w:rFonts w:hint="eastAsia"/>
                <w:szCs w:val="21"/>
              </w:rPr>
              <w:t>暂列金额</w:t>
            </w:r>
          </w:p>
        </w:tc>
        <w:tc>
          <w:tcPr>
            <w:tcW w:w="1431" w:type="dxa"/>
            <w:tcBorders>
              <w:top w:val="single" w:color="000000" w:sz="4" w:space="0"/>
              <w:left w:val="nil"/>
              <w:bottom w:val="single" w:color="000000" w:sz="4" w:space="0"/>
              <w:right w:val="single" w:color="000000" w:sz="4" w:space="0"/>
            </w:tcBorders>
            <w:shd w:val="clear" w:color="FFFFFF" w:fill="FFFFFF"/>
            <w:vAlign w:val="center"/>
          </w:tcPr>
          <w:p w14:paraId="0F3F6521">
            <w:pPr>
              <w:widowControl w:val="0"/>
              <w:jc w:val="center"/>
              <w:textAlignment w:val="auto"/>
              <w:rPr>
                <w:szCs w:val="21"/>
              </w:rPr>
            </w:pPr>
          </w:p>
        </w:tc>
        <w:tc>
          <w:tcPr>
            <w:tcW w:w="1471" w:type="dxa"/>
            <w:tcBorders>
              <w:top w:val="single" w:color="000000" w:sz="4" w:space="0"/>
              <w:left w:val="nil"/>
              <w:bottom w:val="single" w:color="000000" w:sz="4" w:space="0"/>
              <w:right w:val="single" w:color="000000" w:sz="4" w:space="0"/>
            </w:tcBorders>
            <w:shd w:val="clear" w:color="FFFFFF" w:fill="FFFFFF"/>
            <w:vAlign w:val="center"/>
          </w:tcPr>
          <w:p w14:paraId="29078360">
            <w:pPr>
              <w:widowControl w:val="0"/>
              <w:jc w:val="center"/>
              <w:textAlignment w:val="auto"/>
              <w:rPr>
                <w:szCs w:val="21"/>
              </w:rPr>
            </w:pPr>
          </w:p>
        </w:tc>
        <w:tc>
          <w:tcPr>
            <w:tcW w:w="1854" w:type="dxa"/>
            <w:tcBorders>
              <w:top w:val="nil"/>
              <w:left w:val="nil"/>
              <w:bottom w:val="single" w:color="000000" w:sz="4" w:space="0"/>
              <w:right w:val="single" w:color="000000" w:sz="8" w:space="0"/>
            </w:tcBorders>
            <w:shd w:val="clear" w:color="FFFFFF" w:fill="FFFFFF"/>
            <w:vAlign w:val="center"/>
          </w:tcPr>
          <w:p w14:paraId="79CAA53A">
            <w:pPr>
              <w:widowControl w:val="0"/>
              <w:jc w:val="center"/>
              <w:textAlignment w:val="auto"/>
              <w:rPr>
                <w:szCs w:val="21"/>
              </w:rPr>
            </w:pPr>
            <w:r>
              <w:rPr>
                <w:rFonts w:hint="eastAsia"/>
                <w:szCs w:val="21"/>
              </w:rPr>
              <w:t>详见明细表</w:t>
            </w:r>
            <w:r>
              <w:rPr>
                <w:szCs w:val="21"/>
              </w:rPr>
              <w:t>-12-1</w:t>
            </w:r>
          </w:p>
        </w:tc>
      </w:tr>
      <w:tr w14:paraId="6A6083A6">
        <w:tblPrEx>
          <w:tblCellMar>
            <w:top w:w="0" w:type="dxa"/>
            <w:left w:w="108" w:type="dxa"/>
            <w:bottom w:w="0" w:type="dxa"/>
            <w:right w:w="108" w:type="dxa"/>
          </w:tblCellMar>
        </w:tblPrEx>
        <w:trPr>
          <w:trHeight w:val="851" w:hRule="atLeast"/>
          <w:jc w:val="center"/>
        </w:trPr>
        <w:tc>
          <w:tcPr>
            <w:tcW w:w="121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CBD0757">
            <w:pPr>
              <w:widowControl w:val="0"/>
              <w:jc w:val="center"/>
              <w:textAlignment w:val="auto"/>
              <w:rPr>
                <w:szCs w:val="21"/>
              </w:rPr>
            </w:pPr>
            <w:r>
              <w:rPr>
                <w:szCs w:val="21"/>
              </w:rPr>
              <w:t>2</w:t>
            </w:r>
          </w:p>
        </w:tc>
        <w:tc>
          <w:tcPr>
            <w:tcW w:w="2980" w:type="dxa"/>
            <w:tcBorders>
              <w:top w:val="single" w:color="000000" w:sz="4" w:space="0"/>
              <w:left w:val="nil"/>
              <w:bottom w:val="single" w:color="000000" w:sz="4" w:space="0"/>
              <w:right w:val="single" w:color="000000" w:sz="4" w:space="0"/>
            </w:tcBorders>
            <w:shd w:val="clear" w:color="FFFFFF" w:fill="FFFFFF"/>
            <w:vAlign w:val="center"/>
          </w:tcPr>
          <w:p w14:paraId="5CB12255">
            <w:pPr>
              <w:widowControl w:val="0"/>
              <w:jc w:val="left"/>
              <w:textAlignment w:val="auto"/>
              <w:rPr>
                <w:szCs w:val="21"/>
              </w:rPr>
            </w:pPr>
            <w:r>
              <w:rPr>
                <w:rFonts w:hint="eastAsia"/>
                <w:szCs w:val="21"/>
              </w:rPr>
              <w:t>暂估价</w:t>
            </w:r>
          </w:p>
        </w:tc>
        <w:tc>
          <w:tcPr>
            <w:tcW w:w="1431" w:type="dxa"/>
            <w:tcBorders>
              <w:top w:val="single" w:color="000000" w:sz="4" w:space="0"/>
              <w:left w:val="nil"/>
              <w:bottom w:val="single" w:color="000000" w:sz="4" w:space="0"/>
              <w:right w:val="single" w:color="000000" w:sz="4" w:space="0"/>
            </w:tcBorders>
            <w:shd w:val="clear" w:color="FFFFFF" w:fill="FFFFFF"/>
            <w:vAlign w:val="center"/>
          </w:tcPr>
          <w:p w14:paraId="21B3437E">
            <w:pPr>
              <w:widowControl w:val="0"/>
              <w:jc w:val="center"/>
              <w:textAlignment w:val="auto"/>
              <w:rPr>
                <w:szCs w:val="21"/>
              </w:rPr>
            </w:pPr>
          </w:p>
        </w:tc>
        <w:tc>
          <w:tcPr>
            <w:tcW w:w="1471" w:type="dxa"/>
            <w:tcBorders>
              <w:top w:val="single" w:color="000000" w:sz="4" w:space="0"/>
              <w:left w:val="nil"/>
              <w:bottom w:val="single" w:color="000000" w:sz="4" w:space="0"/>
              <w:right w:val="single" w:color="000000" w:sz="4" w:space="0"/>
            </w:tcBorders>
            <w:shd w:val="clear" w:color="FFFFFF" w:fill="FFFFFF"/>
            <w:vAlign w:val="center"/>
          </w:tcPr>
          <w:p w14:paraId="2B46C224">
            <w:pPr>
              <w:widowControl w:val="0"/>
              <w:jc w:val="center"/>
              <w:textAlignment w:val="auto"/>
              <w:rPr>
                <w:szCs w:val="21"/>
              </w:rPr>
            </w:pPr>
          </w:p>
        </w:tc>
        <w:tc>
          <w:tcPr>
            <w:tcW w:w="1854" w:type="dxa"/>
            <w:tcBorders>
              <w:top w:val="nil"/>
              <w:left w:val="nil"/>
              <w:bottom w:val="single" w:color="000000" w:sz="4" w:space="0"/>
              <w:right w:val="single" w:color="000000" w:sz="8" w:space="0"/>
            </w:tcBorders>
            <w:shd w:val="clear" w:color="FFFFFF" w:fill="FFFFFF"/>
            <w:vAlign w:val="center"/>
          </w:tcPr>
          <w:p w14:paraId="433B35DF">
            <w:pPr>
              <w:widowControl w:val="0"/>
              <w:jc w:val="center"/>
              <w:textAlignment w:val="auto"/>
              <w:rPr>
                <w:szCs w:val="21"/>
              </w:rPr>
            </w:pPr>
          </w:p>
        </w:tc>
      </w:tr>
      <w:tr w14:paraId="33BE268D">
        <w:tblPrEx>
          <w:tblCellMar>
            <w:top w:w="0" w:type="dxa"/>
            <w:left w:w="108" w:type="dxa"/>
            <w:bottom w:w="0" w:type="dxa"/>
            <w:right w:w="108" w:type="dxa"/>
          </w:tblCellMar>
        </w:tblPrEx>
        <w:trPr>
          <w:trHeight w:val="851" w:hRule="atLeast"/>
          <w:jc w:val="center"/>
        </w:trPr>
        <w:tc>
          <w:tcPr>
            <w:tcW w:w="121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985FFDB">
            <w:pPr>
              <w:widowControl w:val="0"/>
              <w:jc w:val="center"/>
              <w:textAlignment w:val="auto"/>
              <w:rPr>
                <w:szCs w:val="21"/>
              </w:rPr>
            </w:pPr>
            <w:r>
              <w:rPr>
                <w:szCs w:val="21"/>
              </w:rPr>
              <w:t>2.1</w:t>
            </w:r>
          </w:p>
        </w:tc>
        <w:tc>
          <w:tcPr>
            <w:tcW w:w="2980" w:type="dxa"/>
            <w:tcBorders>
              <w:top w:val="single" w:color="000000" w:sz="4" w:space="0"/>
              <w:left w:val="nil"/>
              <w:bottom w:val="single" w:color="000000" w:sz="4" w:space="0"/>
              <w:right w:val="single" w:color="000000" w:sz="4" w:space="0"/>
            </w:tcBorders>
            <w:shd w:val="clear" w:color="FFFFFF" w:fill="FFFFFF"/>
            <w:vAlign w:val="center"/>
          </w:tcPr>
          <w:p w14:paraId="271A6385">
            <w:pPr>
              <w:widowControl w:val="0"/>
              <w:jc w:val="left"/>
              <w:textAlignment w:val="auto"/>
              <w:rPr>
                <w:szCs w:val="21"/>
              </w:rPr>
            </w:pPr>
            <w:r>
              <w:rPr>
                <w:rFonts w:hint="eastAsia"/>
                <w:szCs w:val="21"/>
              </w:rPr>
              <w:t>材料</w:t>
            </w:r>
            <w:r>
              <w:rPr>
                <w:rFonts w:hint="eastAsia"/>
                <w:kern w:val="0"/>
                <w:szCs w:val="21"/>
              </w:rPr>
              <w:t>（工程设备）</w:t>
            </w:r>
            <w:r>
              <w:rPr>
                <w:rFonts w:hint="eastAsia"/>
                <w:szCs w:val="21"/>
              </w:rPr>
              <w:t>暂估价</w:t>
            </w:r>
          </w:p>
        </w:tc>
        <w:tc>
          <w:tcPr>
            <w:tcW w:w="1431" w:type="dxa"/>
            <w:tcBorders>
              <w:top w:val="single" w:color="000000" w:sz="4" w:space="0"/>
              <w:left w:val="nil"/>
              <w:bottom w:val="single" w:color="000000" w:sz="4" w:space="0"/>
              <w:right w:val="single" w:color="000000" w:sz="4" w:space="0"/>
            </w:tcBorders>
            <w:shd w:val="clear" w:color="FFFFFF" w:fill="FFFFFF"/>
            <w:vAlign w:val="center"/>
          </w:tcPr>
          <w:p w14:paraId="0F3E8139">
            <w:pPr>
              <w:widowControl w:val="0"/>
              <w:jc w:val="center"/>
              <w:textAlignment w:val="auto"/>
              <w:rPr>
                <w:szCs w:val="21"/>
              </w:rPr>
            </w:pPr>
          </w:p>
        </w:tc>
        <w:tc>
          <w:tcPr>
            <w:tcW w:w="1471" w:type="dxa"/>
            <w:tcBorders>
              <w:top w:val="single" w:color="000000" w:sz="4" w:space="0"/>
              <w:left w:val="nil"/>
              <w:bottom w:val="single" w:color="000000" w:sz="4" w:space="0"/>
              <w:right w:val="single" w:color="000000" w:sz="4" w:space="0"/>
            </w:tcBorders>
            <w:shd w:val="clear" w:color="FFFFFF" w:fill="FFFFFF"/>
            <w:vAlign w:val="center"/>
          </w:tcPr>
          <w:p w14:paraId="7EEAD3E5">
            <w:pPr>
              <w:widowControl w:val="0"/>
              <w:jc w:val="center"/>
              <w:textAlignment w:val="auto"/>
              <w:rPr>
                <w:szCs w:val="21"/>
              </w:rPr>
            </w:pPr>
          </w:p>
        </w:tc>
        <w:tc>
          <w:tcPr>
            <w:tcW w:w="1854" w:type="dxa"/>
            <w:tcBorders>
              <w:top w:val="nil"/>
              <w:left w:val="nil"/>
              <w:bottom w:val="single" w:color="000000" w:sz="4" w:space="0"/>
              <w:right w:val="single" w:color="000000" w:sz="8" w:space="0"/>
            </w:tcBorders>
            <w:shd w:val="clear" w:color="FFFFFF" w:fill="FFFFFF"/>
            <w:vAlign w:val="center"/>
          </w:tcPr>
          <w:p w14:paraId="78EF8505">
            <w:pPr>
              <w:widowControl w:val="0"/>
              <w:jc w:val="center"/>
              <w:textAlignment w:val="auto"/>
              <w:rPr>
                <w:szCs w:val="21"/>
              </w:rPr>
            </w:pPr>
            <w:r>
              <w:rPr>
                <w:rFonts w:hint="eastAsia"/>
                <w:szCs w:val="21"/>
              </w:rPr>
              <w:t>详见明细表</w:t>
            </w:r>
            <w:r>
              <w:rPr>
                <w:szCs w:val="21"/>
              </w:rPr>
              <w:t>-12-2</w:t>
            </w:r>
          </w:p>
        </w:tc>
      </w:tr>
      <w:tr w14:paraId="435814D8">
        <w:tblPrEx>
          <w:tblCellMar>
            <w:top w:w="0" w:type="dxa"/>
            <w:left w:w="108" w:type="dxa"/>
            <w:bottom w:w="0" w:type="dxa"/>
            <w:right w:w="108" w:type="dxa"/>
          </w:tblCellMar>
        </w:tblPrEx>
        <w:trPr>
          <w:trHeight w:val="851" w:hRule="atLeast"/>
          <w:jc w:val="center"/>
        </w:trPr>
        <w:tc>
          <w:tcPr>
            <w:tcW w:w="121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BB41720">
            <w:pPr>
              <w:widowControl w:val="0"/>
              <w:jc w:val="center"/>
              <w:textAlignment w:val="auto"/>
              <w:rPr>
                <w:szCs w:val="21"/>
              </w:rPr>
            </w:pPr>
            <w:r>
              <w:rPr>
                <w:szCs w:val="21"/>
              </w:rPr>
              <w:t>2.2</w:t>
            </w:r>
          </w:p>
        </w:tc>
        <w:tc>
          <w:tcPr>
            <w:tcW w:w="2980" w:type="dxa"/>
            <w:tcBorders>
              <w:top w:val="single" w:color="000000" w:sz="4" w:space="0"/>
              <w:left w:val="nil"/>
              <w:bottom w:val="single" w:color="000000" w:sz="4" w:space="0"/>
              <w:right w:val="single" w:color="000000" w:sz="4" w:space="0"/>
            </w:tcBorders>
            <w:shd w:val="clear" w:color="FFFFFF" w:fill="FFFFFF"/>
            <w:vAlign w:val="center"/>
          </w:tcPr>
          <w:p w14:paraId="468A29B7">
            <w:pPr>
              <w:widowControl w:val="0"/>
              <w:jc w:val="left"/>
              <w:textAlignment w:val="auto"/>
              <w:rPr>
                <w:szCs w:val="21"/>
              </w:rPr>
            </w:pPr>
            <w:r>
              <w:rPr>
                <w:rFonts w:hint="eastAsia"/>
                <w:szCs w:val="21"/>
              </w:rPr>
              <w:t>专业工程暂估价</w:t>
            </w:r>
          </w:p>
        </w:tc>
        <w:tc>
          <w:tcPr>
            <w:tcW w:w="1431" w:type="dxa"/>
            <w:tcBorders>
              <w:top w:val="single" w:color="000000" w:sz="4" w:space="0"/>
              <w:left w:val="nil"/>
              <w:bottom w:val="single" w:color="000000" w:sz="4" w:space="0"/>
              <w:right w:val="single" w:color="000000" w:sz="4" w:space="0"/>
            </w:tcBorders>
            <w:shd w:val="clear" w:color="FFFFFF" w:fill="FFFFFF"/>
            <w:vAlign w:val="center"/>
          </w:tcPr>
          <w:p w14:paraId="713DA7B8">
            <w:pPr>
              <w:widowControl w:val="0"/>
              <w:jc w:val="center"/>
              <w:textAlignment w:val="auto"/>
              <w:rPr>
                <w:szCs w:val="21"/>
              </w:rPr>
            </w:pPr>
          </w:p>
        </w:tc>
        <w:tc>
          <w:tcPr>
            <w:tcW w:w="1471" w:type="dxa"/>
            <w:tcBorders>
              <w:top w:val="single" w:color="000000" w:sz="4" w:space="0"/>
              <w:left w:val="nil"/>
              <w:bottom w:val="single" w:color="000000" w:sz="4" w:space="0"/>
              <w:right w:val="single" w:color="000000" w:sz="4" w:space="0"/>
            </w:tcBorders>
            <w:shd w:val="clear" w:color="FFFFFF" w:fill="FFFFFF"/>
            <w:vAlign w:val="center"/>
          </w:tcPr>
          <w:p w14:paraId="043ED01A">
            <w:pPr>
              <w:widowControl w:val="0"/>
              <w:jc w:val="center"/>
              <w:textAlignment w:val="auto"/>
              <w:rPr>
                <w:szCs w:val="21"/>
              </w:rPr>
            </w:pPr>
          </w:p>
        </w:tc>
        <w:tc>
          <w:tcPr>
            <w:tcW w:w="1854" w:type="dxa"/>
            <w:tcBorders>
              <w:top w:val="nil"/>
              <w:left w:val="nil"/>
              <w:bottom w:val="single" w:color="000000" w:sz="4" w:space="0"/>
              <w:right w:val="single" w:color="000000" w:sz="8" w:space="0"/>
            </w:tcBorders>
            <w:shd w:val="clear" w:color="FFFFFF" w:fill="FFFFFF"/>
            <w:vAlign w:val="center"/>
          </w:tcPr>
          <w:p w14:paraId="7ADA0FFB">
            <w:pPr>
              <w:widowControl w:val="0"/>
              <w:jc w:val="center"/>
              <w:textAlignment w:val="auto"/>
              <w:rPr>
                <w:szCs w:val="21"/>
              </w:rPr>
            </w:pPr>
            <w:r>
              <w:rPr>
                <w:rFonts w:hint="eastAsia"/>
                <w:szCs w:val="21"/>
              </w:rPr>
              <w:t>详见明细表</w:t>
            </w:r>
            <w:r>
              <w:rPr>
                <w:szCs w:val="21"/>
              </w:rPr>
              <w:t>-12-3</w:t>
            </w:r>
          </w:p>
        </w:tc>
      </w:tr>
      <w:tr w14:paraId="33132839">
        <w:tblPrEx>
          <w:tblCellMar>
            <w:top w:w="0" w:type="dxa"/>
            <w:left w:w="108" w:type="dxa"/>
            <w:bottom w:w="0" w:type="dxa"/>
            <w:right w:w="108" w:type="dxa"/>
          </w:tblCellMar>
        </w:tblPrEx>
        <w:trPr>
          <w:trHeight w:val="851" w:hRule="atLeast"/>
          <w:jc w:val="center"/>
        </w:trPr>
        <w:tc>
          <w:tcPr>
            <w:tcW w:w="121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BECB238">
            <w:pPr>
              <w:widowControl w:val="0"/>
              <w:jc w:val="center"/>
              <w:textAlignment w:val="auto"/>
              <w:rPr>
                <w:szCs w:val="21"/>
              </w:rPr>
            </w:pPr>
            <w:r>
              <w:rPr>
                <w:szCs w:val="21"/>
              </w:rPr>
              <w:t>3</w:t>
            </w:r>
          </w:p>
        </w:tc>
        <w:tc>
          <w:tcPr>
            <w:tcW w:w="2980" w:type="dxa"/>
            <w:tcBorders>
              <w:top w:val="single" w:color="000000" w:sz="4" w:space="0"/>
              <w:left w:val="nil"/>
              <w:bottom w:val="single" w:color="000000" w:sz="4" w:space="0"/>
              <w:right w:val="single" w:color="000000" w:sz="4" w:space="0"/>
            </w:tcBorders>
            <w:shd w:val="clear" w:color="FFFFFF" w:fill="FFFFFF"/>
            <w:vAlign w:val="center"/>
          </w:tcPr>
          <w:p w14:paraId="36BD3AE8">
            <w:pPr>
              <w:widowControl w:val="0"/>
              <w:jc w:val="left"/>
              <w:textAlignment w:val="auto"/>
              <w:rPr>
                <w:szCs w:val="21"/>
              </w:rPr>
            </w:pPr>
            <w:r>
              <w:rPr>
                <w:rFonts w:hint="eastAsia"/>
                <w:szCs w:val="21"/>
              </w:rPr>
              <w:t>计日工</w:t>
            </w:r>
          </w:p>
        </w:tc>
        <w:tc>
          <w:tcPr>
            <w:tcW w:w="1431" w:type="dxa"/>
            <w:tcBorders>
              <w:top w:val="single" w:color="000000" w:sz="4" w:space="0"/>
              <w:left w:val="nil"/>
              <w:bottom w:val="single" w:color="000000" w:sz="4" w:space="0"/>
              <w:right w:val="single" w:color="000000" w:sz="4" w:space="0"/>
            </w:tcBorders>
            <w:shd w:val="clear" w:color="FFFFFF" w:fill="FFFFFF"/>
            <w:vAlign w:val="center"/>
          </w:tcPr>
          <w:p w14:paraId="3BD36B12">
            <w:pPr>
              <w:widowControl w:val="0"/>
              <w:jc w:val="center"/>
              <w:textAlignment w:val="auto"/>
              <w:rPr>
                <w:szCs w:val="21"/>
              </w:rPr>
            </w:pPr>
          </w:p>
        </w:tc>
        <w:tc>
          <w:tcPr>
            <w:tcW w:w="1471" w:type="dxa"/>
            <w:tcBorders>
              <w:top w:val="single" w:color="000000" w:sz="4" w:space="0"/>
              <w:left w:val="nil"/>
              <w:bottom w:val="single" w:color="000000" w:sz="4" w:space="0"/>
              <w:right w:val="single" w:color="000000" w:sz="4" w:space="0"/>
            </w:tcBorders>
            <w:shd w:val="clear" w:color="FFFFFF" w:fill="FFFFFF"/>
            <w:vAlign w:val="center"/>
          </w:tcPr>
          <w:p w14:paraId="18F306A7">
            <w:pPr>
              <w:widowControl w:val="0"/>
              <w:jc w:val="center"/>
              <w:textAlignment w:val="auto"/>
              <w:rPr>
                <w:szCs w:val="21"/>
              </w:rPr>
            </w:pPr>
          </w:p>
        </w:tc>
        <w:tc>
          <w:tcPr>
            <w:tcW w:w="1854" w:type="dxa"/>
            <w:tcBorders>
              <w:top w:val="nil"/>
              <w:left w:val="nil"/>
              <w:bottom w:val="single" w:color="000000" w:sz="4" w:space="0"/>
              <w:right w:val="single" w:color="000000" w:sz="8" w:space="0"/>
            </w:tcBorders>
            <w:shd w:val="clear" w:color="FFFFFF" w:fill="FFFFFF"/>
            <w:vAlign w:val="center"/>
          </w:tcPr>
          <w:p w14:paraId="7E4EE080">
            <w:pPr>
              <w:widowControl w:val="0"/>
              <w:jc w:val="center"/>
              <w:textAlignment w:val="auto"/>
              <w:rPr>
                <w:szCs w:val="21"/>
              </w:rPr>
            </w:pPr>
            <w:r>
              <w:rPr>
                <w:rFonts w:hint="eastAsia"/>
                <w:szCs w:val="21"/>
              </w:rPr>
              <w:t>详见明细表</w:t>
            </w:r>
            <w:r>
              <w:rPr>
                <w:szCs w:val="21"/>
              </w:rPr>
              <w:t>-12-4</w:t>
            </w:r>
          </w:p>
        </w:tc>
      </w:tr>
      <w:tr w14:paraId="39F1BE6D">
        <w:tblPrEx>
          <w:tblCellMar>
            <w:top w:w="0" w:type="dxa"/>
            <w:left w:w="108" w:type="dxa"/>
            <w:bottom w:w="0" w:type="dxa"/>
            <w:right w:w="108" w:type="dxa"/>
          </w:tblCellMar>
        </w:tblPrEx>
        <w:trPr>
          <w:trHeight w:val="851" w:hRule="atLeast"/>
          <w:jc w:val="center"/>
        </w:trPr>
        <w:tc>
          <w:tcPr>
            <w:tcW w:w="121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F6ED583">
            <w:pPr>
              <w:widowControl w:val="0"/>
              <w:jc w:val="center"/>
              <w:textAlignment w:val="auto"/>
              <w:rPr>
                <w:szCs w:val="21"/>
              </w:rPr>
            </w:pPr>
            <w:r>
              <w:rPr>
                <w:szCs w:val="21"/>
              </w:rPr>
              <w:t>4</w:t>
            </w:r>
          </w:p>
        </w:tc>
        <w:tc>
          <w:tcPr>
            <w:tcW w:w="2980" w:type="dxa"/>
            <w:tcBorders>
              <w:top w:val="single" w:color="000000" w:sz="4" w:space="0"/>
              <w:left w:val="nil"/>
              <w:bottom w:val="single" w:color="000000" w:sz="4" w:space="0"/>
              <w:right w:val="single" w:color="000000" w:sz="4" w:space="0"/>
            </w:tcBorders>
            <w:shd w:val="clear" w:color="FFFFFF" w:fill="FFFFFF"/>
            <w:vAlign w:val="center"/>
          </w:tcPr>
          <w:p w14:paraId="666385F8">
            <w:pPr>
              <w:widowControl w:val="0"/>
              <w:jc w:val="left"/>
              <w:textAlignment w:val="auto"/>
              <w:rPr>
                <w:szCs w:val="21"/>
              </w:rPr>
            </w:pPr>
            <w:r>
              <w:rPr>
                <w:rFonts w:hint="eastAsia"/>
                <w:szCs w:val="21"/>
              </w:rPr>
              <w:t>总承包服务费</w:t>
            </w:r>
          </w:p>
        </w:tc>
        <w:tc>
          <w:tcPr>
            <w:tcW w:w="1431" w:type="dxa"/>
            <w:tcBorders>
              <w:top w:val="single" w:color="000000" w:sz="4" w:space="0"/>
              <w:left w:val="nil"/>
              <w:bottom w:val="single" w:color="000000" w:sz="4" w:space="0"/>
              <w:right w:val="single" w:color="000000" w:sz="4" w:space="0"/>
            </w:tcBorders>
            <w:shd w:val="clear" w:color="FFFFFF" w:fill="FFFFFF"/>
            <w:vAlign w:val="center"/>
          </w:tcPr>
          <w:p w14:paraId="359400F9">
            <w:pPr>
              <w:widowControl w:val="0"/>
              <w:jc w:val="center"/>
              <w:textAlignment w:val="auto"/>
              <w:rPr>
                <w:szCs w:val="21"/>
              </w:rPr>
            </w:pPr>
          </w:p>
        </w:tc>
        <w:tc>
          <w:tcPr>
            <w:tcW w:w="1471" w:type="dxa"/>
            <w:tcBorders>
              <w:top w:val="single" w:color="000000" w:sz="4" w:space="0"/>
              <w:left w:val="nil"/>
              <w:bottom w:val="single" w:color="000000" w:sz="4" w:space="0"/>
              <w:right w:val="single" w:color="000000" w:sz="4" w:space="0"/>
            </w:tcBorders>
            <w:shd w:val="clear" w:color="FFFFFF" w:fill="FFFFFF"/>
            <w:vAlign w:val="center"/>
          </w:tcPr>
          <w:p w14:paraId="2E789A90">
            <w:pPr>
              <w:widowControl w:val="0"/>
              <w:jc w:val="center"/>
              <w:textAlignment w:val="auto"/>
              <w:rPr>
                <w:szCs w:val="21"/>
              </w:rPr>
            </w:pPr>
          </w:p>
        </w:tc>
        <w:tc>
          <w:tcPr>
            <w:tcW w:w="1854" w:type="dxa"/>
            <w:tcBorders>
              <w:top w:val="nil"/>
              <w:left w:val="nil"/>
              <w:bottom w:val="single" w:color="000000" w:sz="4" w:space="0"/>
              <w:right w:val="single" w:color="000000" w:sz="8" w:space="0"/>
            </w:tcBorders>
            <w:shd w:val="clear" w:color="FFFFFF" w:fill="FFFFFF"/>
            <w:vAlign w:val="center"/>
          </w:tcPr>
          <w:p w14:paraId="4319DC37">
            <w:pPr>
              <w:widowControl w:val="0"/>
              <w:jc w:val="center"/>
              <w:textAlignment w:val="auto"/>
              <w:rPr>
                <w:szCs w:val="21"/>
              </w:rPr>
            </w:pPr>
            <w:r>
              <w:rPr>
                <w:rFonts w:hint="eastAsia"/>
                <w:spacing w:val="-6"/>
                <w:szCs w:val="21"/>
              </w:rPr>
              <w:t>详见明细</w:t>
            </w:r>
            <w:r>
              <w:rPr>
                <w:rFonts w:hint="eastAsia"/>
                <w:szCs w:val="21"/>
              </w:rPr>
              <w:t>表</w:t>
            </w:r>
            <w:r>
              <w:rPr>
                <w:szCs w:val="21"/>
              </w:rPr>
              <w:t>-12-5</w:t>
            </w:r>
          </w:p>
        </w:tc>
      </w:tr>
      <w:tr w14:paraId="06295BB7">
        <w:tblPrEx>
          <w:tblCellMar>
            <w:top w:w="0" w:type="dxa"/>
            <w:left w:w="108" w:type="dxa"/>
            <w:bottom w:w="0" w:type="dxa"/>
            <w:right w:w="108" w:type="dxa"/>
          </w:tblCellMar>
        </w:tblPrEx>
        <w:trPr>
          <w:trHeight w:val="851" w:hRule="atLeast"/>
          <w:jc w:val="center"/>
        </w:trPr>
        <w:tc>
          <w:tcPr>
            <w:tcW w:w="121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78E43FF">
            <w:pPr>
              <w:widowControl w:val="0"/>
              <w:jc w:val="center"/>
              <w:textAlignment w:val="auto"/>
              <w:rPr>
                <w:szCs w:val="21"/>
              </w:rPr>
            </w:pPr>
          </w:p>
        </w:tc>
        <w:tc>
          <w:tcPr>
            <w:tcW w:w="2980" w:type="dxa"/>
            <w:tcBorders>
              <w:top w:val="single" w:color="000000" w:sz="4" w:space="0"/>
              <w:left w:val="nil"/>
              <w:bottom w:val="single" w:color="000000" w:sz="4" w:space="0"/>
              <w:right w:val="single" w:color="000000" w:sz="4" w:space="0"/>
            </w:tcBorders>
            <w:shd w:val="clear" w:color="FFFFFF" w:fill="FFFFFF"/>
            <w:vAlign w:val="center"/>
          </w:tcPr>
          <w:p w14:paraId="12FF4254">
            <w:pPr>
              <w:widowControl w:val="0"/>
              <w:jc w:val="left"/>
              <w:textAlignment w:val="auto"/>
              <w:rPr>
                <w:szCs w:val="21"/>
              </w:rPr>
            </w:pPr>
          </w:p>
        </w:tc>
        <w:tc>
          <w:tcPr>
            <w:tcW w:w="1431" w:type="dxa"/>
            <w:tcBorders>
              <w:top w:val="single" w:color="000000" w:sz="4" w:space="0"/>
              <w:left w:val="nil"/>
              <w:bottom w:val="single" w:color="000000" w:sz="4" w:space="0"/>
              <w:right w:val="single" w:color="000000" w:sz="4" w:space="0"/>
            </w:tcBorders>
            <w:shd w:val="clear" w:color="FFFFFF" w:fill="FFFFFF"/>
            <w:vAlign w:val="center"/>
          </w:tcPr>
          <w:p w14:paraId="1044D3F4">
            <w:pPr>
              <w:widowControl w:val="0"/>
              <w:jc w:val="center"/>
              <w:textAlignment w:val="auto"/>
              <w:rPr>
                <w:szCs w:val="21"/>
              </w:rPr>
            </w:pPr>
          </w:p>
        </w:tc>
        <w:tc>
          <w:tcPr>
            <w:tcW w:w="1471" w:type="dxa"/>
            <w:tcBorders>
              <w:top w:val="single" w:color="000000" w:sz="4" w:space="0"/>
              <w:left w:val="nil"/>
              <w:bottom w:val="single" w:color="000000" w:sz="4" w:space="0"/>
              <w:right w:val="single" w:color="000000" w:sz="4" w:space="0"/>
            </w:tcBorders>
            <w:shd w:val="clear" w:color="FFFFFF" w:fill="FFFFFF"/>
            <w:vAlign w:val="center"/>
          </w:tcPr>
          <w:p w14:paraId="5F446707">
            <w:pPr>
              <w:widowControl w:val="0"/>
              <w:jc w:val="center"/>
              <w:textAlignment w:val="auto"/>
              <w:rPr>
                <w:szCs w:val="21"/>
              </w:rPr>
            </w:pPr>
          </w:p>
        </w:tc>
        <w:tc>
          <w:tcPr>
            <w:tcW w:w="1854" w:type="dxa"/>
            <w:tcBorders>
              <w:top w:val="nil"/>
              <w:left w:val="nil"/>
              <w:bottom w:val="single" w:color="000000" w:sz="4" w:space="0"/>
              <w:right w:val="single" w:color="000000" w:sz="8" w:space="0"/>
            </w:tcBorders>
            <w:shd w:val="clear" w:color="FFFFFF" w:fill="FFFFFF"/>
            <w:vAlign w:val="center"/>
          </w:tcPr>
          <w:p w14:paraId="009DF642">
            <w:pPr>
              <w:widowControl w:val="0"/>
              <w:jc w:val="center"/>
              <w:textAlignment w:val="auto"/>
              <w:rPr>
                <w:szCs w:val="21"/>
              </w:rPr>
            </w:pPr>
          </w:p>
        </w:tc>
      </w:tr>
      <w:tr w14:paraId="3E9E5E59">
        <w:tblPrEx>
          <w:tblCellMar>
            <w:top w:w="0" w:type="dxa"/>
            <w:left w:w="108" w:type="dxa"/>
            <w:bottom w:w="0" w:type="dxa"/>
            <w:right w:w="108" w:type="dxa"/>
          </w:tblCellMar>
        </w:tblPrEx>
        <w:trPr>
          <w:trHeight w:val="851" w:hRule="atLeast"/>
          <w:jc w:val="center"/>
        </w:trPr>
        <w:tc>
          <w:tcPr>
            <w:tcW w:w="121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D408DBC">
            <w:pPr>
              <w:jc w:val="center"/>
              <w:textAlignment w:val="auto"/>
              <w:rPr>
                <w:kern w:val="0"/>
                <w:szCs w:val="21"/>
              </w:rPr>
            </w:pPr>
            <w:r>
              <w:rPr>
                <w:rFonts w:hint="eastAsia"/>
                <w:kern w:val="0"/>
                <w:szCs w:val="21"/>
              </w:rPr>
              <w:t>　</w:t>
            </w:r>
          </w:p>
        </w:tc>
        <w:tc>
          <w:tcPr>
            <w:tcW w:w="2980" w:type="dxa"/>
            <w:tcBorders>
              <w:top w:val="single" w:color="000000" w:sz="4" w:space="0"/>
              <w:left w:val="nil"/>
              <w:bottom w:val="single" w:color="000000" w:sz="4" w:space="0"/>
              <w:right w:val="single" w:color="000000" w:sz="4" w:space="0"/>
            </w:tcBorders>
            <w:shd w:val="clear" w:color="FFFFFF" w:fill="FFFFFF"/>
            <w:vAlign w:val="center"/>
          </w:tcPr>
          <w:p w14:paraId="644CB861">
            <w:pPr>
              <w:jc w:val="left"/>
              <w:textAlignment w:val="auto"/>
              <w:rPr>
                <w:kern w:val="0"/>
                <w:szCs w:val="21"/>
              </w:rPr>
            </w:pPr>
            <w:r>
              <w:rPr>
                <w:rFonts w:hint="eastAsia"/>
                <w:kern w:val="0"/>
                <w:szCs w:val="21"/>
              </w:rPr>
              <w:t>　</w:t>
            </w:r>
          </w:p>
        </w:tc>
        <w:tc>
          <w:tcPr>
            <w:tcW w:w="1431" w:type="dxa"/>
            <w:tcBorders>
              <w:top w:val="single" w:color="000000" w:sz="4" w:space="0"/>
              <w:left w:val="nil"/>
              <w:bottom w:val="single" w:color="000000" w:sz="4" w:space="0"/>
              <w:right w:val="single" w:color="000000" w:sz="4" w:space="0"/>
            </w:tcBorders>
            <w:shd w:val="clear" w:color="FFFFFF" w:fill="FFFFFF"/>
            <w:vAlign w:val="center"/>
          </w:tcPr>
          <w:p w14:paraId="0F481229">
            <w:pPr>
              <w:jc w:val="right"/>
              <w:textAlignment w:val="auto"/>
              <w:rPr>
                <w:kern w:val="0"/>
                <w:szCs w:val="21"/>
              </w:rPr>
            </w:pPr>
            <w:r>
              <w:rPr>
                <w:rFonts w:hint="eastAsia"/>
                <w:kern w:val="0"/>
                <w:szCs w:val="21"/>
              </w:rPr>
              <w:t>　</w:t>
            </w:r>
          </w:p>
        </w:tc>
        <w:tc>
          <w:tcPr>
            <w:tcW w:w="1471" w:type="dxa"/>
            <w:tcBorders>
              <w:top w:val="single" w:color="000000" w:sz="4" w:space="0"/>
              <w:left w:val="nil"/>
              <w:bottom w:val="single" w:color="000000" w:sz="4" w:space="0"/>
              <w:right w:val="single" w:color="000000" w:sz="4" w:space="0"/>
            </w:tcBorders>
            <w:shd w:val="clear" w:color="FFFFFF" w:fill="FFFFFF"/>
            <w:vAlign w:val="center"/>
          </w:tcPr>
          <w:p w14:paraId="01C2C9BD">
            <w:pPr>
              <w:jc w:val="right"/>
              <w:textAlignment w:val="auto"/>
              <w:rPr>
                <w:kern w:val="0"/>
                <w:szCs w:val="21"/>
              </w:rPr>
            </w:pPr>
            <w:r>
              <w:rPr>
                <w:rFonts w:hint="eastAsia"/>
                <w:kern w:val="0"/>
                <w:szCs w:val="21"/>
              </w:rPr>
              <w:t>　</w:t>
            </w:r>
          </w:p>
        </w:tc>
        <w:tc>
          <w:tcPr>
            <w:tcW w:w="1854" w:type="dxa"/>
            <w:tcBorders>
              <w:top w:val="nil"/>
              <w:left w:val="nil"/>
              <w:bottom w:val="single" w:color="000000" w:sz="4" w:space="0"/>
              <w:right w:val="single" w:color="000000" w:sz="8" w:space="0"/>
            </w:tcBorders>
            <w:shd w:val="clear" w:color="FFFFFF" w:fill="FFFFFF"/>
            <w:vAlign w:val="center"/>
          </w:tcPr>
          <w:p w14:paraId="4F79BD91">
            <w:pPr>
              <w:jc w:val="center"/>
              <w:textAlignment w:val="auto"/>
              <w:rPr>
                <w:kern w:val="0"/>
                <w:szCs w:val="21"/>
              </w:rPr>
            </w:pPr>
            <w:r>
              <w:rPr>
                <w:rFonts w:hint="eastAsia"/>
                <w:kern w:val="0"/>
                <w:szCs w:val="21"/>
              </w:rPr>
              <w:t>　</w:t>
            </w:r>
          </w:p>
        </w:tc>
      </w:tr>
      <w:tr w14:paraId="35D6F42D">
        <w:tblPrEx>
          <w:tblCellMar>
            <w:top w:w="0" w:type="dxa"/>
            <w:left w:w="108" w:type="dxa"/>
            <w:bottom w:w="0" w:type="dxa"/>
            <w:right w:w="108" w:type="dxa"/>
          </w:tblCellMar>
        </w:tblPrEx>
        <w:trPr>
          <w:trHeight w:val="851" w:hRule="atLeast"/>
          <w:jc w:val="center"/>
        </w:trPr>
        <w:tc>
          <w:tcPr>
            <w:tcW w:w="121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4BC2BE1">
            <w:pPr>
              <w:jc w:val="center"/>
              <w:textAlignment w:val="auto"/>
              <w:rPr>
                <w:kern w:val="0"/>
                <w:szCs w:val="21"/>
              </w:rPr>
            </w:pPr>
            <w:r>
              <w:rPr>
                <w:rFonts w:hint="eastAsia"/>
                <w:kern w:val="0"/>
                <w:szCs w:val="21"/>
              </w:rPr>
              <w:t>　</w:t>
            </w:r>
          </w:p>
        </w:tc>
        <w:tc>
          <w:tcPr>
            <w:tcW w:w="2980" w:type="dxa"/>
            <w:tcBorders>
              <w:top w:val="single" w:color="000000" w:sz="4" w:space="0"/>
              <w:left w:val="nil"/>
              <w:bottom w:val="single" w:color="000000" w:sz="4" w:space="0"/>
              <w:right w:val="single" w:color="000000" w:sz="4" w:space="0"/>
            </w:tcBorders>
            <w:shd w:val="clear" w:color="FFFFFF" w:fill="FFFFFF"/>
            <w:vAlign w:val="center"/>
          </w:tcPr>
          <w:p w14:paraId="34C83411">
            <w:pPr>
              <w:jc w:val="left"/>
              <w:textAlignment w:val="auto"/>
              <w:rPr>
                <w:kern w:val="0"/>
                <w:szCs w:val="21"/>
              </w:rPr>
            </w:pPr>
            <w:r>
              <w:rPr>
                <w:rFonts w:hint="eastAsia"/>
                <w:kern w:val="0"/>
                <w:szCs w:val="21"/>
              </w:rPr>
              <w:t>　</w:t>
            </w:r>
          </w:p>
        </w:tc>
        <w:tc>
          <w:tcPr>
            <w:tcW w:w="1431" w:type="dxa"/>
            <w:tcBorders>
              <w:top w:val="single" w:color="000000" w:sz="4" w:space="0"/>
              <w:left w:val="nil"/>
              <w:bottom w:val="single" w:color="000000" w:sz="4" w:space="0"/>
              <w:right w:val="single" w:color="000000" w:sz="4" w:space="0"/>
            </w:tcBorders>
            <w:shd w:val="clear" w:color="FFFFFF" w:fill="FFFFFF"/>
            <w:vAlign w:val="center"/>
          </w:tcPr>
          <w:p w14:paraId="2CE548A6">
            <w:pPr>
              <w:jc w:val="right"/>
              <w:textAlignment w:val="auto"/>
              <w:rPr>
                <w:kern w:val="0"/>
                <w:szCs w:val="21"/>
              </w:rPr>
            </w:pPr>
            <w:r>
              <w:rPr>
                <w:rFonts w:hint="eastAsia"/>
                <w:kern w:val="0"/>
                <w:szCs w:val="21"/>
              </w:rPr>
              <w:t>　</w:t>
            </w:r>
          </w:p>
        </w:tc>
        <w:tc>
          <w:tcPr>
            <w:tcW w:w="1471" w:type="dxa"/>
            <w:tcBorders>
              <w:top w:val="single" w:color="000000" w:sz="4" w:space="0"/>
              <w:left w:val="nil"/>
              <w:bottom w:val="single" w:color="000000" w:sz="4" w:space="0"/>
              <w:right w:val="single" w:color="000000" w:sz="4" w:space="0"/>
            </w:tcBorders>
            <w:shd w:val="clear" w:color="FFFFFF" w:fill="FFFFFF"/>
            <w:vAlign w:val="center"/>
          </w:tcPr>
          <w:p w14:paraId="6E44A19B">
            <w:pPr>
              <w:jc w:val="right"/>
              <w:textAlignment w:val="auto"/>
              <w:rPr>
                <w:kern w:val="0"/>
                <w:szCs w:val="21"/>
              </w:rPr>
            </w:pPr>
            <w:r>
              <w:rPr>
                <w:rFonts w:hint="eastAsia"/>
                <w:kern w:val="0"/>
                <w:szCs w:val="21"/>
              </w:rPr>
              <w:t>　</w:t>
            </w:r>
          </w:p>
        </w:tc>
        <w:tc>
          <w:tcPr>
            <w:tcW w:w="1854" w:type="dxa"/>
            <w:tcBorders>
              <w:top w:val="nil"/>
              <w:left w:val="nil"/>
              <w:bottom w:val="single" w:color="000000" w:sz="4" w:space="0"/>
              <w:right w:val="single" w:color="000000" w:sz="8" w:space="0"/>
            </w:tcBorders>
            <w:shd w:val="clear" w:color="FFFFFF" w:fill="FFFFFF"/>
            <w:vAlign w:val="center"/>
          </w:tcPr>
          <w:p w14:paraId="6B65FB64">
            <w:pPr>
              <w:jc w:val="center"/>
              <w:textAlignment w:val="auto"/>
              <w:rPr>
                <w:kern w:val="0"/>
                <w:szCs w:val="21"/>
              </w:rPr>
            </w:pPr>
            <w:r>
              <w:rPr>
                <w:rFonts w:hint="eastAsia"/>
                <w:kern w:val="0"/>
                <w:szCs w:val="21"/>
              </w:rPr>
              <w:t>　</w:t>
            </w:r>
          </w:p>
        </w:tc>
      </w:tr>
      <w:tr w14:paraId="0E3F9B6E">
        <w:tblPrEx>
          <w:tblCellMar>
            <w:top w:w="0" w:type="dxa"/>
            <w:left w:w="108" w:type="dxa"/>
            <w:bottom w:w="0" w:type="dxa"/>
            <w:right w:w="108" w:type="dxa"/>
          </w:tblCellMar>
        </w:tblPrEx>
        <w:trPr>
          <w:trHeight w:val="851" w:hRule="atLeast"/>
          <w:jc w:val="center"/>
        </w:trPr>
        <w:tc>
          <w:tcPr>
            <w:tcW w:w="4190" w:type="dxa"/>
            <w:gridSpan w:val="2"/>
            <w:tcBorders>
              <w:top w:val="single" w:color="000000" w:sz="4" w:space="0"/>
              <w:left w:val="single" w:color="000000" w:sz="8" w:space="0"/>
              <w:bottom w:val="single" w:color="000000" w:sz="8" w:space="0"/>
              <w:right w:val="single" w:color="000000" w:sz="4" w:space="0"/>
            </w:tcBorders>
            <w:shd w:val="clear" w:color="FFFFFF" w:fill="FFFFFF"/>
            <w:vAlign w:val="center"/>
          </w:tcPr>
          <w:p w14:paraId="3629260F">
            <w:pPr>
              <w:jc w:val="center"/>
              <w:textAlignment w:val="auto"/>
              <w:rPr>
                <w:kern w:val="0"/>
                <w:szCs w:val="21"/>
              </w:rPr>
            </w:pPr>
            <w:r>
              <w:rPr>
                <w:rFonts w:hint="eastAsia"/>
                <w:kern w:val="0"/>
                <w:szCs w:val="21"/>
              </w:rPr>
              <w:t>合</w:t>
            </w:r>
            <w:r>
              <w:rPr>
                <w:kern w:val="0"/>
                <w:szCs w:val="21"/>
              </w:rPr>
              <w:t xml:space="preserve">    </w:t>
            </w:r>
            <w:r>
              <w:rPr>
                <w:rFonts w:hint="eastAsia"/>
                <w:kern w:val="0"/>
                <w:szCs w:val="21"/>
              </w:rPr>
              <w:t>计</w:t>
            </w:r>
          </w:p>
        </w:tc>
        <w:tc>
          <w:tcPr>
            <w:tcW w:w="1431" w:type="dxa"/>
            <w:tcBorders>
              <w:top w:val="single" w:color="000000" w:sz="4" w:space="0"/>
              <w:left w:val="nil"/>
              <w:bottom w:val="single" w:color="000000" w:sz="8" w:space="0"/>
              <w:right w:val="single" w:color="000000" w:sz="4" w:space="0"/>
            </w:tcBorders>
            <w:shd w:val="clear" w:color="FFFFFF" w:fill="FFFFFF"/>
            <w:vAlign w:val="center"/>
          </w:tcPr>
          <w:p w14:paraId="5525E855">
            <w:pPr>
              <w:jc w:val="right"/>
              <w:textAlignment w:val="auto"/>
              <w:rPr>
                <w:kern w:val="0"/>
                <w:szCs w:val="21"/>
              </w:rPr>
            </w:pPr>
          </w:p>
        </w:tc>
        <w:tc>
          <w:tcPr>
            <w:tcW w:w="1471" w:type="dxa"/>
            <w:tcBorders>
              <w:top w:val="single" w:color="000000" w:sz="4" w:space="0"/>
              <w:left w:val="nil"/>
              <w:bottom w:val="single" w:color="000000" w:sz="8" w:space="0"/>
              <w:right w:val="single" w:color="000000" w:sz="4" w:space="0"/>
            </w:tcBorders>
            <w:shd w:val="clear" w:color="FFFFFF" w:fill="FFFFFF"/>
            <w:vAlign w:val="center"/>
          </w:tcPr>
          <w:p w14:paraId="04C4535E">
            <w:pPr>
              <w:jc w:val="right"/>
              <w:textAlignment w:val="auto"/>
              <w:rPr>
                <w:kern w:val="0"/>
                <w:szCs w:val="21"/>
              </w:rPr>
            </w:pPr>
            <w:r>
              <w:rPr>
                <w:rFonts w:hint="eastAsia"/>
                <w:kern w:val="0"/>
                <w:szCs w:val="21"/>
              </w:rPr>
              <w:t>　</w:t>
            </w:r>
          </w:p>
        </w:tc>
        <w:tc>
          <w:tcPr>
            <w:tcW w:w="1854" w:type="dxa"/>
            <w:tcBorders>
              <w:top w:val="nil"/>
              <w:left w:val="nil"/>
              <w:bottom w:val="single" w:color="000000" w:sz="8" w:space="0"/>
              <w:right w:val="single" w:color="000000" w:sz="8" w:space="0"/>
            </w:tcBorders>
            <w:shd w:val="clear" w:color="FFFFFF" w:fill="FFFFFF"/>
            <w:vAlign w:val="center"/>
          </w:tcPr>
          <w:p w14:paraId="19AABF94">
            <w:pPr>
              <w:jc w:val="center"/>
              <w:textAlignment w:val="auto"/>
              <w:rPr>
                <w:kern w:val="0"/>
                <w:szCs w:val="21"/>
              </w:rPr>
            </w:pPr>
            <w:r>
              <w:rPr>
                <w:kern w:val="0"/>
                <w:szCs w:val="21"/>
              </w:rPr>
              <w:t>—</w:t>
            </w:r>
          </w:p>
        </w:tc>
      </w:tr>
    </w:tbl>
    <w:p w14:paraId="5990A09F">
      <w:pPr>
        <w:widowControl w:val="0"/>
        <w:spacing w:line="240" w:lineRule="atLeast"/>
        <w:textAlignment w:val="auto"/>
        <w:rPr>
          <w:sz w:val="18"/>
          <w:szCs w:val="18"/>
        </w:rPr>
      </w:pPr>
      <w:r>
        <w:rPr>
          <w:rFonts w:hint="eastAsia"/>
          <w:sz w:val="18"/>
          <w:szCs w:val="18"/>
        </w:rPr>
        <w:t>注：</w:t>
      </w:r>
      <w:r>
        <w:rPr>
          <w:sz w:val="18"/>
          <w:szCs w:val="18"/>
        </w:rPr>
        <w:t>1.</w:t>
      </w:r>
      <w:r>
        <w:rPr>
          <w:rFonts w:hint="eastAsia"/>
          <w:sz w:val="18"/>
          <w:szCs w:val="18"/>
        </w:rPr>
        <w:t>材料（工程设备）暂估单价进入清单项目综合单价，此处不汇总。</w:t>
      </w:r>
    </w:p>
    <w:p w14:paraId="378D1094">
      <w:pPr>
        <w:widowControl w:val="0"/>
        <w:tabs>
          <w:tab w:val="left" w:pos="6135"/>
        </w:tabs>
        <w:textAlignment w:val="auto"/>
        <w:rPr>
          <w:rFonts w:eastAsia="黑体"/>
        </w:rPr>
      </w:pPr>
    </w:p>
    <w:p w14:paraId="67A68DAC">
      <w:pPr>
        <w:widowControl w:val="0"/>
        <w:tabs>
          <w:tab w:val="left" w:pos="6135"/>
        </w:tabs>
        <w:textAlignment w:val="auto"/>
        <w:rPr>
          <w:rFonts w:eastAsia="黑体"/>
        </w:rPr>
      </w:pPr>
    </w:p>
    <w:p w14:paraId="79371021">
      <w:pPr>
        <w:widowControl w:val="0"/>
        <w:tabs>
          <w:tab w:val="left" w:pos="6135"/>
        </w:tabs>
        <w:textAlignment w:val="auto"/>
        <w:rPr>
          <w:rFonts w:eastAsia="黑体"/>
        </w:rPr>
      </w:pPr>
    </w:p>
    <w:p w14:paraId="56DA3C43">
      <w:pPr>
        <w:widowControl w:val="0"/>
        <w:tabs>
          <w:tab w:val="left" w:pos="6135"/>
        </w:tabs>
        <w:textAlignment w:val="auto"/>
        <w:rPr>
          <w:rFonts w:eastAsia="黑体"/>
        </w:rPr>
      </w:pPr>
    </w:p>
    <w:p w14:paraId="60FB6EEC">
      <w:pPr>
        <w:widowControl w:val="0"/>
        <w:tabs>
          <w:tab w:val="left" w:pos="6135"/>
        </w:tabs>
        <w:jc w:val="right"/>
        <w:textAlignment w:val="auto"/>
        <w:rPr>
          <w:rFonts w:eastAsia="黑体"/>
        </w:rPr>
      </w:pPr>
      <w:r>
        <w:rPr>
          <w:rFonts w:hint="eastAsia" w:eastAsia="黑体"/>
        </w:rPr>
        <w:t>表</w:t>
      </w:r>
      <w:r>
        <w:rPr>
          <w:rFonts w:eastAsia="黑体"/>
        </w:rPr>
        <w:t>-12</w:t>
      </w:r>
    </w:p>
    <w:p w14:paraId="7CEF0057">
      <w:pPr>
        <w:pStyle w:val="19"/>
      </w:pPr>
    </w:p>
    <w:p w14:paraId="279036CB">
      <w:pPr>
        <w:widowControl w:val="0"/>
        <w:tabs>
          <w:tab w:val="left" w:pos="6135"/>
        </w:tabs>
        <w:textAlignment w:val="auto"/>
        <w:rPr>
          <w:kern w:val="0"/>
          <w:sz w:val="18"/>
          <w:szCs w:val="18"/>
        </w:rPr>
      </w:pPr>
    </w:p>
    <w:p w14:paraId="2AD4EDC4">
      <w:pPr>
        <w:widowControl w:val="0"/>
        <w:tabs>
          <w:tab w:val="left" w:pos="6135"/>
        </w:tabs>
        <w:textAlignment w:val="auto"/>
        <w:rPr>
          <w:kern w:val="0"/>
          <w:sz w:val="18"/>
          <w:szCs w:val="18"/>
        </w:rPr>
      </w:pPr>
    </w:p>
    <w:p w14:paraId="3BD9351D">
      <w:pPr>
        <w:widowControl w:val="0"/>
        <w:spacing w:line="240" w:lineRule="atLeast"/>
        <w:ind w:left="360"/>
        <w:textAlignment w:val="auto"/>
        <w:rPr>
          <w:sz w:val="30"/>
          <w:szCs w:val="20"/>
        </w:rPr>
      </w:pPr>
    </w:p>
    <w:p w14:paraId="726D9F2B">
      <w:pPr>
        <w:widowControl w:val="0"/>
        <w:tabs>
          <w:tab w:val="left" w:pos="6135"/>
        </w:tabs>
        <w:jc w:val="center"/>
        <w:textAlignment w:val="auto"/>
        <w:rPr>
          <w:rFonts w:eastAsia="黑体"/>
          <w:sz w:val="32"/>
          <w:szCs w:val="32"/>
        </w:rPr>
      </w:pPr>
      <w:r>
        <w:rPr>
          <w:rFonts w:eastAsia="黑体"/>
          <w:sz w:val="32"/>
          <w:szCs w:val="32"/>
        </w:rPr>
        <w:t>G.2</w:t>
      </w:r>
      <w:r>
        <w:rPr>
          <w:rFonts w:hint="eastAsia" w:eastAsia="黑体"/>
          <w:sz w:val="32"/>
          <w:szCs w:val="32"/>
        </w:rPr>
        <w:t>暂列金额明细表</w:t>
      </w:r>
    </w:p>
    <w:p w14:paraId="1EE1C936">
      <w:pPr>
        <w:widowControl w:val="0"/>
        <w:tabs>
          <w:tab w:val="left" w:pos="12120"/>
        </w:tabs>
        <w:spacing w:line="360" w:lineRule="auto"/>
        <w:ind w:left="105" w:hanging="105" w:hangingChars="50"/>
        <w:textAlignment w:val="auto"/>
        <w:rPr>
          <w:rFonts w:eastAsia="黑体"/>
          <w:sz w:val="36"/>
          <w:szCs w:val="36"/>
        </w:rPr>
      </w:pPr>
      <w:r>
        <w:rPr>
          <w:rFonts w:hint="eastAsia"/>
          <w:szCs w:val="21"/>
        </w:rPr>
        <w:t>工程名称：</w:t>
      </w:r>
      <w:r>
        <w:rPr>
          <w:szCs w:val="21"/>
        </w:rPr>
        <w:t xml:space="preserve">                             </w:t>
      </w:r>
      <w:r>
        <w:rPr>
          <w:rFonts w:hint="eastAsia"/>
          <w:szCs w:val="21"/>
        </w:rPr>
        <w:t>标段</w:t>
      </w:r>
      <w:r>
        <w:rPr>
          <w:szCs w:val="21"/>
        </w:rPr>
        <w:t xml:space="preserve"> </w:t>
      </w:r>
      <w:r>
        <w:rPr>
          <w:rFonts w:hint="eastAsia"/>
          <w:szCs w:val="21"/>
        </w:rPr>
        <w:t>：</w:t>
      </w:r>
      <w:r>
        <w:rPr>
          <w:szCs w:val="21"/>
        </w:rPr>
        <w:t xml:space="preserve">                    </w:t>
      </w:r>
      <w:r>
        <w:rPr>
          <w:rFonts w:hint="eastAsia"/>
          <w:szCs w:val="21"/>
        </w:rPr>
        <w:t>第</w:t>
      </w:r>
      <w:r>
        <w:rPr>
          <w:szCs w:val="21"/>
        </w:rPr>
        <w:t xml:space="preserve">  </w:t>
      </w:r>
      <w:r>
        <w:rPr>
          <w:rFonts w:hint="eastAsia"/>
          <w:szCs w:val="21"/>
        </w:rPr>
        <w:t>页</w:t>
      </w:r>
      <w:r>
        <w:rPr>
          <w:szCs w:val="21"/>
        </w:rPr>
        <w:t xml:space="preserve"> </w:t>
      </w:r>
      <w:r>
        <w:rPr>
          <w:rFonts w:hint="eastAsia"/>
          <w:szCs w:val="21"/>
        </w:rPr>
        <w:t>共</w:t>
      </w:r>
      <w:r>
        <w:rPr>
          <w:szCs w:val="21"/>
        </w:rPr>
        <w:t xml:space="preserve">  </w:t>
      </w:r>
      <w:r>
        <w:rPr>
          <w:rFonts w:hint="eastAsia"/>
          <w:szCs w:val="21"/>
        </w:rPr>
        <w:t>页</w:t>
      </w: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1"/>
        <w:gridCol w:w="3822"/>
        <w:gridCol w:w="1335"/>
        <w:gridCol w:w="1392"/>
        <w:gridCol w:w="1666"/>
      </w:tblGrid>
      <w:tr w14:paraId="697C42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1" w:type="dxa"/>
            <w:vAlign w:val="center"/>
          </w:tcPr>
          <w:p w14:paraId="02E52FFB">
            <w:pPr>
              <w:widowControl w:val="0"/>
              <w:jc w:val="center"/>
              <w:textAlignment w:val="auto"/>
              <w:rPr>
                <w:szCs w:val="21"/>
              </w:rPr>
            </w:pPr>
            <w:r>
              <w:rPr>
                <w:rFonts w:hint="eastAsia"/>
                <w:szCs w:val="21"/>
              </w:rPr>
              <w:t>序号</w:t>
            </w:r>
          </w:p>
        </w:tc>
        <w:tc>
          <w:tcPr>
            <w:tcW w:w="3822" w:type="dxa"/>
            <w:vAlign w:val="center"/>
          </w:tcPr>
          <w:p w14:paraId="45AB62CF">
            <w:pPr>
              <w:widowControl w:val="0"/>
              <w:jc w:val="center"/>
              <w:textAlignment w:val="auto"/>
              <w:rPr>
                <w:szCs w:val="21"/>
              </w:rPr>
            </w:pPr>
            <w:r>
              <w:rPr>
                <w:rFonts w:hint="eastAsia"/>
                <w:szCs w:val="21"/>
              </w:rPr>
              <w:t>项目名称</w:t>
            </w:r>
          </w:p>
        </w:tc>
        <w:tc>
          <w:tcPr>
            <w:tcW w:w="1335" w:type="dxa"/>
            <w:vAlign w:val="center"/>
          </w:tcPr>
          <w:p w14:paraId="7BB86D78">
            <w:pPr>
              <w:widowControl w:val="0"/>
              <w:jc w:val="center"/>
              <w:textAlignment w:val="auto"/>
              <w:rPr>
                <w:szCs w:val="21"/>
              </w:rPr>
            </w:pPr>
            <w:r>
              <w:rPr>
                <w:rFonts w:hint="eastAsia"/>
                <w:szCs w:val="21"/>
              </w:rPr>
              <w:t>计量单位</w:t>
            </w:r>
          </w:p>
        </w:tc>
        <w:tc>
          <w:tcPr>
            <w:tcW w:w="1392" w:type="dxa"/>
            <w:vAlign w:val="center"/>
          </w:tcPr>
          <w:p w14:paraId="0C898A83">
            <w:pPr>
              <w:widowControl w:val="0"/>
              <w:jc w:val="center"/>
              <w:textAlignment w:val="auto"/>
              <w:rPr>
                <w:szCs w:val="21"/>
              </w:rPr>
            </w:pPr>
            <w:r>
              <w:rPr>
                <w:rFonts w:hint="eastAsia"/>
                <w:szCs w:val="21"/>
              </w:rPr>
              <w:t>暂列金额</w:t>
            </w:r>
          </w:p>
          <w:p w14:paraId="1CF08418">
            <w:pPr>
              <w:widowControl w:val="0"/>
              <w:jc w:val="center"/>
              <w:textAlignment w:val="auto"/>
              <w:rPr>
                <w:szCs w:val="21"/>
              </w:rPr>
            </w:pPr>
            <w:r>
              <w:rPr>
                <w:rFonts w:hint="eastAsia"/>
                <w:szCs w:val="21"/>
              </w:rPr>
              <w:t>（元）</w:t>
            </w:r>
          </w:p>
        </w:tc>
        <w:tc>
          <w:tcPr>
            <w:tcW w:w="1666" w:type="dxa"/>
            <w:vAlign w:val="center"/>
          </w:tcPr>
          <w:p w14:paraId="0AFFB62C">
            <w:pPr>
              <w:widowControl w:val="0"/>
              <w:spacing w:line="360" w:lineRule="auto"/>
              <w:jc w:val="center"/>
              <w:textAlignment w:val="auto"/>
              <w:rPr>
                <w:szCs w:val="21"/>
              </w:rPr>
            </w:pPr>
            <w:r>
              <w:rPr>
                <w:rFonts w:hint="eastAsia"/>
                <w:szCs w:val="21"/>
              </w:rPr>
              <w:t>备注</w:t>
            </w:r>
          </w:p>
        </w:tc>
      </w:tr>
      <w:tr w14:paraId="2A2888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1" w:type="dxa"/>
            <w:vAlign w:val="center"/>
          </w:tcPr>
          <w:p w14:paraId="24685B9A">
            <w:pPr>
              <w:widowControl w:val="0"/>
              <w:spacing w:line="360" w:lineRule="auto"/>
              <w:jc w:val="center"/>
              <w:textAlignment w:val="auto"/>
              <w:rPr>
                <w:szCs w:val="21"/>
              </w:rPr>
            </w:pPr>
          </w:p>
        </w:tc>
        <w:tc>
          <w:tcPr>
            <w:tcW w:w="3822" w:type="dxa"/>
          </w:tcPr>
          <w:p w14:paraId="4A77983C">
            <w:pPr>
              <w:widowControl w:val="0"/>
              <w:spacing w:line="360" w:lineRule="auto"/>
              <w:textAlignment w:val="auto"/>
              <w:rPr>
                <w:szCs w:val="21"/>
              </w:rPr>
            </w:pPr>
          </w:p>
        </w:tc>
        <w:tc>
          <w:tcPr>
            <w:tcW w:w="1335" w:type="dxa"/>
          </w:tcPr>
          <w:p w14:paraId="1CAEB029">
            <w:pPr>
              <w:widowControl w:val="0"/>
              <w:spacing w:line="360" w:lineRule="auto"/>
              <w:textAlignment w:val="auto"/>
              <w:rPr>
                <w:szCs w:val="21"/>
              </w:rPr>
            </w:pPr>
          </w:p>
        </w:tc>
        <w:tc>
          <w:tcPr>
            <w:tcW w:w="1392" w:type="dxa"/>
          </w:tcPr>
          <w:p w14:paraId="61E521D5">
            <w:pPr>
              <w:widowControl w:val="0"/>
              <w:spacing w:line="360" w:lineRule="auto"/>
              <w:textAlignment w:val="auto"/>
              <w:rPr>
                <w:szCs w:val="21"/>
              </w:rPr>
            </w:pPr>
          </w:p>
        </w:tc>
        <w:tc>
          <w:tcPr>
            <w:tcW w:w="1666" w:type="dxa"/>
          </w:tcPr>
          <w:p w14:paraId="05503F7A">
            <w:pPr>
              <w:widowControl w:val="0"/>
              <w:spacing w:line="360" w:lineRule="auto"/>
              <w:textAlignment w:val="auto"/>
              <w:rPr>
                <w:szCs w:val="21"/>
              </w:rPr>
            </w:pPr>
          </w:p>
        </w:tc>
      </w:tr>
      <w:tr w14:paraId="159B01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1" w:type="dxa"/>
            <w:vAlign w:val="center"/>
          </w:tcPr>
          <w:p w14:paraId="64FC5F0B">
            <w:pPr>
              <w:widowControl w:val="0"/>
              <w:spacing w:line="360" w:lineRule="auto"/>
              <w:jc w:val="center"/>
              <w:textAlignment w:val="auto"/>
              <w:rPr>
                <w:szCs w:val="21"/>
              </w:rPr>
            </w:pPr>
          </w:p>
        </w:tc>
        <w:tc>
          <w:tcPr>
            <w:tcW w:w="3822" w:type="dxa"/>
          </w:tcPr>
          <w:p w14:paraId="1E73999F">
            <w:pPr>
              <w:widowControl w:val="0"/>
              <w:spacing w:line="360" w:lineRule="auto"/>
              <w:textAlignment w:val="auto"/>
              <w:rPr>
                <w:szCs w:val="21"/>
              </w:rPr>
            </w:pPr>
          </w:p>
        </w:tc>
        <w:tc>
          <w:tcPr>
            <w:tcW w:w="1335" w:type="dxa"/>
          </w:tcPr>
          <w:p w14:paraId="555A7258">
            <w:pPr>
              <w:widowControl w:val="0"/>
              <w:spacing w:line="360" w:lineRule="auto"/>
              <w:textAlignment w:val="auto"/>
              <w:rPr>
                <w:szCs w:val="21"/>
              </w:rPr>
            </w:pPr>
          </w:p>
        </w:tc>
        <w:tc>
          <w:tcPr>
            <w:tcW w:w="1392" w:type="dxa"/>
          </w:tcPr>
          <w:p w14:paraId="54FBF1A7">
            <w:pPr>
              <w:widowControl w:val="0"/>
              <w:spacing w:line="360" w:lineRule="auto"/>
              <w:textAlignment w:val="auto"/>
              <w:rPr>
                <w:szCs w:val="21"/>
              </w:rPr>
            </w:pPr>
          </w:p>
        </w:tc>
        <w:tc>
          <w:tcPr>
            <w:tcW w:w="1666" w:type="dxa"/>
          </w:tcPr>
          <w:p w14:paraId="6C86035E">
            <w:pPr>
              <w:widowControl w:val="0"/>
              <w:spacing w:line="360" w:lineRule="auto"/>
              <w:textAlignment w:val="auto"/>
              <w:rPr>
                <w:szCs w:val="21"/>
              </w:rPr>
            </w:pPr>
          </w:p>
        </w:tc>
      </w:tr>
      <w:tr w14:paraId="15831C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1" w:type="dxa"/>
            <w:vAlign w:val="center"/>
          </w:tcPr>
          <w:p w14:paraId="40A66684">
            <w:pPr>
              <w:widowControl w:val="0"/>
              <w:spacing w:line="360" w:lineRule="auto"/>
              <w:jc w:val="center"/>
              <w:textAlignment w:val="auto"/>
              <w:rPr>
                <w:szCs w:val="21"/>
              </w:rPr>
            </w:pPr>
          </w:p>
        </w:tc>
        <w:tc>
          <w:tcPr>
            <w:tcW w:w="3822" w:type="dxa"/>
          </w:tcPr>
          <w:p w14:paraId="047B9E75">
            <w:pPr>
              <w:widowControl w:val="0"/>
              <w:spacing w:line="360" w:lineRule="auto"/>
              <w:textAlignment w:val="auto"/>
              <w:rPr>
                <w:szCs w:val="21"/>
              </w:rPr>
            </w:pPr>
          </w:p>
        </w:tc>
        <w:tc>
          <w:tcPr>
            <w:tcW w:w="1335" w:type="dxa"/>
          </w:tcPr>
          <w:p w14:paraId="53A785AE">
            <w:pPr>
              <w:widowControl w:val="0"/>
              <w:spacing w:line="360" w:lineRule="auto"/>
              <w:textAlignment w:val="auto"/>
              <w:rPr>
                <w:szCs w:val="21"/>
              </w:rPr>
            </w:pPr>
          </w:p>
        </w:tc>
        <w:tc>
          <w:tcPr>
            <w:tcW w:w="1392" w:type="dxa"/>
          </w:tcPr>
          <w:p w14:paraId="7F313007">
            <w:pPr>
              <w:widowControl w:val="0"/>
              <w:spacing w:line="360" w:lineRule="auto"/>
              <w:textAlignment w:val="auto"/>
              <w:rPr>
                <w:szCs w:val="21"/>
              </w:rPr>
            </w:pPr>
          </w:p>
        </w:tc>
        <w:tc>
          <w:tcPr>
            <w:tcW w:w="1666" w:type="dxa"/>
          </w:tcPr>
          <w:p w14:paraId="7EDC7D99">
            <w:pPr>
              <w:widowControl w:val="0"/>
              <w:spacing w:line="360" w:lineRule="auto"/>
              <w:textAlignment w:val="auto"/>
              <w:rPr>
                <w:szCs w:val="21"/>
              </w:rPr>
            </w:pPr>
          </w:p>
        </w:tc>
      </w:tr>
      <w:tr w14:paraId="056A82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1" w:type="dxa"/>
            <w:vAlign w:val="center"/>
          </w:tcPr>
          <w:p w14:paraId="5C292BE7">
            <w:pPr>
              <w:widowControl w:val="0"/>
              <w:spacing w:line="360" w:lineRule="auto"/>
              <w:jc w:val="center"/>
              <w:textAlignment w:val="auto"/>
              <w:rPr>
                <w:szCs w:val="21"/>
              </w:rPr>
            </w:pPr>
          </w:p>
        </w:tc>
        <w:tc>
          <w:tcPr>
            <w:tcW w:w="3822" w:type="dxa"/>
          </w:tcPr>
          <w:p w14:paraId="3E22A924">
            <w:pPr>
              <w:widowControl w:val="0"/>
              <w:spacing w:line="360" w:lineRule="auto"/>
              <w:textAlignment w:val="auto"/>
              <w:rPr>
                <w:szCs w:val="21"/>
              </w:rPr>
            </w:pPr>
          </w:p>
        </w:tc>
        <w:tc>
          <w:tcPr>
            <w:tcW w:w="1335" w:type="dxa"/>
          </w:tcPr>
          <w:p w14:paraId="36C33817">
            <w:pPr>
              <w:widowControl w:val="0"/>
              <w:spacing w:line="360" w:lineRule="auto"/>
              <w:textAlignment w:val="auto"/>
              <w:rPr>
                <w:szCs w:val="21"/>
              </w:rPr>
            </w:pPr>
          </w:p>
        </w:tc>
        <w:tc>
          <w:tcPr>
            <w:tcW w:w="1392" w:type="dxa"/>
          </w:tcPr>
          <w:p w14:paraId="05D84EBD">
            <w:pPr>
              <w:widowControl w:val="0"/>
              <w:spacing w:line="360" w:lineRule="auto"/>
              <w:textAlignment w:val="auto"/>
              <w:rPr>
                <w:szCs w:val="21"/>
              </w:rPr>
            </w:pPr>
          </w:p>
        </w:tc>
        <w:tc>
          <w:tcPr>
            <w:tcW w:w="1666" w:type="dxa"/>
          </w:tcPr>
          <w:p w14:paraId="37BE56F7">
            <w:pPr>
              <w:widowControl w:val="0"/>
              <w:spacing w:line="360" w:lineRule="auto"/>
              <w:textAlignment w:val="auto"/>
              <w:rPr>
                <w:szCs w:val="21"/>
              </w:rPr>
            </w:pPr>
          </w:p>
        </w:tc>
      </w:tr>
      <w:tr w14:paraId="0DA980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1" w:type="dxa"/>
            <w:vAlign w:val="center"/>
          </w:tcPr>
          <w:p w14:paraId="4730D00C">
            <w:pPr>
              <w:widowControl w:val="0"/>
              <w:spacing w:line="360" w:lineRule="auto"/>
              <w:jc w:val="center"/>
              <w:textAlignment w:val="auto"/>
              <w:rPr>
                <w:szCs w:val="21"/>
              </w:rPr>
            </w:pPr>
          </w:p>
        </w:tc>
        <w:tc>
          <w:tcPr>
            <w:tcW w:w="3822" w:type="dxa"/>
          </w:tcPr>
          <w:p w14:paraId="765BCAD5">
            <w:pPr>
              <w:widowControl w:val="0"/>
              <w:spacing w:line="360" w:lineRule="auto"/>
              <w:textAlignment w:val="auto"/>
              <w:rPr>
                <w:szCs w:val="21"/>
              </w:rPr>
            </w:pPr>
          </w:p>
        </w:tc>
        <w:tc>
          <w:tcPr>
            <w:tcW w:w="1335" w:type="dxa"/>
          </w:tcPr>
          <w:p w14:paraId="3A2F8102">
            <w:pPr>
              <w:widowControl w:val="0"/>
              <w:spacing w:line="360" w:lineRule="auto"/>
              <w:textAlignment w:val="auto"/>
              <w:rPr>
                <w:szCs w:val="21"/>
              </w:rPr>
            </w:pPr>
          </w:p>
        </w:tc>
        <w:tc>
          <w:tcPr>
            <w:tcW w:w="1392" w:type="dxa"/>
          </w:tcPr>
          <w:p w14:paraId="4853140C">
            <w:pPr>
              <w:widowControl w:val="0"/>
              <w:spacing w:line="360" w:lineRule="auto"/>
              <w:textAlignment w:val="auto"/>
              <w:rPr>
                <w:szCs w:val="21"/>
              </w:rPr>
            </w:pPr>
          </w:p>
        </w:tc>
        <w:tc>
          <w:tcPr>
            <w:tcW w:w="1666" w:type="dxa"/>
          </w:tcPr>
          <w:p w14:paraId="50865070">
            <w:pPr>
              <w:widowControl w:val="0"/>
              <w:spacing w:line="360" w:lineRule="auto"/>
              <w:textAlignment w:val="auto"/>
              <w:rPr>
                <w:szCs w:val="21"/>
              </w:rPr>
            </w:pPr>
          </w:p>
        </w:tc>
      </w:tr>
      <w:tr w14:paraId="7C0872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1" w:type="dxa"/>
            <w:vAlign w:val="center"/>
          </w:tcPr>
          <w:p w14:paraId="59B0E5C4">
            <w:pPr>
              <w:widowControl w:val="0"/>
              <w:spacing w:line="360" w:lineRule="auto"/>
              <w:jc w:val="center"/>
              <w:textAlignment w:val="auto"/>
              <w:rPr>
                <w:szCs w:val="21"/>
              </w:rPr>
            </w:pPr>
          </w:p>
        </w:tc>
        <w:tc>
          <w:tcPr>
            <w:tcW w:w="3822" w:type="dxa"/>
          </w:tcPr>
          <w:p w14:paraId="082AD6E7">
            <w:pPr>
              <w:widowControl w:val="0"/>
              <w:spacing w:line="360" w:lineRule="auto"/>
              <w:textAlignment w:val="auto"/>
              <w:rPr>
                <w:szCs w:val="21"/>
              </w:rPr>
            </w:pPr>
          </w:p>
        </w:tc>
        <w:tc>
          <w:tcPr>
            <w:tcW w:w="1335" w:type="dxa"/>
          </w:tcPr>
          <w:p w14:paraId="6D7D24F7">
            <w:pPr>
              <w:widowControl w:val="0"/>
              <w:spacing w:line="360" w:lineRule="auto"/>
              <w:textAlignment w:val="auto"/>
              <w:rPr>
                <w:szCs w:val="21"/>
              </w:rPr>
            </w:pPr>
          </w:p>
        </w:tc>
        <w:tc>
          <w:tcPr>
            <w:tcW w:w="1392" w:type="dxa"/>
          </w:tcPr>
          <w:p w14:paraId="0CD95700">
            <w:pPr>
              <w:widowControl w:val="0"/>
              <w:spacing w:line="360" w:lineRule="auto"/>
              <w:textAlignment w:val="auto"/>
              <w:rPr>
                <w:szCs w:val="21"/>
              </w:rPr>
            </w:pPr>
          </w:p>
        </w:tc>
        <w:tc>
          <w:tcPr>
            <w:tcW w:w="1666" w:type="dxa"/>
          </w:tcPr>
          <w:p w14:paraId="06987535">
            <w:pPr>
              <w:widowControl w:val="0"/>
              <w:spacing w:line="360" w:lineRule="auto"/>
              <w:textAlignment w:val="auto"/>
              <w:rPr>
                <w:szCs w:val="21"/>
              </w:rPr>
            </w:pPr>
          </w:p>
        </w:tc>
      </w:tr>
      <w:tr w14:paraId="0F9A7B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1" w:type="dxa"/>
            <w:vAlign w:val="center"/>
          </w:tcPr>
          <w:p w14:paraId="27935AD8">
            <w:pPr>
              <w:widowControl w:val="0"/>
              <w:spacing w:line="360" w:lineRule="auto"/>
              <w:jc w:val="center"/>
              <w:textAlignment w:val="auto"/>
              <w:rPr>
                <w:szCs w:val="21"/>
              </w:rPr>
            </w:pPr>
          </w:p>
        </w:tc>
        <w:tc>
          <w:tcPr>
            <w:tcW w:w="3822" w:type="dxa"/>
          </w:tcPr>
          <w:p w14:paraId="5A9A3A62">
            <w:pPr>
              <w:widowControl w:val="0"/>
              <w:spacing w:line="360" w:lineRule="auto"/>
              <w:textAlignment w:val="auto"/>
              <w:rPr>
                <w:szCs w:val="21"/>
              </w:rPr>
            </w:pPr>
          </w:p>
        </w:tc>
        <w:tc>
          <w:tcPr>
            <w:tcW w:w="1335" w:type="dxa"/>
          </w:tcPr>
          <w:p w14:paraId="60ED8899">
            <w:pPr>
              <w:widowControl w:val="0"/>
              <w:spacing w:line="360" w:lineRule="auto"/>
              <w:textAlignment w:val="auto"/>
              <w:rPr>
                <w:szCs w:val="21"/>
              </w:rPr>
            </w:pPr>
          </w:p>
        </w:tc>
        <w:tc>
          <w:tcPr>
            <w:tcW w:w="1392" w:type="dxa"/>
          </w:tcPr>
          <w:p w14:paraId="0BF0F8ED">
            <w:pPr>
              <w:widowControl w:val="0"/>
              <w:spacing w:line="360" w:lineRule="auto"/>
              <w:textAlignment w:val="auto"/>
              <w:rPr>
                <w:szCs w:val="21"/>
              </w:rPr>
            </w:pPr>
          </w:p>
        </w:tc>
        <w:tc>
          <w:tcPr>
            <w:tcW w:w="1666" w:type="dxa"/>
          </w:tcPr>
          <w:p w14:paraId="76026DC2">
            <w:pPr>
              <w:widowControl w:val="0"/>
              <w:spacing w:line="360" w:lineRule="auto"/>
              <w:textAlignment w:val="auto"/>
              <w:rPr>
                <w:szCs w:val="21"/>
              </w:rPr>
            </w:pPr>
          </w:p>
        </w:tc>
      </w:tr>
      <w:tr w14:paraId="06AADA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1" w:type="dxa"/>
            <w:vAlign w:val="center"/>
          </w:tcPr>
          <w:p w14:paraId="0F7E4315">
            <w:pPr>
              <w:widowControl w:val="0"/>
              <w:spacing w:line="360" w:lineRule="auto"/>
              <w:jc w:val="center"/>
              <w:textAlignment w:val="auto"/>
              <w:rPr>
                <w:szCs w:val="21"/>
              </w:rPr>
            </w:pPr>
          </w:p>
        </w:tc>
        <w:tc>
          <w:tcPr>
            <w:tcW w:w="3822" w:type="dxa"/>
          </w:tcPr>
          <w:p w14:paraId="08B89D53">
            <w:pPr>
              <w:widowControl w:val="0"/>
              <w:spacing w:line="360" w:lineRule="auto"/>
              <w:textAlignment w:val="auto"/>
              <w:rPr>
                <w:szCs w:val="21"/>
              </w:rPr>
            </w:pPr>
          </w:p>
        </w:tc>
        <w:tc>
          <w:tcPr>
            <w:tcW w:w="1335" w:type="dxa"/>
          </w:tcPr>
          <w:p w14:paraId="45276438">
            <w:pPr>
              <w:widowControl w:val="0"/>
              <w:spacing w:line="360" w:lineRule="auto"/>
              <w:textAlignment w:val="auto"/>
              <w:rPr>
                <w:szCs w:val="21"/>
              </w:rPr>
            </w:pPr>
          </w:p>
        </w:tc>
        <w:tc>
          <w:tcPr>
            <w:tcW w:w="1392" w:type="dxa"/>
          </w:tcPr>
          <w:p w14:paraId="33D80E31">
            <w:pPr>
              <w:widowControl w:val="0"/>
              <w:spacing w:line="360" w:lineRule="auto"/>
              <w:textAlignment w:val="auto"/>
              <w:rPr>
                <w:szCs w:val="21"/>
              </w:rPr>
            </w:pPr>
          </w:p>
        </w:tc>
        <w:tc>
          <w:tcPr>
            <w:tcW w:w="1666" w:type="dxa"/>
          </w:tcPr>
          <w:p w14:paraId="0135A119">
            <w:pPr>
              <w:widowControl w:val="0"/>
              <w:spacing w:line="360" w:lineRule="auto"/>
              <w:textAlignment w:val="auto"/>
              <w:rPr>
                <w:szCs w:val="21"/>
              </w:rPr>
            </w:pPr>
          </w:p>
        </w:tc>
      </w:tr>
      <w:tr w14:paraId="1A1F60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1" w:type="dxa"/>
            <w:vAlign w:val="center"/>
          </w:tcPr>
          <w:p w14:paraId="54F4F84C">
            <w:pPr>
              <w:widowControl w:val="0"/>
              <w:spacing w:line="360" w:lineRule="auto"/>
              <w:jc w:val="center"/>
              <w:textAlignment w:val="auto"/>
              <w:rPr>
                <w:szCs w:val="21"/>
              </w:rPr>
            </w:pPr>
          </w:p>
        </w:tc>
        <w:tc>
          <w:tcPr>
            <w:tcW w:w="3822" w:type="dxa"/>
          </w:tcPr>
          <w:p w14:paraId="68C194F3">
            <w:pPr>
              <w:widowControl w:val="0"/>
              <w:spacing w:line="360" w:lineRule="auto"/>
              <w:textAlignment w:val="auto"/>
              <w:rPr>
                <w:szCs w:val="21"/>
              </w:rPr>
            </w:pPr>
          </w:p>
        </w:tc>
        <w:tc>
          <w:tcPr>
            <w:tcW w:w="1335" w:type="dxa"/>
          </w:tcPr>
          <w:p w14:paraId="0A9AF3E4">
            <w:pPr>
              <w:widowControl w:val="0"/>
              <w:spacing w:line="360" w:lineRule="auto"/>
              <w:textAlignment w:val="auto"/>
              <w:rPr>
                <w:szCs w:val="21"/>
              </w:rPr>
            </w:pPr>
          </w:p>
        </w:tc>
        <w:tc>
          <w:tcPr>
            <w:tcW w:w="1392" w:type="dxa"/>
          </w:tcPr>
          <w:p w14:paraId="062E3B63">
            <w:pPr>
              <w:widowControl w:val="0"/>
              <w:spacing w:line="360" w:lineRule="auto"/>
              <w:textAlignment w:val="auto"/>
              <w:rPr>
                <w:szCs w:val="21"/>
              </w:rPr>
            </w:pPr>
          </w:p>
        </w:tc>
        <w:tc>
          <w:tcPr>
            <w:tcW w:w="1666" w:type="dxa"/>
          </w:tcPr>
          <w:p w14:paraId="0B7642EB">
            <w:pPr>
              <w:widowControl w:val="0"/>
              <w:spacing w:line="360" w:lineRule="auto"/>
              <w:textAlignment w:val="auto"/>
              <w:rPr>
                <w:szCs w:val="21"/>
              </w:rPr>
            </w:pPr>
          </w:p>
        </w:tc>
      </w:tr>
      <w:tr w14:paraId="27025D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1" w:type="dxa"/>
            <w:vAlign w:val="center"/>
          </w:tcPr>
          <w:p w14:paraId="63F51F5E">
            <w:pPr>
              <w:widowControl w:val="0"/>
              <w:spacing w:line="360" w:lineRule="auto"/>
              <w:jc w:val="center"/>
              <w:textAlignment w:val="auto"/>
              <w:rPr>
                <w:szCs w:val="21"/>
              </w:rPr>
            </w:pPr>
          </w:p>
        </w:tc>
        <w:tc>
          <w:tcPr>
            <w:tcW w:w="3822" w:type="dxa"/>
          </w:tcPr>
          <w:p w14:paraId="7023C52A">
            <w:pPr>
              <w:widowControl w:val="0"/>
              <w:spacing w:line="360" w:lineRule="auto"/>
              <w:textAlignment w:val="auto"/>
              <w:rPr>
                <w:szCs w:val="21"/>
              </w:rPr>
            </w:pPr>
          </w:p>
        </w:tc>
        <w:tc>
          <w:tcPr>
            <w:tcW w:w="1335" w:type="dxa"/>
          </w:tcPr>
          <w:p w14:paraId="1C088F0D">
            <w:pPr>
              <w:widowControl w:val="0"/>
              <w:spacing w:line="360" w:lineRule="auto"/>
              <w:textAlignment w:val="auto"/>
              <w:rPr>
                <w:szCs w:val="21"/>
              </w:rPr>
            </w:pPr>
          </w:p>
        </w:tc>
        <w:tc>
          <w:tcPr>
            <w:tcW w:w="1392" w:type="dxa"/>
          </w:tcPr>
          <w:p w14:paraId="057B4027">
            <w:pPr>
              <w:widowControl w:val="0"/>
              <w:spacing w:line="360" w:lineRule="auto"/>
              <w:textAlignment w:val="auto"/>
              <w:rPr>
                <w:szCs w:val="21"/>
              </w:rPr>
            </w:pPr>
          </w:p>
        </w:tc>
        <w:tc>
          <w:tcPr>
            <w:tcW w:w="1666" w:type="dxa"/>
          </w:tcPr>
          <w:p w14:paraId="5F125AFF">
            <w:pPr>
              <w:widowControl w:val="0"/>
              <w:spacing w:line="360" w:lineRule="auto"/>
              <w:textAlignment w:val="auto"/>
              <w:rPr>
                <w:szCs w:val="21"/>
              </w:rPr>
            </w:pPr>
          </w:p>
        </w:tc>
      </w:tr>
      <w:tr w14:paraId="3B27EE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1" w:type="dxa"/>
            <w:vAlign w:val="center"/>
          </w:tcPr>
          <w:p w14:paraId="2E336F55">
            <w:pPr>
              <w:widowControl w:val="0"/>
              <w:spacing w:line="360" w:lineRule="auto"/>
              <w:jc w:val="center"/>
              <w:textAlignment w:val="auto"/>
              <w:rPr>
                <w:szCs w:val="21"/>
              </w:rPr>
            </w:pPr>
          </w:p>
        </w:tc>
        <w:tc>
          <w:tcPr>
            <w:tcW w:w="3822" w:type="dxa"/>
          </w:tcPr>
          <w:p w14:paraId="50B7DF4A">
            <w:pPr>
              <w:widowControl w:val="0"/>
              <w:spacing w:line="360" w:lineRule="auto"/>
              <w:textAlignment w:val="auto"/>
              <w:rPr>
                <w:szCs w:val="21"/>
              </w:rPr>
            </w:pPr>
          </w:p>
        </w:tc>
        <w:tc>
          <w:tcPr>
            <w:tcW w:w="1335" w:type="dxa"/>
          </w:tcPr>
          <w:p w14:paraId="70E46910">
            <w:pPr>
              <w:widowControl w:val="0"/>
              <w:spacing w:line="360" w:lineRule="auto"/>
              <w:textAlignment w:val="auto"/>
              <w:rPr>
                <w:szCs w:val="21"/>
              </w:rPr>
            </w:pPr>
          </w:p>
        </w:tc>
        <w:tc>
          <w:tcPr>
            <w:tcW w:w="1392" w:type="dxa"/>
          </w:tcPr>
          <w:p w14:paraId="525D229E">
            <w:pPr>
              <w:widowControl w:val="0"/>
              <w:spacing w:line="360" w:lineRule="auto"/>
              <w:textAlignment w:val="auto"/>
              <w:rPr>
                <w:szCs w:val="21"/>
              </w:rPr>
            </w:pPr>
          </w:p>
        </w:tc>
        <w:tc>
          <w:tcPr>
            <w:tcW w:w="1666" w:type="dxa"/>
          </w:tcPr>
          <w:p w14:paraId="3D6D2976">
            <w:pPr>
              <w:widowControl w:val="0"/>
              <w:spacing w:line="360" w:lineRule="auto"/>
              <w:textAlignment w:val="auto"/>
              <w:rPr>
                <w:szCs w:val="21"/>
              </w:rPr>
            </w:pPr>
          </w:p>
        </w:tc>
      </w:tr>
      <w:tr w14:paraId="172E55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1" w:type="dxa"/>
            <w:vAlign w:val="center"/>
          </w:tcPr>
          <w:p w14:paraId="277177B4">
            <w:pPr>
              <w:widowControl w:val="0"/>
              <w:spacing w:line="360" w:lineRule="auto"/>
              <w:jc w:val="center"/>
              <w:textAlignment w:val="auto"/>
              <w:rPr>
                <w:szCs w:val="21"/>
              </w:rPr>
            </w:pPr>
          </w:p>
        </w:tc>
        <w:tc>
          <w:tcPr>
            <w:tcW w:w="3822" w:type="dxa"/>
          </w:tcPr>
          <w:p w14:paraId="7CFFFDD9">
            <w:pPr>
              <w:widowControl w:val="0"/>
              <w:spacing w:line="360" w:lineRule="auto"/>
              <w:textAlignment w:val="auto"/>
              <w:rPr>
                <w:szCs w:val="21"/>
              </w:rPr>
            </w:pPr>
          </w:p>
        </w:tc>
        <w:tc>
          <w:tcPr>
            <w:tcW w:w="1335" w:type="dxa"/>
          </w:tcPr>
          <w:p w14:paraId="0C32D758">
            <w:pPr>
              <w:widowControl w:val="0"/>
              <w:spacing w:line="360" w:lineRule="auto"/>
              <w:textAlignment w:val="auto"/>
              <w:rPr>
                <w:szCs w:val="21"/>
              </w:rPr>
            </w:pPr>
          </w:p>
        </w:tc>
        <w:tc>
          <w:tcPr>
            <w:tcW w:w="1392" w:type="dxa"/>
          </w:tcPr>
          <w:p w14:paraId="70D65A3C">
            <w:pPr>
              <w:widowControl w:val="0"/>
              <w:spacing w:line="360" w:lineRule="auto"/>
              <w:textAlignment w:val="auto"/>
              <w:rPr>
                <w:szCs w:val="21"/>
              </w:rPr>
            </w:pPr>
          </w:p>
        </w:tc>
        <w:tc>
          <w:tcPr>
            <w:tcW w:w="1666" w:type="dxa"/>
          </w:tcPr>
          <w:p w14:paraId="6D09A965">
            <w:pPr>
              <w:widowControl w:val="0"/>
              <w:spacing w:line="360" w:lineRule="auto"/>
              <w:textAlignment w:val="auto"/>
              <w:rPr>
                <w:szCs w:val="21"/>
              </w:rPr>
            </w:pPr>
          </w:p>
        </w:tc>
      </w:tr>
      <w:tr w14:paraId="50FE9B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1" w:type="dxa"/>
            <w:vAlign w:val="center"/>
          </w:tcPr>
          <w:p w14:paraId="0046686E">
            <w:pPr>
              <w:widowControl w:val="0"/>
              <w:spacing w:line="360" w:lineRule="auto"/>
              <w:jc w:val="center"/>
              <w:textAlignment w:val="auto"/>
              <w:rPr>
                <w:szCs w:val="21"/>
              </w:rPr>
            </w:pPr>
          </w:p>
        </w:tc>
        <w:tc>
          <w:tcPr>
            <w:tcW w:w="3822" w:type="dxa"/>
          </w:tcPr>
          <w:p w14:paraId="331983C4">
            <w:pPr>
              <w:widowControl w:val="0"/>
              <w:spacing w:line="360" w:lineRule="auto"/>
              <w:textAlignment w:val="auto"/>
              <w:rPr>
                <w:szCs w:val="21"/>
              </w:rPr>
            </w:pPr>
          </w:p>
        </w:tc>
        <w:tc>
          <w:tcPr>
            <w:tcW w:w="1335" w:type="dxa"/>
          </w:tcPr>
          <w:p w14:paraId="4447C2F4">
            <w:pPr>
              <w:widowControl w:val="0"/>
              <w:spacing w:line="360" w:lineRule="auto"/>
              <w:textAlignment w:val="auto"/>
              <w:rPr>
                <w:szCs w:val="21"/>
              </w:rPr>
            </w:pPr>
          </w:p>
        </w:tc>
        <w:tc>
          <w:tcPr>
            <w:tcW w:w="1392" w:type="dxa"/>
          </w:tcPr>
          <w:p w14:paraId="2796419F">
            <w:pPr>
              <w:widowControl w:val="0"/>
              <w:spacing w:line="360" w:lineRule="auto"/>
              <w:textAlignment w:val="auto"/>
              <w:rPr>
                <w:szCs w:val="21"/>
              </w:rPr>
            </w:pPr>
          </w:p>
        </w:tc>
        <w:tc>
          <w:tcPr>
            <w:tcW w:w="1666" w:type="dxa"/>
          </w:tcPr>
          <w:p w14:paraId="1292518D">
            <w:pPr>
              <w:widowControl w:val="0"/>
              <w:spacing w:line="360" w:lineRule="auto"/>
              <w:textAlignment w:val="auto"/>
              <w:rPr>
                <w:szCs w:val="21"/>
              </w:rPr>
            </w:pPr>
          </w:p>
        </w:tc>
      </w:tr>
      <w:tr w14:paraId="7D3FEB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1" w:type="dxa"/>
            <w:vAlign w:val="center"/>
          </w:tcPr>
          <w:p w14:paraId="204B647A">
            <w:pPr>
              <w:widowControl w:val="0"/>
              <w:spacing w:line="360" w:lineRule="auto"/>
              <w:jc w:val="center"/>
              <w:textAlignment w:val="auto"/>
              <w:rPr>
                <w:szCs w:val="21"/>
              </w:rPr>
            </w:pPr>
          </w:p>
        </w:tc>
        <w:tc>
          <w:tcPr>
            <w:tcW w:w="3822" w:type="dxa"/>
          </w:tcPr>
          <w:p w14:paraId="5504F412">
            <w:pPr>
              <w:widowControl w:val="0"/>
              <w:spacing w:line="360" w:lineRule="auto"/>
              <w:textAlignment w:val="auto"/>
              <w:rPr>
                <w:szCs w:val="21"/>
              </w:rPr>
            </w:pPr>
          </w:p>
        </w:tc>
        <w:tc>
          <w:tcPr>
            <w:tcW w:w="1335" w:type="dxa"/>
          </w:tcPr>
          <w:p w14:paraId="19CE5589">
            <w:pPr>
              <w:widowControl w:val="0"/>
              <w:spacing w:line="360" w:lineRule="auto"/>
              <w:textAlignment w:val="auto"/>
              <w:rPr>
                <w:szCs w:val="21"/>
              </w:rPr>
            </w:pPr>
          </w:p>
        </w:tc>
        <w:tc>
          <w:tcPr>
            <w:tcW w:w="1392" w:type="dxa"/>
          </w:tcPr>
          <w:p w14:paraId="61BCE88F">
            <w:pPr>
              <w:widowControl w:val="0"/>
              <w:spacing w:line="360" w:lineRule="auto"/>
              <w:textAlignment w:val="auto"/>
              <w:rPr>
                <w:szCs w:val="21"/>
              </w:rPr>
            </w:pPr>
          </w:p>
        </w:tc>
        <w:tc>
          <w:tcPr>
            <w:tcW w:w="1666" w:type="dxa"/>
          </w:tcPr>
          <w:p w14:paraId="25CEA2BC">
            <w:pPr>
              <w:widowControl w:val="0"/>
              <w:spacing w:line="360" w:lineRule="auto"/>
              <w:textAlignment w:val="auto"/>
              <w:rPr>
                <w:szCs w:val="21"/>
              </w:rPr>
            </w:pPr>
          </w:p>
        </w:tc>
      </w:tr>
      <w:tr w14:paraId="1DC538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1" w:type="dxa"/>
            <w:vAlign w:val="center"/>
          </w:tcPr>
          <w:p w14:paraId="2ECFE3FC">
            <w:pPr>
              <w:widowControl w:val="0"/>
              <w:spacing w:line="360" w:lineRule="auto"/>
              <w:jc w:val="center"/>
              <w:textAlignment w:val="auto"/>
              <w:rPr>
                <w:szCs w:val="21"/>
              </w:rPr>
            </w:pPr>
          </w:p>
        </w:tc>
        <w:tc>
          <w:tcPr>
            <w:tcW w:w="3822" w:type="dxa"/>
          </w:tcPr>
          <w:p w14:paraId="284DA04A">
            <w:pPr>
              <w:widowControl w:val="0"/>
              <w:spacing w:line="360" w:lineRule="auto"/>
              <w:textAlignment w:val="auto"/>
              <w:rPr>
                <w:szCs w:val="21"/>
              </w:rPr>
            </w:pPr>
          </w:p>
        </w:tc>
        <w:tc>
          <w:tcPr>
            <w:tcW w:w="1335" w:type="dxa"/>
          </w:tcPr>
          <w:p w14:paraId="4004A9D3">
            <w:pPr>
              <w:widowControl w:val="0"/>
              <w:spacing w:line="360" w:lineRule="auto"/>
              <w:textAlignment w:val="auto"/>
              <w:rPr>
                <w:szCs w:val="21"/>
              </w:rPr>
            </w:pPr>
          </w:p>
        </w:tc>
        <w:tc>
          <w:tcPr>
            <w:tcW w:w="1392" w:type="dxa"/>
          </w:tcPr>
          <w:p w14:paraId="7FFA19C0">
            <w:pPr>
              <w:widowControl w:val="0"/>
              <w:spacing w:line="360" w:lineRule="auto"/>
              <w:textAlignment w:val="auto"/>
              <w:rPr>
                <w:szCs w:val="21"/>
              </w:rPr>
            </w:pPr>
          </w:p>
        </w:tc>
        <w:tc>
          <w:tcPr>
            <w:tcW w:w="1666" w:type="dxa"/>
          </w:tcPr>
          <w:p w14:paraId="0E8D989C">
            <w:pPr>
              <w:widowControl w:val="0"/>
              <w:spacing w:line="360" w:lineRule="auto"/>
              <w:textAlignment w:val="auto"/>
              <w:rPr>
                <w:szCs w:val="21"/>
              </w:rPr>
            </w:pPr>
          </w:p>
        </w:tc>
      </w:tr>
      <w:tr w14:paraId="5C98DA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1" w:type="dxa"/>
            <w:vAlign w:val="center"/>
          </w:tcPr>
          <w:p w14:paraId="1455C713">
            <w:pPr>
              <w:widowControl w:val="0"/>
              <w:spacing w:line="360" w:lineRule="auto"/>
              <w:jc w:val="center"/>
              <w:textAlignment w:val="auto"/>
              <w:rPr>
                <w:szCs w:val="21"/>
              </w:rPr>
            </w:pPr>
          </w:p>
        </w:tc>
        <w:tc>
          <w:tcPr>
            <w:tcW w:w="3822" w:type="dxa"/>
          </w:tcPr>
          <w:p w14:paraId="66C39442">
            <w:pPr>
              <w:widowControl w:val="0"/>
              <w:spacing w:line="360" w:lineRule="auto"/>
              <w:textAlignment w:val="auto"/>
              <w:rPr>
                <w:szCs w:val="21"/>
              </w:rPr>
            </w:pPr>
          </w:p>
        </w:tc>
        <w:tc>
          <w:tcPr>
            <w:tcW w:w="1335" w:type="dxa"/>
          </w:tcPr>
          <w:p w14:paraId="33AA50DB">
            <w:pPr>
              <w:widowControl w:val="0"/>
              <w:spacing w:line="360" w:lineRule="auto"/>
              <w:textAlignment w:val="auto"/>
              <w:rPr>
                <w:szCs w:val="21"/>
              </w:rPr>
            </w:pPr>
          </w:p>
        </w:tc>
        <w:tc>
          <w:tcPr>
            <w:tcW w:w="1392" w:type="dxa"/>
          </w:tcPr>
          <w:p w14:paraId="3C2E1ED9">
            <w:pPr>
              <w:widowControl w:val="0"/>
              <w:spacing w:line="360" w:lineRule="auto"/>
              <w:textAlignment w:val="auto"/>
              <w:rPr>
                <w:szCs w:val="21"/>
              </w:rPr>
            </w:pPr>
          </w:p>
        </w:tc>
        <w:tc>
          <w:tcPr>
            <w:tcW w:w="1666" w:type="dxa"/>
          </w:tcPr>
          <w:p w14:paraId="1E88C4F8">
            <w:pPr>
              <w:widowControl w:val="0"/>
              <w:spacing w:line="360" w:lineRule="auto"/>
              <w:textAlignment w:val="auto"/>
              <w:rPr>
                <w:szCs w:val="21"/>
              </w:rPr>
            </w:pPr>
          </w:p>
        </w:tc>
      </w:tr>
      <w:tr w14:paraId="716A88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1" w:type="dxa"/>
            <w:vAlign w:val="center"/>
          </w:tcPr>
          <w:p w14:paraId="57E872EE">
            <w:pPr>
              <w:widowControl w:val="0"/>
              <w:spacing w:line="360" w:lineRule="auto"/>
              <w:jc w:val="center"/>
              <w:textAlignment w:val="auto"/>
              <w:rPr>
                <w:szCs w:val="21"/>
              </w:rPr>
            </w:pPr>
          </w:p>
        </w:tc>
        <w:tc>
          <w:tcPr>
            <w:tcW w:w="3822" w:type="dxa"/>
          </w:tcPr>
          <w:p w14:paraId="37F8211A">
            <w:pPr>
              <w:widowControl w:val="0"/>
              <w:spacing w:line="360" w:lineRule="auto"/>
              <w:textAlignment w:val="auto"/>
              <w:rPr>
                <w:szCs w:val="21"/>
              </w:rPr>
            </w:pPr>
          </w:p>
        </w:tc>
        <w:tc>
          <w:tcPr>
            <w:tcW w:w="1335" w:type="dxa"/>
          </w:tcPr>
          <w:p w14:paraId="3DECD225">
            <w:pPr>
              <w:widowControl w:val="0"/>
              <w:spacing w:line="360" w:lineRule="auto"/>
              <w:textAlignment w:val="auto"/>
              <w:rPr>
                <w:szCs w:val="21"/>
              </w:rPr>
            </w:pPr>
          </w:p>
        </w:tc>
        <w:tc>
          <w:tcPr>
            <w:tcW w:w="1392" w:type="dxa"/>
          </w:tcPr>
          <w:p w14:paraId="60F6DEDB">
            <w:pPr>
              <w:widowControl w:val="0"/>
              <w:spacing w:line="360" w:lineRule="auto"/>
              <w:textAlignment w:val="auto"/>
              <w:rPr>
                <w:szCs w:val="21"/>
              </w:rPr>
            </w:pPr>
          </w:p>
        </w:tc>
        <w:tc>
          <w:tcPr>
            <w:tcW w:w="1666" w:type="dxa"/>
          </w:tcPr>
          <w:p w14:paraId="060A87E6">
            <w:pPr>
              <w:widowControl w:val="0"/>
              <w:spacing w:line="360" w:lineRule="auto"/>
              <w:textAlignment w:val="auto"/>
              <w:rPr>
                <w:szCs w:val="21"/>
              </w:rPr>
            </w:pPr>
          </w:p>
        </w:tc>
      </w:tr>
      <w:tr w14:paraId="72EF42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1" w:type="dxa"/>
            <w:vAlign w:val="center"/>
          </w:tcPr>
          <w:p w14:paraId="495A0B41">
            <w:pPr>
              <w:widowControl w:val="0"/>
              <w:spacing w:line="360" w:lineRule="auto"/>
              <w:jc w:val="center"/>
              <w:textAlignment w:val="auto"/>
              <w:rPr>
                <w:szCs w:val="21"/>
              </w:rPr>
            </w:pPr>
          </w:p>
        </w:tc>
        <w:tc>
          <w:tcPr>
            <w:tcW w:w="3822" w:type="dxa"/>
          </w:tcPr>
          <w:p w14:paraId="384AC59E">
            <w:pPr>
              <w:widowControl w:val="0"/>
              <w:spacing w:line="360" w:lineRule="auto"/>
              <w:textAlignment w:val="auto"/>
              <w:rPr>
                <w:szCs w:val="21"/>
              </w:rPr>
            </w:pPr>
          </w:p>
        </w:tc>
        <w:tc>
          <w:tcPr>
            <w:tcW w:w="1335" w:type="dxa"/>
          </w:tcPr>
          <w:p w14:paraId="53A57CE0">
            <w:pPr>
              <w:widowControl w:val="0"/>
              <w:spacing w:line="360" w:lineRule="auto"/>
              <w:textAlignment w:val="auto"/>
              <w:rPr>
                <w:szCs w:val="21"/>
              </w:rPr>
            </w:pPr>
          </w:p>
        </w:tc>
        <w:tc>
          <w:tcPr>
            <w:tcW w:w="1392" w:type="dxa"/>
          </w:tcPr>
          <w:p w14:paraId="7B41E835">
            <w:pPr>
              <w:widowControl w:val="0"/>
              <w:spacing w:line="360" w:lineRule="auto"/>
              <w:textAlignment w:val="auto"/>
              <w:rPr>
                <w:szCs w:val="21"/>
              </w:rPr>
            </w:pPr>
          </w:p>
        </w:tc>
        <w:tc>
          <w:tcPr>
            <w:tcW w:w="1666" w:type="dxa"/>
          </w:tcPr>
          <w:p w14:paraId="4DDDC53F">
            <w:pPr>
              <w:widowControl w:val="0"/>
              <w:spacing w:line="360" w:lineRule="auto"/>
              <w:textAlignment w:val="auto"/>
              <w:rPr>
                <w:szCs w:val="21"/>
              </w:rPr>
            </w:pPr>
          </w:p>
        </w:tc>
      </w:tr>
      <w:tr w14:paraId="22B2FC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1" w:type="dxa"/>
            <w:vAlign w:val="center"/>
          </w:tcPr>
          <w:p w14:paraId="542D98AA">
            <w:pPr>
              <w:widowControl w:val="0"/>
              <w:spacing w:line="360" w:lineRule="auto"/>
              <w:jc w:val="center"/>
              <w:textAlignment w:val="auto"/>
              <w:rPr>
                <w:szCs w:val="21"/>
              </w:rPr>
            </w:pPr>
          </w:p>
        </w:tc>
        <w:tc>
          <w:tcPr>
            <w:tcW w:w="3822" w:type="dxa"/>
          </w:tcPr>
          <w:p w14:paraId="770B667A">
            <w:pPr>
              <w:widowControl w:val="0"/>
              <w:spacing w:line="360" w:lineRule="auto"/>
              <w:textAlignment w:val="auto"/>
              <w:rPr>
                <w:szCs w:val="21"/>
              </w:rPr>
            </w:pPr>
          </w:p>
        </w:tc>
        <w:tc>
          <w:tcPr>
            <w:tcW w:w="1335" w:type="dxa"/>
          </w:tcPr>
          <w:p w14:paraId="73021149">
            <w:pPr>
              <w:widowControl w:val="0"/>
              <w:spacing w:line="360" w:lineRule="auto"/>
              <w:textAlignment w:val="auto"/>
              <w:rPr>
                <w:szCs w:val="21"/>
              </w:rPr>
            </w:pPr>
          </w:p>
        </w:tc>
        <w:tc>
          <w:tcPr>
            <w:tcW w:w="1392" w:type="dxa"/>
          </w:tcPr>
          <w:p w14:paraId="37B2A41D">
            <w:pPr>
              <w:widowControl w:val="0"/>
              <w:spacing w:line="360" w:lineRule="auto"/>
              <w:textAlignment w:val="auto"/>
              <w:rPr>
                <w:szCs w:val="21"/>
              </w:rPr>
            </w:pPr>
          </w:p>
        </w:tc>
        <w:tc>
          <w:tcPr>
            <w:tcW w:w="1666" w:type="dxa"/>
          </w:tcPr>
          <w:p w14:paraId="5867823E">
            <w:pPr>
              <w:widowControl w:val="0"/>
              <w:spacing w:line="360" w:lineRule="auto"/>
              <w:textAlignment w:val="auto"/>
              <w:rPr>
                <w:szCs w:val="21"/>
              </w:rPr>
            </w:pPr>
          </w:p>
        </w:tc>
      </w:tr>
      <w:tr w14:paraId="0B4429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1" w:type="dxa"/>
            <w:vAlign w:val="center"/>
          </w:tcPr>
          <w:p w14:paraId="7ADE70FC">
            <w:pPr>
              <w:widowControl w:val="0"/>
              <w:spacing w:line="360" w:lineRule="auto"/>
              <w:jc w:val="center"/>
              <w:textAlignment w:val="auto"/>
              <w:rPr>
                <w:szCs w:val="21"/>
              </w:rPr>
            </w:pPr>
          </w:p>
        </w:tc>
        <w:tc>
          <w:tcPr>
            <w:tcW w:w="3822" w:type="dxa"/>
          </w:tcPr>
          <w:p w14:paraId="1F21C174">
            <w:pPr>
              <w:widowControl w:val="0"/>
              <w:spacing w:line="360" w:lineRule="auto"/>
              <w:textAlignment w:val="auto"/>
              <w:rPr>
                <w:szCs w:val="21"/>
              </w:rPr>
            </w:pPr>
          </w:p>
        </w:tc>
        <w:tc>
          <w:tcPr>
            <w:tcW w:w="1335" w:type="dxa"/>
          </w:tcPr>
          <w:p w14:paraId="17BF188F">
            <w:pPr>
              <w:widowControl w:val="0"/>
              <w:spacing w:line="360" w:lineRule="auto"/>
              <w:textAlignment w:val="auto"/>
              <w:rPr>
                <w:szCs w:val="21"/>
              </w:rPr>
            </w:pPr>
          </w:p>
        </w:tc>
        <w:tc>
          <w:tcPr>
            <w:tcW w:w="1392" w:type="dxa"/>
          </w:tcPr>
          <w:p w14:paraId="7E97F249">
            <w:pPr>
              <w:widowControl w:val="0"/>
              <w:spacing w:line="360" w:lineRule="auto"/>
              <w:textAlignment w:val="auto"/>
              <w:rPr>
                <w:szCs w:val="21"/>
              </w:rPr>
            </w:pPr>
          </w:p>
        </w:tc>
        <w:tc>
          <w:tcPr>
            <w:tcW w:w="1666" w:type="dxa"/>
          </w:tcPr>
          <w:p w14:paraId="6AA54720">
            <w:pPr>
              <w:widowControl w:val="0"/>
              <w:spacing w:line="360" w:lineRule="auto"/>
              <w:textAlignment w:val="auto"/>
              <w:rPr>
                <w:szCs w:val="21"/>
              </w:rPr>
            </w:pPr>
          </w:p>
        </w:tc>
      </w:tr>
      <w:tr w14:paraId="59357F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1" w:type="dxa"/>
            <w:vAlign w:val="center"/>
          </w:tcPr>
          <w:p w14:paraId="2538535C">
            <w:pPr>
              <w:widowControl w:val="0"/>
              <w:spacing w:line="360" w:lineRule="auto"/>
              <w:jc w:val="center"/>
              <w:textAlignment w:val="auto"/>
              <w:rPr>
                <w:szCs w:val="21"/>
              </w:rPr>
            </w:pPr>
          </w:p>
        </w:tc>
        <w:tc>
          <w:tcPr>
            <w:tcW w:w="3822" w:type="dxa"/>
          </w:tcPr>
          <w:p w14:paraId="51700E73">
            <w:pPr>
              <w:widowControl w:val="0"/>
              <w:spacing w:line="360" w:lineRule="auto"/>
              <w:textAlignment w:val="auto"/>
              <w:rPr>
                <w:szCs w:val="21"/>
              </w:rPr>
            </w:pPr>
          </w:p>
        </w:tc>
        <w:tc>
          <w:tcPr>
            <w:tcW w:w="1335" w:type="dxa"/>
          </w:tcPr>
          <w:p w14:paraId="0C35A523">
            <w:pPr>
              <w:widowControl w:val="0"/>
              <w:spacing w:line="360" w:lineRule="auto"/>
              <w:textAlignment w:val="auto"/>
              <w:rPr>
                <w:szCs w:val="21"/>
              </w:rPr>
            </w:pPr>
          </w:p>
        </w:tc>
        <w:tc>
          <w:tcPr>
            <w:tcW w:w="1392" w:type="dxa"/>
          </w:tcPr>
          <w:p w14:paraId="0B9ADA5B">
            <w:pPr>
              <w:widowControl w:val="0"/>
              <w:spacing w:line="360" w:lineRule="auto"/>
              <w:textAlignment w:val="auto"/>
              <w:rPr>
                <w:szCs w:val="21"/>
              </w:rPr>
            </w:pPr>
          </w:p>
        </w:tc>
        <w:tc>
          <w:tcPr>
            <w:tcW w:w="1666" w:type="dxa"/>
          </w:tcPr>
          <w:p w14:paraId="47F25F1B">
            <w:pPr>
              <w:widowControl w:val="0"/>
              <w:spacing w:line="360" w:lineRule="auto"/>
              <w:textAlignment w:val="auto"/>
              <w:rPr>
                <w:szCs w:val="21"/>
              </w:rPr>
            </w:pPr>
          </w:p>
        </w:tc>
      </w:tr>
      <w:tr w14:paraId="7B03A8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888" w:type="dxa"/>
            <w:gridSpan w:val="3"/>
            <w:vAlign w:val="center"/>
          </w:tcPr>
          <w:p w14:paraId="605024AB">
            <w:pPr>
              <w:widowControl w:val="0"/>
              <w:jc w:val="center"/>
              <w:textAlignment w:val="auto"/>
              <w:rPr>
                <w:szCs w:val="21"/>
              </w:rPr>
            </w:pPr>
            <w:r>
              <w:rPr>
                <w:rFonts w:hint="eastAsia"/>
                <w:szCs w:val="21"/>
              </w:rPr>
              <w:t>合计</w:t>
            </w:r>
          </w:p>
        </w:tc>
        <w:tc>
          <w:tcPr>
            <w:tcW w:w="1392" w:type="dxa"/>
          </w:tcPr>
          <w:p w14:paraId="18A7B268">
            <w:pPr>
              <w:widowControl w:val="0"/>
              <w:spacing w:line="360" w:lineRule="auto"/>
              <w:textAlignment w:val="auto"/>
              <w:rPr>
                <w:szCs w:val="21"/>
              </w:rPr>
            </w:pPr>
          </w:p>
        </w:tc>
        <w:tc>
          <w:tcPr>
            <w:tcW w:w="1666" w:type="dxa"/>
          </w:tcPr>
          <w:p w14:paraId="612BED40">
            <w:pPr>
              <w:widowControl w:val="0"/>
              <w:spacing w:line="360" w:lineRule="auto"/>
              <w:textAlignment w:val="auto"/>
              <w:rPr>
                <w:szCs w:val="21"/>
              </w:rPr>
            </w:pPr>
          </w:p>
        </w:tc>
      </w:tr>
    </w:tbl>
    <w:p w14:paraId="09509977">
      <w:pPr>
        <w:widowControl w:val="0"/>
        <w:spacing w:line="240" w:lineRule="atLeast"/>
        <w:textAlignment w:val="auto"/>
        <w:rPr>
          <w:sz w:val="18"/>
          <w:szCs w:val="18"/>
        </w:rPr>
      </w:pPr>
      <w:r>
        <w:rPr>
          <w:rFonts w:hint="eastAsia"/>
          <w:sz w:val="18"/>
          <w:szCs w:val="18"/>
        </w:rPr>
        <w:t>注：此表由招标人填写，如不能详列，也可以只列暂列金额总额，投标人应当将上述暂列金额计入投标总价中。</w:t>
      </w:r>
    </w:p>
    <w:p w14:paraId="4015AAAE">
      <w:pPr>
        <w:widowControl w:val="0"/>
        <w:tabs>
          <w:tab w:val="left" w:pos="6135"/>
        </w:tabs>
        <w:textAlignment w:val="auto"/>
        <w:rPr>
          <w:rFonts w:eastAsia="黑体"/>
        </w:rPr>
      </w:pPr>
    </w:p>
    <w:p w14:paraId="620C4F59">
      <w:pPr>
        <w:widowControl w:val="0"/>
        <w:tabs>
          <w:tab w:val="left" w:pos="6135"/>
        </w:tabs>
        <w:textAlignment w:val="auto"/>
        <w:rPr>
          <w:rFonts w:eastAsia="黑体"/>
        </w:rPr>
      </w:pPr>
    </w:p>
    <w:p w14:paraId="7E792564">
      <w:pPr>
        <w:widowControl w:val="0"/>
        <w:tabs>
          <w:tab w:val="left" w:pos="6135"/>
        </w:tabs>
        <w:textAlignment w:val="auto"/>
        <w:rPr>
          <w:rFonts w:eastAsia="黑体"/>
        </w:rPr>
      </w:pPr>
    </w:p>
    <w:p w14:paraId="7928D7B7">
      <w:pPr>
        <w:widowControl w:val="0"/>
        <w:tabs>
          <w:tab w:val="left" w:pos="6135"/>
        </w:tabs>
        <w:textAlignment w:val="auto"/>
        <w:rPr>
          <w:rFonts w:eastAsia="黑体"/>
        </w:rPr>
      </w:pPr>
    </w:p>
    <w:p w14:paraId="144B38EB">
      <w:pPr>
        <w:widowControl w:val="0"/>
        <w:tabs>
          <w:tab w:val="left" w:pos="6135"/>
        </w:tabs>
        <w:textAlignment w:val="auto"/>
        <w:rPr>
          <w:rFonts w:eastAsia="黑体"/>
        </w:rPr>
      </w:pPr>
    </w:p>
    <w:p w14:paraId="0A7240FC">
      <w:pPr>
        <w:widowControl w:val="0"/>
        <w:tabs>
          <w:tab w:val="left" w:pos="6135"/>
        </w:tabs>
        <w:jc w:val="right"/>
        <w:textAlignment w:val="auto"/>
        <w:rPr>
          <w:rFonts w:eastAsia="黑体"/>
        </w:rPr>
      </w:pPr>
      <w:r>
        <w:rPr>
          <w:rFonts w:hint="eastAsia" w:eastAsia="黑体"/>
        </w:rPr>
        <w:t>表</w:t>
      </w:r>
      <w:r>
        <w:rPr>
          <w:rFonts w:eastAsia="黑体"/>
        </w:rPr>
        <w:t>-12-1</w:t>
      </w:r>
    </w:p>
    <w:p w14:paraId="203464A3">
      <w:pPr>
        <w:widowControl w:val="0"/>
        <w:tabs>
          <w:tab w:val="left" w:pos="6135"/>
        </w:tabs>
        <w:textAlignment w:val="auto"/>
        <w:rPr>
          <w:rFonts w:eastAsia="黑体"/>
        </w:rPr>
      </w:pPr>
    </w:p>
    <w:p w14:paraId="5E5985CF">
      <w:pPr>
        <w:widowControl w:val="0"/>
        <w:tabs>
          <w:tab w:val="left" w:pos="6135"/>
        </w:tabs>
        <w:textAlignment w:val="auto"/>
        <w:rPr>
          <w:rFonts w:eastAsia="黑体"/>
        </w:rPr>
      </w:pPr>
    </w:p>
    <w:p w14:paraId="6E4926D8">
      <w:pPr>
        <w:pStyle w:val="19"/>
      </w:pPr>
    </w:p>
    <w:p w14:paraId="689E4C9F">
      <w:pPr>
        <w:widowControl w:val="0"/>
        <w:tabs>
          <w:tab w:val="left" w:pos="6135"/>
        </w:tabs>
        <w:jc w:val="center"/>
        <w:textAlignment w:val="auto"/>
        <w:rPr>
          <w:rFonts w:eastAsia="黑体"/>
          <w:sz w:val="32"/>
          <w:szCs w:val="32"/>
        </w:rPr>
      </w:pPr>
      <w:r>
        <w:rPr>
          <w:rFonts w:eastAsia="黑体"/>
          <w:sz w:val="32"/>
          <w:szCs w:val="32"/>
        </w:rPr>
        <w:t>G.3</w:t>
      </w:r>
      <w:r>
        <w:rPr>
          <w:rFonts w:hint="eastAsia" w:eastAsia="黑体"/>
          <w:sz w:val="32"/>
          <w:szCs w:val="32"/>
        </w:rPr>
        <w:t>材料（工程设备）暂估单价明细表</w:t>
      </w:r>
    </w:p>
    <w:p w14:paraId="1BBD7CAB">
      <w:pPr>
        <w:widowControl w:val="0"/>
        <w:tabs>
          <w:tab w:val="left" w:pos="12120"/>
        </w:tabs>
        <w:spacing w:line="360" w:lineRule="auto"/>
        <w:ind w:left="105" w:hanging="105" w:hangingChars="50"/>
        <w:textAlignment w:val="auto"/>
        <w:rPr>
          <w:szCs w:val="21"/>
        </w:rPr>
      </w:pPr>
      <w:r>
        <w:rPr>
          <w:rFonts w:hint="eastAsia"/>
          <w:szCs w:val="21"/>
        </w:rPr>
        <w:t>工程名称：</w:t>
      </w:r>
      <w:r>
        <w:rPr>
          <w:szCs w:val="21"/>
        </w:rPr>
        <w:t xml:space="preserve">                             </w:t>
      </w:r>
      <w:r>
        <w:rPr>
          <w:rFonts w:hint="eastAsia"/>
          <w:szCs w:val="21"/>
        </w:rPr>
        <w:t>标段</w:t>
      </w:r>
      <w:r>
        <w:rPr>
          <w:szCs w:val="21"/>
        </w:rPr>
        <w:t xml:space="preserve"> </w:t>
      </w:r>
      <w:r>
        <w:rPr>
          <w:rFonts w:hint="eastAsia"/>
          <w:szCs w:val="21"/>
        </w:rPr>
        <w:t>：</w:t>
      </w:r>
      <w:r>
        <w:rPr>
          <w:szCs w:val="21"/>
        </w:rPr>
        <w:t xml:space="preserve">                    </w:t>
      </w:r>
      <w:r>
        <w:rPr>
          <w:rFonts w:hint="eastAsia"/>
          <w:szCs w:val="21"/>
        </w:rPr>
        <w:t>第</w:t>
      </w:r>
      <w:r>
        <w:rPr>
          <w:szCs w:val="21"/>
        </w:rPr>
        <w:t xml:space="preserve">  </w:t>
      </w:r>
      <w:r>
        <w:rPr>
          <w:rFonts w:hint="eastAsia"/>
          <w:szCs w:val="21"/>
        </w:rPr>
        <w:t>页</w:t>
      </w:r>
      <w:r>
        <w:rPr>
          <w:szCs w:val="21"/>
        </w:rPr>
        <w:t xml:space="preserve"> </w:t>
      </w:r>
      <w:r>
        <w:rPr>
          <w:rFonts w:hint="eastAsia"/>
          <w:szCs w:val="21"/>
        </w:rPr>
        <w:t>共</w:t>
      </w:r>
      <w:r>
        <w:rPr>
          <w:szCs w:val="21"/>
        </w:rPr>
        <w:t xml:space="preserve">  </w:t>
      </w:r>
      <w:r>
        <w:rPr>
          <w:rFonts w:hint="eastAsia"/>
          <w:szCs w:val="21"/>
        </w:rPr>
        <w:t>页</w:t>
      </w:r>
    </w:p>
    <w:tbl>
      <w:tblPr>
        <w:tblStyle w:val="45"/>
        <w:tblW w:w="9322"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82"/>
        <w:gridCol w:w="1426"/>
        <w:gridCol w:w="660"/>
        <w:gridCol w:w="670"/>
        <w:gridCol w:w="585"/>
        <w:gridCol w:w="585"/>
        <w:gridCol w:w="665"/>
        <w:gridCol w:w="608"/>
        <w:gridCol w:w="742"/>
        <w:gridCol w:w="831"/>
        <w:gridCol w:w="851"/>
        <w:gridCol w:w="1017"/>
      </w:tblGrid>
      <w:tr w14:paraId="227FEE9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05" w:hRule="atLeast"/>
          <w:jc w:val="center"/>
        </w:trPr>
        <w:tc>
          <w:tcPr>
            <w:tcW w:w="682" w:type="dxa"/>
            <w:vMerge w:val="restart"/>
            <w:tcBorders>
              <w:top w:val="single" w:color="auto" w:sz="8" w:space="0"/>
            </w:tcBorders>
            <w:vAlign w:val="center"/>
          </w:tcPr>
          <w:p w14:paraId="17C61B02">
            <w:pPr>
              <w:widowControl w:val="0"/>
              <w:jc w:val="center"/>
              <w:textAlignment w:val="auto"/>
              <w:rPr>
                <w:sz w:val="18"/>
                <w:szCs w:val="18"/>
              </w:rPr>
            </w:pPr>
            <w:r>
              <w:rPr>
                <w:rFonts w:hint="eastAsia"/>
                <w:sz w:val="18"/>
                <w:szCs w:val="18"/>
              </w:rPr>
              <w:t>序号</w:t>
            </w:r>
          </w:p>
        </w:tc>
        <w:tc>
          <w:tcPr>
            <w:tcW w:w="1426" w:type="dxa"/>
            <w:vMerge w:val="restart"/>
            <w:tcBorders>
              <w:top w:val="single" w:color="auto" w:sz="8" w:space="0"/>
            </w:tcBorders>
            <w:vAlign w:val="center"/>
          </w:tcPr>
          <w:p w14:paraId="0590788E">
            <w:pPr>
              <w:widowControl w:val="0"/>
              <w:jc w:val="center"/>
              <w:textAlignment w:val="auto"/>
              <w:rPr>
                <w:sz w:val="18"/>
                <w:szCs w:val="18"/>
              </w:rPr>
            </w:pPr>
            <w:r>
              <w:rPr>
                <w:rFonts w:hint="eastAsia"/>
                <w:sz w:val="18"/>
                <w:szCs w:val="18"/>
              </w:rPr>
              <w:t>材料（工程设备）名称、规格、型号</w:t>
            </w:r>
          </w:p>
        </w:tc>
        <w:tc>
          <w:tcPr>
            <w:tcW w:w="660" w:type="dxa"/>
            <w:vMerge w:val="restart"/>
            <w:tcBorders>
              <w:top w:val="single" w:color="auto" w:sz="8" w:space="0"/>
            </w:tcBorders>
            <w:vAlign w:val="center"/>
          </w:tcPr>
          <w:p w14:paraId="44301BF6">
            <w:pPr>
              <w:widowControl w:val="0"/>
              <w:jc w:val="center"/>
              <w:textAlignment w:val="auto"/>
              <w:rPr>
                <w:sz w:val="18"/>
                <w:szCs w:val="18"/>
              </w:rPr>
            </w:pPr>
            <w:r>
              <w:rPr>
                <w:rFonts w:hint="eastAsia"/>
                <w:sz w:val="18"/>
                <w:szCs w:val="18"/>
              </w:rPr>
              <w:t>计量</w:t>
            </w:r>
          </w:p>
          <w:p w14:paraId="229A1999">
            <w:pPr>
              <w:widowControl w:val="0"/>
              <w:jc w:val="center"/>
              <w:textAlignment w:val="auto"/>
              <w:rPr>
                <w:sz w:val="18"/>
                <w:szCs w:val="18"/>
              </w:rPr>
            </w:pPr>
            <w:r>
              <w:rPr>
                <w:rFonts w:hint="eastAsia"/>
                <w:sz w:val="18"/>
                <w:szCs w:val="18"/>
              </w:rPr>
              <w:t>单位</w:t>
            </w:r>
          </w:p>
        </w:tc>
        <w:tc>
          <w:tcPr>
            <w:tcW w:w="1255" w:type="dxa"/>
            <w:gridSpan w:val="2"/>
            <w:tcBorders>
              <w:top w:val="single" w:color="auto" w:sz="8" w:space="0"/>
            </w:tcBorders>
            <w:vAlign w:val="center"/>
          </w:tcPr>
          <w:p w14:paraId="3A06F87E">
            <w:pPr>
              <w:widowControl w:val="0"/>
              <w:jc w:val="center"/>
              <w:textAlignment w:val="auto"/>
              <w:rPr>
                <w:sz w:val="18"/>
                <w:szCs w:val="18"/>
              </w:rPr>
            </w:pPr>
            <w:r>
              <w:rPr>
                <w:rFonts w:hint="eastAsia"/>
                <w:sz w:val="18"/>
                <w:szCs w:val="18"/>
              </w:rPr>
              <w:t>数量</w:t>
            </w:r>
          </w:p>
        </w:tc>
        <w:tc>
          <w:tcPr>
            <w:tcW w:w="1250" w:type="dxa"/>
            <w:gridSpan w:val="2"/>
            <w:tcBorders>
              <w:top w:val="single" w:color="auto" w:sz="8" w:space="0"/>
            </w:tcBorders>
            <w:vAlign w:val="center"/>
          </w:tcPr>
          <w:p w14:paraId="141D7CC9">
            <w:pPr>
              <w:widowControl w:val="0"/>
              <w:textAlignment w:val="auto"/>
              <w:rPr>
                <w:sz w:val="18"/>
                <w:szCs w:val="18"/>
              </w:rPr>
            </w:pPr>
            <w:r>
              <w:rPr>
                <w:rFonts w:hint="eastAsia"/>
                <w:sz w:val="18"/>
                <w:szCs w:val="18"/>
              </w:rPr>
              <w:t>暂估（元）</w:t>
            </w:r>
          </w:p>
        </w:tc>
        <w:tc>
          <w:tcPr>
            <w:tcW w:w="1350" w:type="dxa"/>
            <w:gridSpan w:val="2"/>
            <w:tcBorders>
              <w:top w:val="single" w:color="auto" w:sz="8" w:space="0"/>
            </w:tcBorders>
            <w:vAlign w:val="center"/>
          </w:tcPr>
          <w:p w14:paraId="1F1DEB45">
            <w:pPr>
              <w:widowControl w:val="0"/>
              <w:jc w:val="center"/>
              <w:textAlignment w:val="auto"/>
              <w:rPr>
                <w:sz w:val="18"/>
                <w:szCs w:val="18"/>
              </w:rPr>
            </w:pPr>
            <w:r>
              <w:rPr>
                <w:rFonts w:hint="eastAsia"/>
                <w:sz w:val="18"/>
                <w:szCs w:val="18"/>
              </w:rPr>
              <w:t>确认（元）</w:t>
            </w:r>
          </w:p>
        </w:tc>
        <w:tc>
          <w:tcPr>
            <w:tcW w:w="1682" w:type="dxa"/>
            <w:gridSpan w:val="2"/>
            <w:tcBorders>
              <w:top w:val="single" w:color="auto" w:sz="8" w:space="0"/>
            </w:tcBorders>
            <w:vAlign w:val="center"/>
          </w:tcPr>
          <w:p w14:paraId="2D5D0B4E">
            <w:pPr>
              <w:widowControl w:val="0"/>
              <w:jc w:val="center"/>
              <w:textAlignment w:val="auto"/>
              <w:rPr>
                <w:sz w:val="18"/>
                <w:szCs w:val="18"/>
              </w:rPr>
            </w:pPr>
            <w:r>
              <w:rPr>
                <w:rFonts w:hint="eastAsia"/>
                <w:sz w:val="18"/>
                <w:szCs w:val="18"/>
              </w:rPr>
              <w:t>差额</w:t>
            </w:r>
            <w:r>
              <w:rPr>
                <w:sz w:val="18"/>
                <w:szCs w:val="18"/>
              </w:rPr>
              <w:t>+</w:t>
            </w:r>
            <w:r>
              <w:rPr>
                <w:rFonts w:hint="eastAsia"/>
                <w:sz w:val="18"/>
                <w:szCs w:val="18"/>
              </w:rPr>
              <w:t>（元）</w:t>
            </w:r>
          </w:p>
        </w:tc>
        <w:tc>
          <w:tcPr>
            <w:tcW w:w="1017" w:type="dxa"/>
            <w:tcBorders>
              <w:top w:val="single" w:color="auto" w:sz="8" w:space="0"/>
            </w:tcBorders>
            <w:vAlign w:val="center"/>
          </w:tcPr>
          <w:p w14:paraId="1E542509">
            <w:pPr>
              <w:widowControl w:val="0"/>
              <w:jc w:val="center"/>
              <w:textAlignment w:val="auto"/>
              <w:rPr>
                <w:sz w:val="18"/>
                <w:szCs w:val="18"/>
              </w:rPr>
            </w:pPr>
            <w:r>
              <w:rPr>
                <w:rFonts w:hint="eastAsia"/>
                <w:sz w:val="18"/>
                <w:szCs w:val="18"/>
              </w:rPr>
              <w:t>备注</w:t>
            </w:r>
          </w:p>
        </w:tc>
      </w:tr>
      <w:tr w14:paraId="33AFC60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9" w:hRule="atLeast"/>
          <w:jc w:val="center"/>
        </w:trPr>
        <w:tc>
          <w:tcPr>
            <w:tcW w:w="682" w:type="dxa"/>
            <w:vMerge w:val="continue"/>
            <w:vAlign w:val="center"/>
          </w:tcPr>
          <w:p w14:paraId="4923D674">
            <w:pPr>
              <w:widowControl w:val="0"/>
              <w:jc w:val="center"/>
              <w:textAlignment w:val="auto"/>
              <w:rPr>
                <w:sz w:val="18"/>
                <w:szCs w:val="18"/>
              </w:rPr>
            </w:pPr>
          </w:p>
        </w:tc>
        <w:tc>
          <w:tcPr>
            <w:tcW w:w="1426" w:type="dxa"/>
            <w:vMerge w:val="continue"/>
            <w:vAlign w:val="center"/>
          </w:tcPr>
          <w:p w14:paraId="24B5B611">
            <w:pPr>
              <w:widowControl w:val="0"/>
              <w:jc w:val="center"/>
              <w:textAlignment w:val="auto"/>
              <w:rPr>
                <w:sz w:val="18"/>
                <w:szCs w:val="18"/>
              </w:rPr>
            </w:pPr>
          </w:p>
        </w:tc>
        <w:tc>
          <w:tcPr>
            <w:tcW w:w="660" w:type="dxa"/>
            <w:vMerge w:val="continue"/>
            <w:vAlign w:val="center"/>
          </w:tcPr>
          <w:p w14:paraId="7187A9BE">
            <w:pPr>
              <w:widowControl w:val="0"/>
              <w:jc w:val="center"/>
              <w:textAlignment w:val="auto"/>
              <w:rPr>
                <w:sz w:val="18"/>
                <w:szCs w:val="18"/>
              </w:rPr>
            </w:pPr>
          </w:p>
        </w:tc>
        <w:tc>
          <w:tcPr>
            <w:tcW w:w="670" w:type="dxa"/>
            <w:vAlign w:val="center"/>
          </w:tcPr>
          <w:p w14:paraId="26BD22BB">
            <w:pPr>
              <w:widowControl w:val="0"/>
              <w:jc w:val="center"/>
              <w:textAlignment w:val="auto"/>
              <w:rPr>
                <w:sz w:val="18"/>
                <w:szCs w:val="18"/>
              </w:rPr>
            </w:pPr>
            <w:r>
              <w:rPr>
                <w:rFonts w:hint="eastAsia"/>
                <w:sz w:val="18"/>
                <w:szCs w:val="18"/>
              </w:rPr>
              <w:t>暂估</w:t>
            </w:r>
          </w:p>
        </w:tc>
        <w:tc>
          <w:tcPr>
            <w:tcW w:w="585" w:type="dxa"/>
            <w:vAlign w:val="center"/>
          </w:tcPr>
          <w:p w14:paraId="0FC67D6D">
            <w:pPr>
              <w:widowControl w:val="0"/>
              <w:jc w:val="center"/>
              <w:textAlignment w:val="auto"/>
              <w:rPr>
                <w:sz w:val="18"/>
                <w:szCs w:val="18"/>
              </w:rPr>
            </w:pPr>
            <w:r>
              <w:rPr>
                <w:rFonts w:hint="eastAsia"/>
                <w:sz w:val="18"/>
                <w:szCs w:val="18"/>
              </w:rPr>
              <w:t>确认</w:t>
            </w:r>
          </w:p>
        </w:tc>
        <w:tc>
          <w:tcPr>
            <w:tcW w:w="585" w:type="dxa"/>
            <w:vAlign w:val="center"/>
          </w:tcPr>
          <w:p w14:paraId="537105F8">
            <w:pPr>
              <w:widowControl w:val="0"/>
              <w:jc w:val="center"/>
              <w:textAlignment w:val="auto"/>
              <w:rPr>
                <w:sz w:val="18"/>
                <w:szCs w:val="18"/>
              </w:rPr>
            </w:pPr>
            <w:r>
              <w:rPr>
                <w:rFonts w:hint="eastAsia"/>
                <w:sz w:val="18"/>
                <w:szCs w:val="18"/>
              </w:rPr>
              <w:t>单价</w:t>
            </w:r>
          </w:p>
        </w:tc>
        <w:tc>
          <w:tcPr>
            <w:tcW w:w="665" w:type="dxa"/>
            <w:vAlign w:val="center"/>
          </w:tcPr>
          <w:p w14:paraId="186CC961">
            <w:pPr>
              <w:widowControl w:val="0"/>
              <w:jc w:val="center"/>
              <w:textAlignment w:val="auto"/>
              <w:rPr>
                <w:sz w:val="18"/>
                <w:szCs w:val="18"/>
              </w:rPr>
            </w:pPr>
            <w:r>
              <w:rPr>
                <w:rFonts w:hint="eastAsia"/>
                <w:sz w:val="18"/>
                <w:szCs w:val="18"/>
              </w:rPr>
              <w:t>合价</w:t>
            </w:r>
          </w:p>
        </w:tc>
        <w:tc>
          <w:tcPr>
            <w:tcW w:w="608" w:type="dxa"/>
            <w:vAlign w:val="center"/>
          </w:tcPr>
          <w:p w14:paraId="38F2FF15">
            <w:pPr>
              <w:widowControl w:val="0"/>
              <w:jc w:val="center"/>
              <w:textAlignment w:val="auto"/>
              <w:rPr>
                <w:sz w:val="18"/>
                <w:szCs w:val="18"/>
              </w:rPr>
            </w:pPr>
            <w:r>
              <w:rPr>
                <w:rFonts w:hint="eastAsia"/>
                <w:sz w:val="18"/>
                <w:szCs w:val="18"/>
              </w:rPr>
              <w:t>单价</w:t>
            </w:r>
          </w:p>
        </w:tc>
        <w:tc>
          <w:tcPr>
            <w:tcW w:w="742" w:type="dxa"/>
            <w:vAlign w:val="center"/>
          </w:tcPr>
          <w:p w14:paraId="64E07048">
            <w:pPr>
              <w:widowControl w:val="0"/>
              <w:jc w:val="center"/>
              <w:textAlignment w:val="auto"/>
              <w:rPr>
                <w:sz w:val="18"/>
                <w:szCs w:val="18"/>
              </w:rPr>
            </w:pPr>
            <w:r>
              <w:rPr>
                <w:rFonts w:hint="eastAsia"/>
                <w:sz w:val="18"/>
                <w:szCs w:val="18"/>
              </w:rPr>
              <w:t>合价</w:t>
            </w:r>
          </w:p>
        </w:tc>
        <w:tc>
          <w:tcPr>
            <w:tcW w:w="831" w:type="dxa"/>
            <w:vAlign w:val="center"/>
          </w:tcPr>
          <w:p w14:paraId="0A2D2EA2">
            <w:pPr>
              <w:widowControl w:val="0"/>
              <w:jc w:val="center"/>
              <w:textAlignment w:val="auto"/>
              <w:rPr>
                <w:sz w:val="18"/>
                <w:szCs w:val="18"/>
              </w:rPr>
            </w:pPr>
            <w:r>
              <w:rPr>
                <w:rFonts w:hint="eastAsia"/>
                <w:sz w:val="18"/>
                <w:szCs w:val="18"/>
              </w:rPr>
              <w:t>单价</w:t>
            </w:r>
          </w:p>
        </w:tc>
        <w:tc>
          <w:tcPr>
            <w:tcW w:w="851" w:type="dxa"/>
            <w:vAlign w:val="center"/>
          </w:tcPr>
          <w:p w14:paraId="2637F6B4">
            <w:pPr>
              <w:widowControl w:val="0"/>
              <w:jc w:val="center"/>
              <w:textAlignment w:val="auto"/>
              <w:rPr>
                <w:sz w:val="18"/>
                <w:szCs w:val="18"/>
              </w:rPr>
            </w:pPr>
            <w:r>
              <w:rPr>
                <w:rFonts w:hint="eastAsia"/>
                <w:sz w:val="18"/>
                <w:szCs w:val="18"/>
              </w:rPr>
              <w:t>合价</w:t>
            </w:r>
          </w:p>
        </w:tc>
        <w:tc>
          <w:tcPr>
            <w:tcW w:w="1017" w:type="dxa"/>
            <w:vAlign w:val="center"/>
          </w:tcPr>
          <w:p w14:paraId="25889871">
            <w:pPr>
              <w:widowControl w:val="0"/>
              <w:jc w:val="center"/>
              <w:textAlignment w:val="auto"/>
              <w:rPr>
                <w:sz w:val="18"/>
                <w:szCs w:val="18"/>
              </w:rPr>
            </w:pPr>
          </w:p>
        </w:tc>
      </w:tr>
      <w:tr w14:paraId="59750A3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682" w:type="dxa"/>
            <w:vAlign w:val="center"/>
          </w:tcPr>
          <w:p w14:paraId="40DF4349">
            <w:pPr>
              <w:widowControl w:val="0"/>
              <w:spacing w:line="360" w:lineRule="auto"/>
              <w:jc w:val="center"/>
              <w:textAlignment w:val="auto"/>
              <w:rPr>
                <w:szCs w:val="21"/>
              </w:rPr>
            </w:pPr>
          </w:p>
        </w:tc>
        <w:tc>
          <w:tcPr>
            <w:tcW w:w="1426" w:type="dxa"/>
          </w:tcPr>
          <w:p w14:paraId="7A29E177">
            <w:pPr>
              <w:widowControl w:val="0"/>
              <w:spacing w:line="360" w:lineRule="auto"/>
              <w:textAlignment w:val="auto"/>
              <w:rPr>
                <w:szCs w:val="21"/>
              </w:rPr>
            </w:pPr>
          </w:p>
        </w:tc>
        <w:tc>
          <w:tcPr>
            <w:tcW w:w="660" w:type="dxa"/>
          </w:tcPr>
          <w:p w14:paraId="29763E67">
            <w:pPr>
              <w:widowControl w:val="0"/>
              <w:spacing w:line="360" w:lineRule="auto"/>
              <w:textAlignment w:val="auto"/>
              <w:rPr>
                <w:szCs w:val="21"/>
              </w:rPr>
            </w:pPr>
          </w:p>
        </w:tc>
        <w:tc>
          <w:tcPr>
            <w:tcW w:w="670" w:type="dxa"/>
          </w:tcPr>
          <w:p w14:paraId="365CD7CC">
            <w:pPr>
              <w:widowControl w:val="0"/>
              <w:spacing w:line="360" w:lineRule="auto"/>
              <w:textAlignment w:val="auto"/>
              <w:rPr>
                <w:szCs w:val="21"/>
              </w:rPr>
            </w:pPr>
          </w:p>
        </w:tc>
        <w:tc>
          <w:tcPr>
            <w:tcW w:w="585" w:type="dxa"/>
          </w:tcPr>
          <w:p w14:paraId="65ED7449">
            <w:pPr>
              <w:widowControl w:val="0"/>
              <w:spacing w:line="360" w:lineRule="auto"/>
              <w:textAlignment w:val="auto"/>
              <w:rPr>
                <w:szCs w:val="21"/>
              </w:rPr>
            </w:pPr>
          </w:p>
        </w:tc>
        <w:tc>
          <w:tcPr>
            <w:tcW w:w="585" w:type="dxa"/>
          </w:tcPr>
          <w:p w14:paraId="5E0C4EB3">
            <w:pPr>
              <w:widowControl w:val="0"/>
              <w:spacing w:line="360" w:lineRule="auto"/>
              <w:textAlignment w:val="auto"/>
              <w:rPr>
                <w:szCs w:val="21"/>
              </w:rPr>
            </w:pPr>
          </w:p>
        </w:tc>
        <w:tc>
          <w:tcPr>
            <w:tcW w:w="665" w:type="dxa"/>
          </w:tcPr>
          <w:p w14:paraId="445BDC66">
            <w:pPr>
              <w:widowControl w:val="0"/>
              <w:spacing w:line="360" w:lineRule="auto"/>
              <w:textAlignment w:val="auto"/>
              <w:rPr>
                <w:szCs w:val="21"/>
              </w:rPr>
            </w:pPr>
          </w:p>
        </w:tc>
        <w:tc>
          <w:tcPr>
            <w:tcW w:w="608" w:type="dxa"/>
          </w:tcPr>
          <w:p w14:paraId="7AC2C228">
            <w:pPr>
              <w:widowControl w:val="0"/>
              <w:spacing w:line="360" w:lineRule="auto"/>
              <w:textAlignment w:val="auto"/>
              <w:rPr>
                <w:szCs w:val="21"/>
              </w:rPr>
            </w:pPr>
          </w:p>
        </w:tc>
        <w:tc>
          <w:tcPr>
            <w:tcW w:w="742" w:type="dxa"/>
          </w:tcPr>
          <w:p w14:paraId="20324801">
            <w:pPr>
              <w:widowControl w:val="0"/>
              <w:spacing w:line="360" w:lineRule="auto"/>
              <w:textAlignment w:val="auto"/>
              <w:rPr>
                <w:szCs w:val="21"/>
              </w:rPr>
            </w:pPr>
          </w:p>
        </w:tc>
        <w:tc>
          <w:tcPr>
            <w:tcW w:w="831" w:type="dxa"/>
          </w:tcPr>
          <w:p w14:paraId="18CD5B5A">
            <w:pPr>
              <w:widowControl w:val="0"/>
              <w:spacing w:line="360" w:lineRule="auto"/>
              <w:textAlignment w:val="auto"/>
              <w:rPr>
                <w:szCs w:val="21"/>
              </w:rPr>
            </w:pPr>
          </w:p>
        </w:tc>
        <w:tc>
          <w:tcPr>
            <w:tcW w:w="851" w:type="dxa"/>
          </w:tcPr>
          <w:p w14:paraId="0FB04AD8">
            <w:pPr>
              <w:widowControl w:val="0"/>
              <w:spacing w:line="360" w:lineRule="auto"/>
              <w:textAlignment w:val="auto"/>
              <w:rPr>
                <w:szCs w:val="21"/>
              </w:rPr>
            </w:pPr>
          </w:p>
        </w:tc>
        <w:tc>
          <w:tcPr>
            <w:tcW w:w="1017" w:type="dxa"/>
          </w:tcPr>
          <w:p w14:paraId="5268ED07">
            <w:pPr>
              <w:widowControl w:val="0"/>
              <w:spacing w:line="360" w:lineRule="auto"/>
              <w:textAlignment w:val="auto"/>
              <w:rPr>
                <w:szCs w:val="21"/>
              </w:rPr>
            </w:pPr>
          </w:p>
        </w:tc>
      </w:tr>
      <w:tr w14:paraId="60776DB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682" w:type="dxa"/>
            <w:vAlign w:val="center"/>
          </w:tcPr>
          <w:p w14:paraId="1A755464">
            <w:pPr>
              <w:widowControl w:val="0"/>
              <w:spacing w:line="360" w:lineRule="auto"/>
              <w:jc w:val="center"/>
              <w:textAlignment w:val="auto"/>
              <w:rPr>
                <w:szCs w:val="21"/>
              </w:rPr>
            </w:pPr>
          </w:p>
        </w:tc>
        <w:tc>
          <w:tcPr>
            <w:tcW w:w="1426" w:type="dxa"/>
          </w:tcPr>
          <w:p w14:paraId="3272E92C">
            <w:pPr>
              <w:widowControl w:val="0"/>
              <w:spacing w:line="360" w:lineRule="auto"/>
              <w:textAlignment w:val="auto"/>
              <w:rPr>
                <w:szCs w:val="21"/>
              </w:rPr>
            </w:pPr>
          </w:p>
        </w:tc>
        <w:tc>
          <w:tcPr>
            <w:tcW w:w="660" w:type="dxa"/>
          </w:tcPr>
          <w:p w14:paraId="39413230">
            <w:pPr>
              <w:widowControl w:val="0"/>
              <w:spacing w:line="360" w:lineRule="auto"/>
              <w:textAlignment w:val="auto"/>
              <w:rPr>
                <w:szCs w:val="21"/>
              </w:rPr>
            </w:pPr>
          </w:p>
        </w:tc>
        <w:tc>
          <w:tcPr>
            <w:tcW w:w="670" w:type="dxa"/>
          </w:tcPr>
          <w:p w14:paraId="786EB61C">
            <w:pPr>
              <w:widowControl w:val="0"/>
              <w:spacing w:line="360" w:lineRule="auto"/>
              <w:textAlignment w:val="auto"/>
              <w:rPr>
                <w:szCs w:val="21"/>
              </w:rPr>
            </w:pPr>
          </w:p>
        </w:tc>
        <w:tc>
          <w:tcPr>
            <w:tcW w:w="585" w:type="dxa"/>
          </w:tcPr>
          <w:p w14:paraId="751788EF">
            <w:pPr>
              <w:widowControl w:val="0"/>
              <w:spacing w:line="360" w:lineRule="auto"/>
              <w:textAlignment w:val="auto"/>
              <w:rPr>
                <w:szCs w:val="21"/>
              </w:rPr>
            </w:pPr>
          </w:p>
        </w:tc>
        <w:tc>
          <w:tcPr>
            <w:tcW w:w="585" w:type="dxa"/>
          </w:tcPr>
          <w:p w14:paraId="31AF3696">
            <w:pPr>
              <w:widowControl w:val="0"/>
              <w:spacing w:line="360" w:lineRule="auto"/>
              <w:textAlignment w:val="auto"/>
              <w:rPr>
                <w:szCs w:val="21"/>
              </w:rPr>
            </w:pPr>
          </w:p>
        </w:tc>
        <w:tc>
          <w:tcPr>
            <w:tcW w:w="665" w:type="dxa"/>
          </w:tcPr>
          <w:p w14:paraId="07DA7FC3">
            <w:pPr>
              <w:widowControl w:val="0"/>
              <w:spacing w:line="360" w:lineRule="auto"/>
              <w:textAlignment w:val="auto"/>
              <w:rPr>
                <w:szCs w:val="21"/>
              </w:rPr>
            </w:pPr>
          </w:p>
        </w:tc>
        <w:tc>
          <w:tcPr>
            <w:tcW w:w="608" w:type="dxa"/>
          </w:tcPr>
          <w:p w14:paraId="4C3F7674">
            <w:pPr>
              <w:widowControl w:val="0"/>
              <w:spacing w:line="360" w:lineRule="auto"/>
              <w:textAlignment w:val="auto"/>
              <w:rPr>
                <w:szCs w:val="21"/>
              </w:rPr>
            </w:pPr>
          </w:p>
        </w:tc>
        <w:tc>
          <w:tcPr>
            <w:tcW w:w="742" w:type="dxa"/>
          </w:tcPr>
          <w:p w14:paraId="1E20AF7A">
            <w:pPr>
              <w:widowControl w:val="0"/>
              <w:spacing w:line="360" w:lineRule="auto"/>
              <w:textAlignment w:val="auto"/>
              <w:rPr>
                <w:szCs w:val="21"/>
              </w:rPr>
            </w:pPr>
          </w:p>
        </w:tc>
        <w:tc>
          <w:tcPr>
            <w:tcW w:w="831" w:type="dxa"/>
          </w:tcPr>
          <w:p w14:paraId="0D990F3A">
            <w:pPr>
              <w:widowControl w:val="0"/>
              <w:spacing w:line="360" w:lineRule="auto"/>
              <w:textAlignment w:val="auto"/>
              <w:rPr>
                <w:szCs w:val="21"/>
              </w:rPr>
            </w:pPr>
          </w:p>
        </w:tc>
        <w:tc>
          <w:tcPr>
            <w:tcW w:w="851" w:type="dxa"/>
          </w:tcPr>
          <w:p w14:paraId="7E16C7CF">
            <w:pPr>
              <w:widowControl w:val="0"/>
              <w:spacing w:line="360" w:lineRule="auto"/>
              <w:textAlignment w:val="auto"/>
              <w:rPr>
                <w:szCs w:val="21"/>
              </w:rPr>
            </w:pPr>
          </w:p>
        </w:tc>
        <w:tc>
          <w:tcPr>
            <w:tcW w:w="1017" w:type="dxa"/>
          </w:tcPr>
          <w:p w14:paraId="5BA130C1">
            <w:pPr>
              <w:widowControl w:val="0"/>
              <w:spacing w:line="360" w:lineRule="auto"/>
              <w:textAlignment w:val="auto"/>
              <w:rPr>
                <w:szCs w:val="21"/>
              </w:rPr>
            </w:pPr>
          </w:p>
        </w:tc>
      </w:tr>
      <w:tr w14:paraId="4E4578E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682" w:type="dxa"/>
            <w:vAlign w:val="center"/>
          </w:tcPr>
          <w:p w14:paraId="1A9421E4">
            <w:pPr>
              <w:widowControl w:val="0"/>
              <w:spacing w:line="360" w:lineRule="auto"/>
              <w:jc w:val="center"/>
              <w:textAlignment w:val="auto"/>
              <w:rPr>
                <w:szCs w:val="21"/>
              </w:rPr>
            </w:pPr>
          </w:p>
        </w:tc>
        <w:tc>
          <w:tcPr>
            <w:tcW w:w="1426" w:type="dxa"/>
          </w:tcPr>
          <w:p w14:paraId="0110E7F9">
            <w:pPr>
              <w:widowControl w:val="0"/>
              <w:spacing w:line="360" w:lineRule="auto"/>
              <w:textAlignment w:val="auto"/>
              <w:rPr>
                <w:szCs w:val="21"/>
              </w:rPr>
            </w:pPr>
          </w:p>
        </w:tc>
        <w:tc>
          <w:tcPr>
            <w:tcW w:w="660" w:type="dxa"/>
          </w:tcPr>
          <w:p w14:paraId="52753487">
            <w:pPr>
              <w:widowControl w:val="0"/>
              <w:spacing w:line="360" w:lineRule="auto"/>
              <w:textAlignment w:val="auto"/>
              <w:rPr>
                <w:szCs w:val="21"/>
              </w:rPr>
            </w:pPr>
          </w:p>
        </w:tc>
        <w:tc>
          <w:tcPr>
            <w:tcW w:w="670" w:type="dxa"/>
          </w:tcPr>
          <w:p w14:paraId="513C5835">
            <w:pPr>
              <w:widowControl w:val="0"/>
              <w:spacing w:line="360" w:lineRule="auto"/>
              <w:textAlignment w:val="auto"/>
              <w:rPr>
                <w:szCs w:val="21"/>
              </w:rPr>
            </w:pPr>
          </w:p>
        </w:tc>
        <w:tc>
          <w:tcPr>
            <w:tcW w:w="585" w:type="dxa"/>
          </w:tcPr>
          <w:p w14:paraId="6895F0A7">
            <w:pPr>
              <w:widowControl w:val="0"/>
              <w:spacing w:line="360" w:lineRule="auto"/>
              <w:textAlignment w:val="auto"/>
              <w:rPr>
                <w:szCs w:val="21"/>
              </w:rPr>
            </w:pPr>
          </w:p>
        </w:tc>
        <w:tc>
          <w:tcPr>
            <w:tcW w:w="585" w:type="dxa"/>
          </w:tcPr>
          <w:p w14:paraId="3629923B">
            <w:pPr>
              <w:widowControl w:val="0"/>
              <w:spacing w:line="360" w:lineRule="auto"/>
              <w:textAlignment w:val="auto"/>
              <w:rPr>
                <w:szCs w:val="21"/>
              </w:rPr>
            </w:pPr>
          </w:p>
        </w:tc>
        <w:tc>
          <w:tcPr>
            <w:tcW w:w="665" w:type="dxa"/>
          </w:tcPr>
          <w:p w14:paraId="12A4C39C">
            <w:pPr>
              <w:widowControl w:val="0"/>
              <w:spacing w:line="360" w:lineRule="auto"/>
              <w:textAlignment w:val="auto"/>
              <w:rPr>
                <w:szCs w:val="21"/>
              </w:rPr>
            </w:pPr>
          </w:p>
        </w:tc>
        <w:tc>
          <w:tcPr>
            <w:tcW w:w="608" w:type="dxa"/>
          </w:tcPr>
          <w:p w14:paraId="6ED70518">
            <w:pPr>
              <w:widowControl w:val="0"/>
              <w:spacing w:line="360" w:lineRule="auto"/>
              <w:textAlignment w:val="auto"/>
              <w:rPr>
                <w:szCs w:val="21"/>
              </w:rPr>
            </w:pPr>
          </w:p>
        </w:tc>
        <w:tc>
          <w:tcPr>
            <w:tcW w:w="742" w:type="dxa"/>
          </w:tcPr>
          <w:p w14:paraId="1C7F9C0C">
            <w:pPr>
              <w:widowControl w:val="0"/>
              <w:spacing w:line="360" w:lineRule="auto"/>
              <w:textAlignment w:val="auto"/>
              <w:rPr>
                <w:szCs w:val="21"/>
              </w:rPr>
            </w:pPr>
          </w:p>
        </w:tc>
        <w:tc>
          <w:tcPr>
            <w:tcW w:w="831" w:type="dxa"/>
          </w:tcPr>
          <w:p w14:paraId="225A468E">
            <w:pPr>
              <w:widowControl w:val="0"/>
              <w:spacing w:line="360" w:lineRule="auto"/>
              <w:textAlignment w:val="auto"/>
              <w:rPr>
                <w:szCs w:val="21"/>
              </w:rPr>
            </w:pPr>
          </w:p>
        </w:tc>
        <w:tc>
          <w:tcPr>
            <w:tcW w:w="851" w:type="dxa"/>
          </w:tcPr>
          <w:p w14:paraId="135055CC">
            <w:pPr>
              <w:widowControl w:val="0"/>
              <w:spacing w:line="360" w:lineRule="auto"/>
              <w:textAlignment w:val="auto"/>
              <w:rPr>
                <w:szCs w:val="21"/>
              </w:rPr>
            </w:pPr>
          </w:p>
        </w:tc>
        <w:tc>
          <w:tcPr>
            <w:tcW w:w="1017" w:type="dxa"/>
          </w:tcPr>
          <w:p w14:paraId="7D2B9417">
            <w:pPr>
              <w:widowControl w:val="0"/>
              <w:spacing w:line="360" w:lineRule="auto"/>
              <w:textAlignment w:val="auto"/>
              <w:rPr>
                <w:szCs w:val="21"/>
              </w:rPr>
            </w:pPr>
          </w:p>
        </w:tc>
      </w:tr>
      <w:tr w14:paraId="1F1B3C4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682" w:type="dxa"/>
            <w:vAlign w:val="center"/>
          </w:tcPr>
          <w:p w14:paraId="60123AE4">
            <w:pPr>
              <w:widowControl w:val="0"/>
              <w:spacing w:line="360" w:lineRule="auto"/>
              <w:jc w:val="center"/>
              <w:textAlignment w:val="auto"/>
              <w:rPr>
                <w:szCs w:val="21"/>
              </w:rPr>
            </w:pPr>
          </w:p>
        </w:tc>
        <w:tc>
          <w:tcPr>
            <w:tcW w:w="1426" w:type="dxa"/>
          </w:tcPr>
          <w:p w14:paraId="2E669D21">
            <w:pPr>
              <w:widowControl w:val="0"/>
              <w:spacing w:line="360" w:lineRule="auto"/>
              <w:textAlignment w:val="auto"/>
              <w:rPr>
                <w:szCs w:val="21"/>
              </w:rPr>
            </w:pPr>
          </w:p>
        </w:tc>
        <w:tc>
          <w:tcPr>
            <w:tcW w:w="660" w:type="dxa"/>
          </w:tcPr>
          <w:p w14:paraId="53C62A0D">
            <w:pPr>
              <w:widowControl w:val="0"/>
              <w:spacing w:line="360" w:lineRule="auto"/>
              <w:textAlignment w:val="auto"/>
              <w:rPr>
                <w:szCs w:val="21"/>
              </w:rPr>
            </w:pPr>
          </w:p>
        </w:tc>
        <w:tc>
          <w:tcPr>
            <w:tcW w:w="670" w:type="dxa"/>
          </w:tcPr>
          <w:p w14:paraId="5C7AA6D6">
            <w:pPr>
              <w:widowControl w:val="0"/>
              <w:spacing w:line="360" w:lineRule="auto"/>
              <w:textAlignment w:val="auto"/>
              <w:rPr>
                <w:szCs w:val="21"/>
              </w:rPr>
            </w:pPr>
          </w:p>
        </w:tc>
        <w:tc>
          <w:tcPr>
            <w:tcW w:w="585" w:type="dxa"/>
          </w:tcPr>
          <w:p w14:paraId="56E66DA1">
            <w:pPr>
              <w:widowControl w:val="0"/>
              <w:spacing w:line="360" w:lineRule="auto"/>
              <w:textAlignment w:val="auto"/>
              <w:rPr>
                <w:szCs w:val="21"/>
              </w:rPr>
            </w:pPr>
          </w:p>
        </w:tc>
        <w:tc>
          <w:tcPr>
            <w:tcW w:w="585" w:type="dxa"/>
          </w:tcPr>
          <w:p w14:paraId="4A99F1E1">
            <w:pPr>
              <w:widowControl w:val="0"/>
              <w:spacing w:line="360" w:lineRule="auto"/>
              <w:textAlignment w:val="auto"/>
              <w:rPr>
                <w:szCs w:val="21"/>
              </w:rPr>
            </w:pPr>
          </w:p>
        </w:tc>
        <w:tc>
          <w:tcPr>
            <w:tcW w:w="665" w:type="dxa"/>
          </w:tcPr>
          <w:p w14:paraId="71D08181">
            <w:pPr>
              <w:widowControl w:val="0"/>
              <w:spacing w:line="360" w:lineRule="auto"/>
              <w:textAlignment w:val="auto"/>
              <w:rPr>
                <w:szCs w:val="21"/>
              </w:rPr>
            </w:pPr>
          </w:p>
        </w:tc>
        <w:tc>
          <w:tcPr>
            <w:tcW w:w="608" w:type="dxa"/>
          </w:tcPr>
          <w:p w14:paraId="7BEB29DD">
            <w:pPr>
              <w:widowControl w:val="0"/>
              <w:spacing w:line="360" w:lineRule="auto"/>
              <w:textAlignment w:val="auto"/>
              <w:rPr>
                <w:szCs w:val="21"/>
              </w:rPr>
            </w:pPr>
          </w:p>
        </w:tc>
        <w:tc>
          <w:tcPr>
            <w:tcW w:w="742" w:type="dxa"/>
          </w:tcPr>
          <w:p w14:paraId="3CF9C8B6">
            <w:pPr>
              <w:widowControl w:val="0"/>
              <w:spacing w:line="360" w:lineRule="auto"/>
              <w:textAlignment w:val="auto"/>
              <w:rPr>
                <w:szCs w:val="21"/>
              </w:rPr>
            </w:pPr>
          </w:p>
        </w:tc>
        <w:tc>
          <w:tcPr>
            <w:tcW w:w="831" w:type="dxa"/>
          </w:tcPr>
          <w:p w14:paraId="129F66E7">
            <w:pPr>
              <w:widowControl w:val="0"/>
              <w:spacing w:line="360" w:lineRule="auto"/>
              <w:textAlignment w:val="auto"/>
              <w:rPr>
                <w:szCs w:val="21"/>
              </w:rPr>
            </w:pPr>
          </w:p>
        </w:tc>
        <w:tc>
          <w:tcPr>
            <w:tcW w:w="851" w:type="dxa"/>
          </w:tcPr>
          <w:p w14:paraId="1CEF8213">
            <w:pPr>
              <w:widowControl w:val="0"/>
              <w:spacing w:line="360" w:lineRule="auto"/>
              <w:textAlignment w:val="auto"/>
              <w:rPr>
                <w:szCs w:val="21"/>
              </w:rPr>
            </w:pPr>
          </w:p>
        </w:tc>
        <w:tc>
          <w:tcPr>
            <w:tcW w:w="1017" w:type="dxa"/>
          </w:tcPr>
          <w:p w14:paraId="23368E00">
            <w:pPr>
              <w:widowControl w:val="0"/>
              <w:spacing w:line="360" w:lineRule="auto"/>
              <w:textAlignment w:val="auto"/>
              <w:rPr>
                <w:szCs w:val="21"/>
              </w:rPr>
            </w:pPr>
          </w:p>
        </w:tc>
      </w:tr>
      <w:tr w14:paraId="7DF0CD5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682" w:type="dxa"/>
            <w:vAlign w:val="center"/>
          </w:tcPr>
          <w:p w14:paraId="74F1649B">
            <w:pPr>
              <w:widowControl w:val="0"/>
              <w:spacing w:line="360" w:lineRule="auto"/>
              <w:jc w:val="center"/>
              <w:textAlignment w:val="auto"/>
              <w:rPr>
                <w:szCs w:val="21"/>
              </w:rPr>
            </w:pPr>
          </w:p>
        </w:tc>
        <w:tc>
          <w:tcPr>
            <w:tcW w:w="1426" w:type="dxa"/>
          </w:tcPr>
          <w:p w14:paraId="1448B6C0">
            <w:pPr>
              <w:widowControl w:val="0"/>
              <w:spacing w:line="360" w:lineRule="auto"/>
              <w:textAlignment w:val="auto"/>
              <w:rPr>
                <w:szCs w:val="21"/>
              </w:rPr>
            </w:pPr>
          </w:p>
        </w:tc>
        <w:tc>
          <w:tcPr>
            <w:tcW w:w="660" w:type="dxa"/>
          </w:tcPr>
          <w:p w14:paraId="57C36E14">
            <w:pPr>
              <w:widowControl w:val="0"/>
              <w:spacing w:line="360" w:lineRule="auto"/>
              <w:textAlignment w:val="auto"/>
              <w:rPr>
                <w:szCs w:val="21"/>
              </w:rPr>
            </w:pPr>
          </w:p>
        </w:tc>
        <w:tc>
          <w:tcPr>
            <w:tcW w:w="670" w:type="dxa"/>
          </w:tcPr>
          <w:p w14:paraId="4EC46A0B">
            <w:pPr>
              <w:widowControl w:val="0"/>
              <w:spacing w:line="360" w:lineRule="auto"/>
              <w:textAlignment w:val="auto"/>
              <w:rPr>
                <w:szCs w:val="21"/>
              </w:rPr>
            </w:pPr>
          </w:p>
        </w:tc>
        <w:tc>
          <w:tcPr>
            <w:tcW w:w="585" w:type="dxa"/>
          </w:tcPr>
          <w:p w14:paraId="172CF26E">
            <w:pPr>
              <w:widowControl w:val="0"/>
              <w:spacing w:line="360" w:lineRule="auto"/>
              <w:textAlignment w:val="auto"/>
              <w:rPr>
                <w:szCs w:val="21"/>
              </w:rPr>
            </w:pPr>
          </w:p>
        </w:tc>
        <w:tc>
          <w:tcPr>
            <w:tcW w:w="585" w:type="dxa"/>
          </w:tcPr>
          <w:p w14:paraId="0FD7F3D1">
            <w:pPr>
              <w:widowControl w:val="0"/>
              <w:spacing w:line="360" w:lineRule="auto"/>
              <w:textAlignment w:val="auto"/>
              <w:rPr>
                <w:szCs w:val="21"/>
              </w:rPr>
            </w:pPr>
          </w:p>
        </w:tc>
        <w:tc>
          <w:tcPr>
            <w:tcW w:w="665" w:type="dxa"/>
          </w:tcPr>
          <w:p w14:paraId="734F45FB">
            <w:pPr>
              <w:widowControl w:val="0"/>
              <w:spacing w:line="360" w:lineRule="auto"/>
              <w:textAlignment w:val="auto"/>
              <w:rPr>
                <w:szCs w:val="21"/>
              </w:rPr>
            </w:pPr>
          </w:p>
        </w:tc>
        <w:tc>
          <w:tcPr>
            <w:tcW w:w="608" w:type="dxa"/>
          </w:tcPr>
          <w:p w14:paraId="625BF0CF">
            <w:pPr>
              <w:widowControl w:val="0"/>
              <w:spacing w:line="360" w:lineRule="auto"/>
              <w:textAlignment w:val="auto"/>
              <w:rPr>
                <w:szCs w:val="21"/>
              </w:rPr>
            </w:pPr>
          </w:p>
        </w:tc>
        <w:tc>
          <w:tcPr>
            <w:tcW w:w="742" w:type="dxa"/>
          </w:tcPr>
          <w:p w14:paraId="680A8F8F">
            <w:pPr>
              <w:widowControl w:val="0"/>
              <w:spacing w:line="360" w:lineRule="auto"/>
              <w:textAlignment w:val="auto"/>
              <w:rPr>
                <w:szCs w:val="21"/>
              </w:rPr>
            </w:pPr>
          </w:p>
        </w:tc>
        <w:tc>
          <w:tcPr>
            <w:tcW w:w="831" w:type="dxa"/>
          </w:tcPr>
          <w:p w14:paraId="76078A53">
            <w:pPr>
              <w:widowControl w:val="0"/>
              <w:spacing w:line="360" w:lineRule="auto"/>
              <w:textAlignment w:val="auto"/>
              <w:rPr>
                <w:szCs w:val="21"/>
              </w:rPr>
            </w:pPr>
          </w:p>
        </w:tc>
        <w:tc>
          <w:tcPr>
            <w:tcW w:w="851" w:type="dxa"/>
          </w:tcPr>
          <w:p w14:paraId="00BEF8B0">
            <w:pPr>
              <w:widowControl w:val="0"/>
              <w:spacing w:line="360" w:lineRule="auto"/>
              <w:textAlignment w:val="auto"/>
              <w:rPr>
                <w:szCs w:val="21"/>
              </w:rPr>
            </w:pPr>
          </w:p>
        </w:tc>
        <w:tc>
          <w:tcPr>
            <w:tcW w:w="1017" w:type="dxa"/>
          </w:tcPr>
          <w:p w14:paraId="3C742DDD">
            <w:pPr>
              <w:widowControl w:val="0"/>
              <w:spacing w:line="360" w:lineRule="auto"/>
              <w:textAlignment w:val="auto"/>
              <w:rPr>
                <w:szCs w:val="21"/>
              </w:rPr>
            </w:pPr>
          </w:p>
        </w:tc>
      </w:tr>
      <w:tr w14:paraId="5E1FC0E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682" w:type="dxa"/>
            <w:vAlign w:val="center"/>
          </w:tcPr>
          <w:p w14:paraId="74E352DC">
            <w:pPr>
              <w:widowControl w:val="0"/>
              <w:spacing w:line="360" w:lineRule="auto"/>
              <w:jc w:val="center"/>
              <w:textAlignment w:val="auto"/>
              <w:rPr>
                <w:szCs w:val="21"/>
              </w:rPr>
            </w:pPr>
          </w:p>
        </w:tc>
        <w:tc>
          <w:tcPr>
            <w:tcW w:w="1426" w:type="dxa"/>
          </w:tcPr>
          <w:p w14:paraId="5A757C3F">
            <w:pPr>
              <w:widowControl w:val="0"/>
              <w:spacing w:line="360" w:lineRule="auto"/>
              <w:textAlignment w:val="auto"/>
              <w:rPr>
                <w:szCs w:val="21"/>
              </w:rPr>
            </w:pPr>
          </w:p>
        </w:tc>
        <w:tc>
          <w:tcPr>
            <w:tcW w:w="660" w:type="dxa"/>
          </w:tcPr>
          <w:p w14:paraId="13395800">
            <w:pPr>
              <w:widowControl w:val="0"/>
              <w:spacing w:line="360" w:lineRule="auto"/>
              <w:textAlignment w:val="auto"/>
              <w:rPr>
                <w:szCs w:val="21"/>
              </w:rPr>
            </w:pPr>
          </w:p>
        </w:tc>
        <w:tc>
          <w:tcPr>
            <w:tcW w:w="670" w:type="dxa"/>
          </w:tcPr>
          <w:p w14:paraId="717BE204">
            <w:pPr>
              <w:widowControl w:val="0"/>
              <w:spacing w:line="360" w:lineRule="auto"/>
              <w:textAlignment w:val="auto"/>
              <w:rPr>
                <w:szCs w:val="21"/>
              </w:rPr>
            </w:pPr>
          </w:p>
        </w:tc>
        <w:tc>
          <w:tcPr>
            <w:tcW w:w="585" w:type="dxa"/>
          </w:tcPr>
          <w:p w14:paraId="1DA2583A">
            <w:pPr>
              <w:widowControl w:val="0"/>
              <w:spacing w:line="360" w:lineRule="auto"/>
              <w:textAlignment w:val="auto"/>
              <w:rPr>
                <w:szCs w:val="21"/>
              </w:rPr>
            </w:pPr>
          </w:p>
        </w:tc>
        <w:tc>
          <w:tcPr>
            <w:tcW w:w="585" w:type="dxa"/>
          </w:tcPr>
          <w:p w14:paraId="7B9A8996">
            <w:pPr>
              <w:widowControl w:val="0"/>
              <w:spacing w:line="360" w:lineRule="auto"/>
              <w:textAlignment w:val="auto"/>
              <w:rPr>
                <w:szCs w:val="21"/>
              </w:rPr>
            </w:pPr>
          </w:p>
        </w:tc>
        <w:tc>
          <w:tcPr>
            <w:tcW w:w="665" w:type="dxa"/>
          </w:tcPr>
          <w:p w14:paraId="5BAA4B9A">
            <w:pPr>
              <w:widowControl w:val="0"/>
              <w:spacing w:line="360" w:lineRule="auto"/>
              <w:textAlignment w:val="auto"/>
              <w:rPr>
                <w:szCs w:val="21"/>
              </w:rPr>
            </w:pPr>
          </w:p>
        </w:tc>
        <w:tc>
          <w:tcPr>
            <w:tcW w:w="608" w:type="dxa"/>
          </w:tcPr>
          <w:p w14:paraId="03FD4BB7">
            <w:pPr>
              <w:widowControl w:val="0"/>
              <w:spacing w:line="360" w:lineRule="auto"/>
              <w:textAlignment w:val="auto"/>
              <w:rPr>
                <w:szCs w:val="21"/>
              </w:rPr>
            </w:pPr>
          </w:p>
        </w:tc>
        <w:tc>
          <w:tcPr>
            <w:tcW w:w="742" w:type="dxa"/>
          </w:tcPr>
          <w:p w14:paraId="101178A7">
            <w:pPr>
              <w:widowControl w:val="0"/>
              <w:spacing w:line="360" w:lineRule="auto"/>
              <w:textAlignment w:val="auto"/>
              <w:rPr>
                <w:szCs w:val="21"/>
              </w:rPr>
            </w:pPr>
          </w:p>
        </w:tc>
        <w:tc>
          <w:tcPr>
            <w:tcW w:w="831" w:type="dxa"/>
          </w:tcPr>
          <w:p w14:paraId="167F5AE5">
            <w:pPr>
              <w:widowControl w:val="0"/>
              <w:spacing w:line="360" w:lineRule="auto"/>
              <w:textAlignment w:val="auto"/>
              <w:rPr>
                <w:szCs w:val="21"/>
              </w:rPr>
            </w:pPr>
          </w:p>
        </w:tc>
        <w:tc>
          <w:tcPr>
            <w:tcW w:w="851" w:type="dxa"/>
          </w:tcPr>
          <w:p w14:paraId="4C068F26">
            <w:pPr>
              <w:widowControl w:val="0"/>
              <w:spacing w:line="360" w:lineRule="auto"/>
              <w:textAlignment w:val="auto"/>
              <w:rPr>
                <w:szCs w:val="21"/>
              </w:rPr>
            </w:pPr>
          </w:p>
        </w:tc>
        <w:tc>
          <w:tcPr>
            <w:tcW w:w="1017" w:type="dxa"/>
          </w:tcPr>
          <w:p w14:paraId="077B7B74">
            <w:pPr>
              <w:widowControl w:val="0"/>
              <w:spacing w:line="360" w:lineRule="auto"/>
              <w:textAlignment w:val="auto"/>
              <w:rPr>
                <w:szCs w:val="21"/>
              </w:rPr>
            </w:pPr>
          </w:p>
        </w:tc>
      </w:tr>
      <w:tr w14:paraId="69154FD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682" w:type="dxa"/>
            <w:vAlign w:val="center"/>
          </w:tcPr>
          <w:p w14:paraId="73330F7E">
            <w:pPr>
              <w:widowControl w:val="0"/>
              <w:spacing w:line="360" w:lineRule="auto"/>
              <w:jc w:val="center"/>
              <w:textAlignment w:val="auto"/>
              <w:rPr>
                <w:szCs w:val="21"/>
              </w:rPr>
            </w:pPr>
          </w:p>
        </w:tc>
        <w:tc>
          <w:tcPr>
            <w:tcW w:w="1426" w:type="dxa"/>
          </w:tcPr>
          <w:p w14:paraId="0DF3449B">
            <w:pPr>
              <w:widowControl w:val="0"/>
              <w:spacing w:line="360" w:lineRule="auto"/>
              <w:textAlignment w:val="auto"/>
              <w:rPr>
                <w:szCs w:val="21"/>
              </w:rPr>
            </w:pPr>
          </w:p>
        </w:tc>
        <w:tc>
          <w:tcPr>
            <w:tcW w:w="660" w:type="dxa"/>
          </w:tcPr>
          <w:p w14:paraId="51A6A29C">
            <w:pPr>
              <w:widowControl w:val="0"/>
              <w:spacing w:line="360" w:lineRule="auto"/>
              <w:textAlignment w:val="auto"/>
              <w:rPr>
                <w:szCs w:val="21"/>
              </w:rPr>
            </w:pPr>
          </w:p>
        </w:tc>
        <w:tc>
          <w:tcPr>
            <w:tcW w:w="670" w:type="dxa"/>
          </w:tcPr>
          <w:p w14:paraId="46080B92">
            <w:pPr>
              <w:widowControl w:val="0"/>
              <w:spacing w:line="360" w:lineRule="auto"/>
              <w:textAlignment w:val="auto"/>
              <w:rPr>
                <w:szCs w:val="21"/>
              </w:rPr>
            </w:pPr>
          </w:p>
        </w:tc>
        <w:tc>
          <w:tcPr>
            <w:tcW w:w="585" w:type="dxa"/>
          </w:tcPr>
          <w:p w14:paraId="6798283D">
            <w:pPr>
              <w:widowControl w:val="0"/>
              <w:spacing w:line="360" w:lineRule="auto"/>
              <w:textAlignment w:val="auto"/>
              <w:rPr>
                <w:szCs w:val="21"/>
              </w:rPr>
            </w:pPr>
          </w:p>
        </w:tc>
        <w:tc>
          <w:tcPr>
            <w:tcW w:w="585" w:type="dxa"/>
          </w:tcPr>
          <w:p w14:paraId="08913707">
            <w:pPr>
              <w:widowControl w:val="0"/>
              <w:spacing w:line="360" w:lineRule="auto"/>
              <w:textAlignment w:val="auto"/>
              <w:rPr>
                <w:szCs w:val="21"/>
              </w:rPr>
            </w:pPr>
          </w:p>
        </w:tc>
        <w:tc>
          <w:tcPr>
            <w:tcW w:w="665" w:type="dxa"/>
          </w:tcPr>
          <w:p w14:paraId="7845DE6D">
            <w:pPr>
              <w:widowControl w:val="0"/>
              <w:spacing w:line="360" w:lineRule="auto"/>
              <w:textAlignment w:val="auto"/>
              <w:rPr>
                <w:szCs w:val="21"/>
              </w:rPr>
            </w:pPr>
          </w:p>
        </w:tc>
        <w:tc>
          <w:tcPr>
            <w:tcW w:w="608" w:type="dxa"/>
          </w:tcPr>
          <w:p w14:paraId="3A5341DA">
            <w:pPr>
              <w:widowControl w:val="0"/>
              <w:spacing w:line="360" w:lineRule="auto"/>
              <w:textAlignment w:val="auto"/>
              <w:rPr>
                <w:szCs w:val="21"/>
              </w:rPr>
            </w:pPr>
          </w:p>
        </w:tc>
        <w:tc>
          <w:tcPr>
            <w:tcW w:w="742" w:type="dxa"/>
          </w:tcPr>
          <w:p w14:paraId="6A621805">
            <w:pPr>
              <w:widowControl w:val="0"/>
              <w:spacing w:line="360" w:lineRule="auto"/>
              <w:textAlignment w:val="auto"/>
              <w:rPr>
                <w:szCs w:val="21"/>
              </w:rPr>
            </w:pPr>
          </w:p>
        </w:tc>
        <w:tc>
          <w:tcPr>
            <w:tcW w:w="831" w:type="dxa"/>
          </w:tcPr>
          <w:p w14:paraId="27F62A87">
            <w:pPr>
              <w:widowControl w:val="0"/>
              <w:spacing w:line="360" w:lineRule="auto"/>
              <w:textAlignment w:val="auto"/>
              <w:rPr>
                <w:szCs w:val="21"/>
              </w:rPr>
            </w:pPr>
          </w:p>
        </w:tc>
        <w:tc>
          <w:tcPr>
            <w:tcW w:w="851" w:type="dxa"/>
          </w:tcPr>
          <w:p w14:paraId="2A7C3123">
            <w:pPr>
              <w:widowControl w:val="0"/>
              <w:spacing w:line="360" w:lineRule="auto"/>
              <w:textAlignment w:val="auto"/>
              <w:rPr>
                <w:szCs w:val="21"/>
              </w:rPr>
            </w:pPr>
          </w:p>
        </w:tc>
        <w:tc>
          <w:tcPr>
            <w:tcW w:w="1017" w:type="dxa"/>
          </w:tcPr>
          <w:p w14:paraId="2AAC8B1F">
            <w:pPr>
              <w:widowControl w:val="0"/>
              <w:spacing w:line="360" w:lineRule="auto"/>
              <w:textAlignment w:val="auto"/>
              <w:rPr>
                <w:szCs w:val="21"/>
              </w:rPr>
            </w:pPr>
          </w:p>
        </w:tc>
      </w:tr>
      <w:tr w14:paraId="4AD67F7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682" w:type="dxa"/>
            <w:vAlign w:val="center"/>
          </w:tcPr>
          <w:p w14:paraId="7699C336">
            <w:pPr>
              <w:widowControl w:val="0"/>
              <w:spacing w:line="360" w:lineRule="auto"/>
              <w:jc w:val="center"/>
              <w:textAlignment w:val="auto"/>
              <w:rPr>
                <w:szCs w:val="21"/>
              </w:rPr>
            </w:pPr>
          </w:p>
        </w:tc>
        <w:tc>
          <w:tcPr>
            <w:tcW w:w="1426" w:type="dxa"/>
          </w:tcPr>
          <w:p w14:paraId="53971E56">
            <w:pPr>
              <w:widowControl w:val="0"/>
              <w:spacing w:line="360" w:lineRule="auto"/>
              <w:textAlignment w:val="auto"/>
              <w:rPr>
                <w:szCs w:val="21"/>
              </w:rPr>
            </w:pPr>
          </w:p>
        </w:tc>
        <w:tc>
          <w:tcPr>
            <w:tcW w:w="660" w:type="dxa"/>
          </w:tcPr>
          <w:p w14:paraId="598DBF66">
            <w:pPr>
              <w:widowControl w:val="0"/>
              <w:spacing w:line="360" w:lineRule="auto"/>
              <w:textAlignment w:val="auto"/>
              <w:rPr>
                <w:szCs w:val="21"/>
              </w:rPr>
            </w:pPr>
          </w:p>
        </w:tc>
        <w:tc>
          <w:tcPr>
            <w:tcW w:w="670" w:type="dxa"/>
          </w:tcPr>
          <w:p w14:paraId="77F6E5BE">
            <w:pPr>
              <w:widowControl w:val="0"/>
              <w:spacing w:line="360" w:lineRule="auto"/>
              <w:textAlignment w:val="auto"/>
              <w:rPr>
                <w:szCs w:val="21"/>
              </w:rPr>
            </w:pPr>
          </w:p>
        </w:tc>
        <w:tc>
          <w:tcPr>
            <w:tcW w:w="585" w:type="dxa"/>
          </w:tcPr>
          <w:p w14:paraId="77FFCD89">
            <w:pPr>
              <w:widowControl w:val="0"/>
              <w:spacing w:line="360" w:lineRule="auto"/>
              <w:textAlignment w:val="auto"/>
              <w:rPr>
                <w:szCs w:val="21"/>
              </w:rPr>
            </w:pPr>
          </w:p>
        </w:tc>
        <w:tc>
          <w:tcPr>
            <w:tcW w:w="585" w:type="dxa"/>
          </w:tcPr>
          <w:p w14:paraId="3ADD5A0F">
            <w:pPr>
              <w:widowControl w:val="0"/>
              <w:spacing w:line="360" w:lineRule="auto"/>
              <w:textAlignment w:val="auto"/>
              <w:rPr>
                <w:szCs w:val="21"/>
              </w:rPr>
            </w:pPr>
          </w:p>
        </w:tc>
        <w:tc>
          <w:tcPr>
            <w:tcW w:w="665" w:type="dxa"/>
          </w:tcPr>
          <w:p w14:paraId="5AE79806">
            <w:pPr>
              <w:widowControl w:val="0"/>
              <w:spacing w:line="360" w:lineRule="auto"/>
              <w:textAlignment w:val="auto"/>
              <w:rPr>
                <w:szCs w:val="21"/>
              </w:rPr>
            </w:pPr>
          </w:p>
        </w:tc>
        <w:tc>
          <w:tcPr>
            <w:tcW w:w="608" w:type="dxa"/>
          </w:tcPr>
          <w:p w14:paraId="68B4D065">
            <w:pPr>
              <w:widowControl w:val="0"/>
              <w:spacing w:line="360" w:lineRule="auto"/>
              <w:textAlignment w:val="auto"/>
              <w:rPr>
                <w:szCs w:val="21"/>
              </w:rPr>
            </w:pPr>
          </w:p>
        </w:tc>
        <w:tc>
          <w:tcPr>
            <w:tcW w:w="742" w:type="dxa"/>
          </w:tcPr>
          <w:p w14:paraId="2383B564">
            <w:pPr>
              <w:widowControl w:val="0"/>
              <w:spacing w:line="360" w:lineRule="auto"/>
              <w:textAlignment w:val="auto"/>
              <w:rPr>
                <w:szCs w:val="21"/>
              </w:rPr>
            </w:pPr>
          </w:p>
        </w:tc>
        <w:tc>
          <w:tcPr>
            <w:tcW w:w="831" w:type="dxa"/>
          </w:tcPr>
          <w:p w14:paraId="6C1E634A">
            <w:pPr>
              <w:widowControl w:val="0"/>
              <w:spacing w:line="360" w:lineRule="auto"/>
              <w:textAlignment w:val="auto"/>
              <w:rPr>
                <w:szCs w:val="21"/>
              </w:rPr>
            </w:pPr>
          </w:p>
        </w:tc>
        <w:tc>
          <w:tcPr>
            <w:tcW w:w="851" w:type="dxa"/>
          </w:tcPr>
          <w:p w14:paraId="1CB60E9B">
            <w:pPr>
              <w:widowControl w:val="0"/>
              <w:spacing w:line="360" w:lineRule="auto"/>
              <w:textAlignment w:val="auto"/>
              <w:rPr>
                <w:szCs w:val="21"/>
              </w:rPr>
            </w:pPr>
          </w:p>
        </w:tc>
        <w:tc>
          <w:tcPr>
            <w:tcW w:w="1017" w:type="dxa"/>
          </w:tcPr>
          <w:p w14:paraId="4F15768F">
            <w:pPr>
              <w:widowControl w:val="0"/>
              <w:spacing w:line="360" w:lineRule="auto"/>
              <w:textAlignment w:val="auto"/>
              <w:rPr>
                <w:szCs w:val="21"/>
              </w:rPr>
            </w:pPr>
          </w:p>
        </w:tc>
      </w:tr>
      <w:tr w14:paraId="429FE20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2768" w:type="dxa"/>
            <w:gridSpan w:val="3"/>
            <w:tcBorders>
              <w:bottom w:val="single" w:color="auto" w:sz="8" w:space="0"/>
            </w:tcBorders>
            <w:vAlign w:val="center"/>
          </w:tcPr>
          <w:p w14:paraId="1EAF74A0">
            <w:pPr>
              <w:widowControl w:val="0"/>
              <w:ind w:firstLine="840" w:firstLineChars="400"/>
              <w:textAlignment w:val="auto"/>
              <w:rPr>
                <w:szCs w:val="21"/>
              </w:rPr>
            </w:pPr>
            <w:r>
              <w:rPr>
                <w:rFonts w:hint="eastAsia"/>
                <w:szCs w:val="21"/>
              </w:rPr>
              <w:t>合</w:t>
            </w:r>
            <w:r>
              <w:rPr>
                <w:szCs w:val="21"/>
              </w:rPr>
              <w:t xml:space="preserve">   </w:t>
            </w:r>
            <w:r>
              <w:rPr>
                <w:rFonts w:hint="eastAsia"/>
                <w:szCs w:val="21"/>
              </w:rPr>
              <w:t>计</w:t>
            </w:r>
          </w:p>
        </w:tc>
        <w:tc>
          <w:tcPr>
            <w:tcW w:w="670" w:type="dxa"/>
            <w:tcBorders>
              <w:bottom w:val="single" w:color="auto" w:sz="8" w:space="0"/>
            </w:tcBorders>
          </w:tcPr>
          <w:p w14:paraId="69281549">
            <w:pPr>
              <w:widowControl w:val="0"/>
              <w:spacing w:line="360" w:lineRule="auto"/>
              <w:textAlignment w:val="auto"/>
              <w:rPr>
                <w:szCs w:val="21"/>
              </w:rPr>
            </w:pPr>
          </w:p>
        </w:tc>
        <w:tc>
          <w:tcPr>
            <w:tcW w:w="585" w:type="dxa"/>
            <w:tcBorders>
              <w:bottom w:val="single" w:color="auto" w:sz="8" w:space="0"/>
            </w:tcBorders>
          </w:tcPr>
          <w:p w14:paraId="1F94884F">
            <w:pPr>
              <w:widowControl w:val="0"/>
              <w:spacing w:line="360" w:lineRule="auto"/>
              <w:textAlignment w:val="auto"/>
              <w:rPr>
                <w:szCs w:val="21"/>
              </w:rPr>
            </w:pPr>
          </w:p>
        </w:tc>
        <w:tc>
          <w:tcPr>
            <w:tcW w:w="585" w:type="dxa"/>
            <w:tcBorders>
              <w:bottom w:val="single" w:color="auto" w:sz="8" w:space="0"/>
            </w:tcBorders>
          </w:tcPr>
          <w:p w14:paraId="628BFC9D">
            <w:pPr>
              <w:widowControl w:val="0"/>
              <w:spacing w:line="360" w:lineRule="auto"/>
              <w:textAlignment w:val="auto"/>
              <w:rPr>
                <w:szCs w:val="21"/>
              </w:rPr>
            </w:pPr>
          </w:p>
        </w:tc>
        <w:tc>
          <w:tcPr>
            <w:tcW w:w="665" w:type="dxa"/>
            <w:tcBorders>
              <w:bottom w:val="single" w:color="auto" w:sz="8" w:space="0"/>
            </w:tcBorders>
          </w:tcPr>
          <w:p w14:paraId="7836B5D7">
            <w:pPr>
              <w:widowControl w:val="0"/>
              <w:spacing w:line="360" w:lineRule="auto"/>
              <w:textAlignment w:val="auto"/>
              <w:rPr>
                <w:szCs w:val="21"/>
              </w:rPr>
            </w:pPr>
          </w:p>
        </w:tc>
        <w:tc>
          <w:tcPr>
            <w:tcW w:w="608" w:type="dxa"/>
            <w:tcBorders>
              <w:bottom w:val="single" w:color="auto" w:sz="8" w:space="0"/>
            </w:tcBorders>
          </w:tcPr>
          <w:p w14:paraId="1C801067">
            <w:pPr>
              <w:widowControl w:val="0"/>
              <w:spacing w:line="360" w:lineRule="auto"/>
              <w:textAlignment w:val="auto"/>
              <w:rPr>
                <w:szCs w:val="21"/>
              </w:rPr>
            </w:pPr>
          </w:p>
        </w:tc>
        <w:tc>
          <w:tcPr>
            <w:tcW w:w="742" w:type="dxa"/>
            <w:tcBorders>
              <w:bottom w:val="single" w:color="auto" w:sz="8" w:space="0"/>
            </w:tcBorders>
          </w:tcPr>
          <w:p w14:paraId="523528DA">
            <w:pPr>
              <w:widowControl w:val="0"/>
              <w:spacing w:line="360" w:lineRule="auto"/>
              <w:textAlignment w:val="auto"/>
              <w:rPr>
                <w:szCs w:val="21"/>
              </w:rPr>
            </w:pPr>
          </w:p>
        </w:tc>
        <w:tc>
          <w:tcPr>
            <w:tcW w:w="831" w:type="dxa"/>
            <w:tcBorders>
              <w:bottom w:val="single" w:color="auto" w:sz="8" w:space="0"/>
            </w:tcBorders>
          </w:tcPr>
          <w:p w14:paraId="7B40C207">
            <w:pPr>
              <w:widowControl w:val="0"/>
              <w:spacing w:line="360" w:lineRule="auto"/>
              <w:textAlignment w:val="auto"/>
              <w:rPr>
                <w:szCs w:val="21"/>
              </w:rPr>
            </w:pPr>
          </w:p>
        </w:tc>
        <w:tc>
          <w:tcPr>
            <w:tcW w:w="851" w:type="dxa"/>
            <w:tcBorders>
              <w:bottom w:val="single" w:color="auto" w:sz="8" w:space="0"/>
            </w:tcBorders>
          </w:tcPr>
          <w:p w14:paraId="2EA52730">
            <w:pPr>
              <w:widowControl w:val="0"/>
              <w:spacing w:line="360" w:lineRule="auto"/>
              <w:textAlignment w:val="auto"/>
              <w:rPr>
                <w:szCs w:val="21"/>
              </w:rPr>
            </w:pPr>
          </w:p>
        </w:tc>
        <w:tc>
          <w:tcPr>
            <w:tcW w:w="1017" w:type="dxa"/>
            <w:tcBorders>
              <w:bottom w:val="single" w:color="auto" w:sz="8" w:space="0"/>
            </w:tcBorders>
          </w:tcPr>
          <w:p w14:paraId="71AB194B">
            <w:pPr>
              <w:widowControl w:val="0"/>
              <w:spacing w:line="360" w:lineRule="auto"/>
              <w:textAlignment w:val="auto"/>
              <w:rPr>
                <w:szCs w:val="21"/>
              </w:rPr>
            </w:pPr>
          </w:p>
        </w:tc>
      </w:tr>
    </w:tbl>
    <w:p w14:paraId="696D295A">
      <w:pPr>
        <w:widowControl w:val="0"/>
        <w:spacing w:line="240" w:lineRule="atLeast"/>
        <w:textAlignment w:val="auto"/>
        <w:rPr>
          <w:sz w:val="18"/>
          <w:szCs w:val="18"/>
        </w:rPr>
      </w:pPr>
      <w:r>
        <w:rPr>
          <w:rFonts w:hint="eastAsia"/>
          <w:sz w:val="18"/>
          <w:szCs w:val="18"/>
        </w:rPr>
        <w:t>注：此表由招标人填写</w:t>
      </w:r>
      <w:r>
        <w:rPr>
          <w:sz w:val="18"/>
          <w:szCs w:val="18"/>
        </w:rPr>
        <w:t>“</w:t>
      </w:r>
      <w:r>
        <w:rPr>
          <w:rFonts w:hint="eastAsia"/>
          <w:sz w:val="18"/>
          <w:szCs w:val="18"/>
        </w:rPr>
        <w:t>暂估价</w:t>
      </w:r>
      <w:r>
        <w:rPr>
          <w:sz w:val="18"/>
          <w:szCs w:val="18"/>
        </w:rPr>
        <w:t>”</w:t>
      </w:r>
      <w:r>
        <w:rPr>
          <w:rFonts w:hint="eastAsia"/>
          <w:sz w:val="18"/>
          <w:szCs w:val="18"/>
        </w:rPr>
        <w:t>，并在备注栏说明暂估价的材料、工程设备你用在哪些工程项目上，投标人应将上述材料、工程设备暂估价计入工程量清单综合单价报价中。</w:t>
      </w:r>
    </w:p>
    <w:p w14:paraId="636E7155">
      <w:pPr>
        <w:widowControl w:val="0"/>
        <w:spacing w:line="300" w:lineRule="exact"/>
        <w:ind w:left="570"/>
        <w:jc w:val="center"/>
        <w:textAlignment w:val="auto"/>
        <w:rPr>
          <w:sz w:val="18"/>
          <w:szCs w:val="18"/>
        </w:rPr>
      </w:pPr>
    </w:p>
    <w:p w14:paraId="5E2AFD5D">
      <w:pPr>
        <w:widowControl w:val="0"/>
        <w:tabs>
          <w:tab w:val="left" w:pos="6135"/>
        </w:tabs>
        <w:spacing w:line="600" w:lineRule="exact"/>
        <w:jc w:val="right"/>
        <w:textAlignment w:val="auto"/>
        <w:rPr>
          <w:rFonts w:eastAsia="黑体"/>
        </w:rPr>
      </w:pPr>
      <w:r>
        <w:rPr>
          <w:rFonts w:hint="eastAsia" w:eastAsia="黑体"/>
        </w:rPr>
        <w:t>表</w:t>
      </w:r>
      <w:r>
        <w:rPr>
          <w:rFonts w:eastAsia="黑体"/>
        </w:rPr>
        <w:t>-12-2</w:t>
      </w:r>
    </w:p>
    <w:p w14:paraId="4B67B997">
      <w:pPr>
        <w:widowControl w:val="0"/>
        <w:tabs>
          <w:tab w:val="left" w:pos="6135"/>
        </w:tabs>
        <w:jc w:val="right"/>
        <w:textAlignment w:val="auto"/>
        <w:rPr>
          <w:rFonts w:eastAsia="黑体"/>
        </w:rPr>
      </w:pPr>
    </w:p>
    <w:p w14:paraId="37A44AED">
      <w:pPr>
        <w:widowControl w:val="0"/>
        <w:spacing w:line="360" w:lineRule="auto"/>
        <w:jc w:val="left"/>
        <w:textAlignment w:val="auto"/>
      </w:pPr>
    </w:p>
    <w:p w14:paraId="7FB55E60">
      <w:pPr>
        <w:widowControl w:val="0"/>
        <w:tabs>
          <w:tab w:val="left" w:pos="6135"/>
        </w:tabs>
        <w:jc w:val="center"/>
        <w:textAlignment w:val="auto"/>
        <w:rPr>
          <w:rFonts w:eastAsia="黑体"/>
          <w:sz w:val="32"/>
          <w:szCs w:val="32"/>
        </w:rPr>
      </w:pPr>
      <w:r>
        <w:rPr>
          <w:rFonts w:eastAsia="黑体"/>
          <w:sz w:val="32"/>
          <w:szCs w:val="32"/>
        </w:rPr>
        <w:t>G.4</w:t>
      </w:r>
      <w:r>
        <w:rPr>
          <w:rFonts w:hint="eastAsia" w:eastAsia="黑体"/>
          <w:sz w:val="32"/>
          <w:szCs w:val="32"/>
        </w:rPr>
        <w:t>专业工程暂估价明细表</w:t>
      </w:r>
    </w:p>
    <w:p w14:paraId="1CD3A6BE">
      <w:pPr>
        <w:widowControl w:val="0"/>
        <w:tabs>
          <w:tab w:val="left" w:pos="12120"/>
        </w:tabs>
        <w:spacing w:line="360" w:lineRule="auto"/>
        <w:ind w:left="105" w:hanging="105" w:hangingChars="50"/>
        <w:textAlignment w:val="auto"/>
        <w:rPr>
          <w:szCs w:val="21"/>
        </w:rPr>
      </w:pPr>
      <w:r>
        <w:rPr>
          <w:rFonts w:hint="eastAsia"/>
          <w:szCs w:val="21"/>
        </w:rPr>
        <w:t>工程名称：</w:t>
      </w:r>
      <w:r>
        <w:rPr>
          <w:szCs w:val="21"/>
        </w:rPr>
        <w:t xml:space="preserve">                             </w:t>
      </w:r>
      <w:r>
        <w:rPr>
          <w:rFonts w:hint="eastAsia"/>
          <w:szCs w:val="21"/>
        </w:rPr>
        <w:t>标段</w:t>
      </w:r>
      <w:r>
        <w:rPr>
          <w:szCs w:val="21"/>
        </w:rPr>
        <w:t xml:space="preserve"> </w:t>
      </w:r>
      <w:r>
        <w:rPr>
          <w:rFonts w:hint="eastAsia"/>
          <w:szCs w:val="21"/>
        </w:rPr>
        <w:t>：</w:t>
      </w:r>
      <w:r>
        <w:rPr>
          <w:szCs w:val="21"/>
        </w:rPr>
        <w:t xml:space="preserve">                    </w:t>
      </w:r>
      <w:r>
        <w:rPr>
          <w:rFonts w:hint="eastAsia"/>
          <w:szCs w:val="21"/>
        </w:rPr>
        <w:t>第</w:t>
      </w:r>
      <w:r>
        <w:rPr>
          <w:szCs w:val="21"/>
        </w:rPr>
        <w:t xml:space="preserve">  </w:t>
      </w:r>
      <w:r>
        <w:rPr>
          <w:rFonts w:hint="eastAsia"/>
          <w:szCs w:val="21"/>
        </w:rPr>
        <w:t>页</w:t>
      </w:r>
      <w:r>
        <w:rPr>
          <w:szCs w:val="21"/>
        </w:rPr>
        <w:t xml:space="preserve"> </w:t>
      </w:r>
      <w:r>
        <w:rPr>
          <w:rFonts w:hint="eastAsia"/>
          <w:szCs w:val="21"/>
        </w:rPr>
        <w:t>共</w:t>
      </w:r>
      <w:r>
        <w:rPr>
          <w:szCs w:val="21"/>
        </w:rPr>
        <w:t xml:space="preserve">  </w:t>
      </w:r>
      <w:r>
        <w:rPr>
          <w:rFonts w:hint="eastAsia"/>
          <w:szCs w:val="21"/>
        </w:rPr>
        <w:t>页</w:t>
      </w:r>
    </w:p>
    <w:tbl>
      <w:tblPr>
        <w:tblStyle w:val="45"/>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01"/>
        <w:gridCol w:w="2050"/>
        <w:gridCol w:w="1208"/>
        <w:gridCol w:w="1040"/>
        <w:gridCol w:w="905"/>
        <w:gridCol w:w="1795"/>
        <w:gridCol w:w="1247"/>
      </w:tblGrid>
      <w:tr w14:paraId="1289907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701" w:type="dxa"/>
            <w:tcBorders>
              <w:top w:val="single" w:color="auto" w:sz="8" w:space="0"/>
            </w:tcBorders>
            <w:vAlign w:val="center"/>
          </w:tcPr>
          <w:p w14:paraId="588E508B">
            <w:pPr>
              <w:widowControl w:val="0"/>
              <w:jc w:val="center"/>
              <w:textAlignment w:val="auto"/>
              <w:rPr>
                <w:sz w:val="18"/>
                <w:szCs w:val="18"/>
              </w:rPr>
            </w:pPr>
            <w:r>
              <w:rPr>
                <w:rFonts w:hint="eastAsia"/>
                <w:sz w:val="18"/>
                <w:szCs w:val="18"/>
              </w:rPr>
              <w:t>序号</w:t>
            </w:r>
          </w:p>
        </w:tc>
        <w:tc>
          <w:tcPr>
            <w:tcW w:w="2050" w:type="dxa"/>
            <w:tcBorders>
              <w:top w:val="single" w:color="auto" w:sz="8" w:space="0"/>
            </w:tcBorders>
            <w:vAlign w:val="center"/>
          </w:tcPr>
          <w:p w14:paraId="123E41D1">
            <w:pPr>
              <w:widowControl w:val="0"/>
              <w:jc w:val="center"/>
              <w:textAlignment w:val="auto"/>
              <w:rPr>
                <w:sz w:val="18"/>
                <w:szCs w:val="18"/>
              </w:rPr>
            </w:pPr>
            <w:r>
              <w:rPr>
                <w:rFonts w:hint="eastAsia"/>
                <w:sz w:val="18"/>
                <w:szCs w:val="18"/>
              </w:rPr>
              <w:t>工程名称</w:t>
            </w:r>
          </w:p>
        </w:tc>
        <w:tc>
          <w:tcPr>
            <w:tcW w:w="1208" w:type="dxa"/>
            <w:tcBorders>
              <w:top w:val="single" w:color="auto" w:sz="8" w:space="0"/>
            </w:tcBorders>
            <w:vAlign w:val="center"/>
          </w:tcPr>
          <w:p w14:paraId="4B47129F">
            <w:pPr>
              <w:widowControl w:val="0"/>
              <w:jc w:val="center"/>
              <w:textAlignment w:val="auto"/>
              <w:rPr>
                <w:sz w:val="18"/>
                <w:szCs w:val="18"/>
              </w:rPr>
            </w:pPr>
            <w:r>
              <w:rPr>
                <w:rFonts w:hint="eastAsia"/>
                <w:sz w:val="18"/>
                <w:szCs w:val="18"/>
              </w:rPr>
              <w:t>工程内容</w:t>
            </w:r>
          </w:p>
        </w:tc>
        <w:tc>
          <w:tcPr>
            <w:tcW w:w="1040" w:type="dxa"/>
            <w:tcBorders>
              <w:top w:val="single" w:color="auto" w:sz="8" w:space="0"/>
            </w:tcBorders>
            <w:vAlign w:val="center"/>
          </w:tcPr>
          <w:p w14:paraId="143225B8">
            <w:pPr>
              <w:widowControl w:val="0"/>
              <w:jc w:val="center"/>
              <w:textAlignment w:val="auto"/>
              <w:rPr>
                <w:sz w:val="18"/>
                <w:szCs w:val="18"/>
              </w:rPr>
            </w:pPr>
            <w:r>
              <w:rPr>
                <w:rFonts w:hint="eastAsia"/>
                <w:sz w:val="18"/>
                <w:szCs w:val="18"/>
              </w:rPr>
              <w:t>暂估金额（元）</w:t>
            </w:r>
          </w:p>
        </w:tc>
        <w:tc>
          <w:tcPr>
            <w:tcW w:w="905" w:type="dxa"/>
            <w:tcBorders>
              <w:top w:val="single" w:color="auto" w:sz="8" w:space="0"/>
            </w:tcBorders>
            <w:vAlign w:val="center"/>
          </w:tcPr>
          <w:p w14:paraId="0700BEA5">
            <w:pPr>
              <w:widowControl w:val="0"/>
              <w:jc w:val="center"/>
              <w:textAlignment w:val="auto"/>
              <w:rPr>
                <w:sz w:val="18"/>
                <w:szCs w:val="18"/>
              </w:rPr>
            </w:pPr>
            <w:r>
              <w:rPr>
                <w:rFonts w:hint="eastAsia"/>
                <w:sz w:val="18"/>
                <w:szCs w:val="18"/>
              </w:rPr>
              <w:t>结算</w:t>
            </w:r>
          </w:p>
          <w:p w14:paraId="2BDDA48A">
            <w:pPr>
              <w:widowControl w:val="0"/>
              <w:jc w:val="center"/>
              <w:textAlignment w:val="auto"/>
              <w:rPr>
                <w:sz w:val="18"/>
                <w:szCs w:val="18"/>
              </w:rPr>
            </w:pPr>
            <w:r>
              <w:rPr>
                <w:rFonts w:hint="eastAsia"/>
                <w:sz w:val="18"/>
                <w:szCs w:val="18"/>
              </w:rPr>
              <w:t>金额（元）</w:t>
            </w:r>
          </w:p>
        </w:tc>
        <w:tc>
          <w:tcPr>
            <w:tcW w:w="1795" w:type="dxa"/>
            <w:tcBorders>
              <w:top w:val="single" w:color="auto" w:sz="8" w:space="0"/>
            </w:tcBorders>
            <w:vAlign w:val="center"/>
          </w:tcPr>
          <w:p w14:paraId="1AA9EDB6">
            <w:pPr>
              <w:widowControl w:val="0"/>
              <w:jc w:val="center"/>
              <w:textAlignment w:val="auto"/>
              <w:rPr>
                <w:sz w:val="18"/>
                <w:szCs w:val="18"/>
              </w:rPr>
            </w:pPr>
            <w:r>
              <w:rPr>
                <w:rFonts w:hint="eastAsia"/>
                <w:sz w:val="18"/>
                <w:szCs w:val="18"/>
              </w:rPr>
              <w:t>差额</w:t>
            </w:r>
            <w:r>
              <w:rPr>
                <w:sz w:val="18"/>
                <w:szCs w:val="18"/>
              </w:rPr>
              <w:t>+</w:t>
            </w:r>
            <w:r>
              <w:rPr>
                <w:rFonts w:hint="eastAsia"/>
                <w:sz w:val="18"/>
                <w:szCs w:val="18"/>
              </w:rPr>
              <w:t>（元）</w:t>
            </w:r>
          </w:p>
        </w:tc>
        <w:tc>
          <w:tcPr>
            <w:tcW w:w="1247" w:type="dxa"/>
            <w:tcBorders>
              <w:top w:val="single" w:color="auto" w:sz="8" w:space="0"/>
            </w:tcBorders>
            <w:vAlign w:val="center"/>
          </w:tcPr>
          <w:p w14:paraId="221F72FC">
            <w:pPr>
              <w:widowControl w:val="0"/>
              <w:jc w:val="center"/>
              <w:textAlignment w:val="auto"/>
              <w:rPr>
                <w:sz w:val="18"/>
                <w:szCs w:val="18"/>
              </w:rPr>
            </w:pPr>
            <w:r>
              <w:rPr>
                <w:rFonts w:hint="eastAsia"/>
                <w:sz w:val="18"/>
                <w:szCs w:val="18"/>
              </w:rPr>
              <w:t>备</w:t>
            </w:r>
            <w:r>
              <w:rPr>
                <w:sz w:val="18"/>
                <w:szCs w:val="18"/>
              </w:rPr>
              <w:t xml:space="preserve"> </w:t>
            </w:r>
            <w:r>
              <w:rPr>
                <w:rFonts w:hint="eastAsia"/>
                <w:sz w:val="18"/>
                <w:szCs w:val="18"/>
              </w:rPr>
              <w:t>注</w:t>
            </w:r>
          </w:p>
        </w:tc>
      </w:tr>
      <w:tr w14:paraId="3AFC1E1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701" w:type="dxa"/>
            <w:vAlign w:val="center"/>
          </w:tcPr>
          <w:p w14:paraId="4E7932F0">
            <w:pPr>
              <w:widowControl w:val="0"/>
              <w:spacing w:line="360" w:lineRule="auto"/>
              <w:jc w:val="center"/>
              <w:textAlignment w:val="auto"/>
              <w:rPr>
                <w:sz w:val="18"/>
                <w:szCs w:val="18"/>
              </w:rPr>
            </w:pPr>
          </w:p>
        </w:tc>
        <w:tc>
          <w:tcPr>
            <w:tcW w:w="2050" w:type="dxa"/>
          </w:tcPr>
          <w:p w14:paraId="671F1720">
            <w:pPr>
              <w:widowControl w:val="0"/>
              <w:spacing w:line="360" w:lineRule="auto"/>
              <w:textAlignment w:val="auto"/>
              <w:rPr>
                <w:sz w:val="18"/>
                <w:szCs w:val="18"/>
              </w:rPr>
            </w:pPr>
          </w:p>
        </w:tc>
        <w:tc>
          <w:tcPr>
            <w:tcW w:w="1208" w:type="dxa"/>
          </w:tcPr>
          <w:p w14:paraId="6829EF0E">
            <w:pPr>
              <w:widowControl w:val="0"/>
              <w:spacing w:line="360" w:lineRule="auto"/>
              <w:textAlignment w:val="auto"/>
              <w:rPr>
                <w:sz w:val="18"/>
                <w:szCs w:val="18"/>
              </w:rPr>
            </w:pPr>
          </w:p>
        </w:tc>
        <w:tc>
          <w:tcPr>
            <w:tcW w:w="1040" w:type="dxa"/>
          </w:tcPr>
          <w:p w14:paraId="7F759D9A">
            <w:pPr>
              <w:widowControl w:val="0"/>
              <w:spacing w:line="360" w:lineRule="auto"/>
              <w:textAlignment w:val="auto"/>
              <w:rPr>
                <w:sz w:val="18"/>
                <w:szCs w:val="18"/>
              </w:rPr>
            </w:pPr>
          </w:p>
        </w:tc>
        <w:tc>
          <w:tcPr>
            <w:tcW w:w="905" w:type="dxa"/>
          </w:tcPr>
          <w:p w14:paraId="5D7C5A2F">
            <w:pPr>
              <w:widowControl w:val="0"/>
              <w:spacing w:line="360" w:lineRule="auto"/>
              <w:textAlignment w:val="auto"/>
              <w:rPr>
                <w:sz w:val="18"/>
                <w:szCs w:val="18"/>
              </w:rPr>
            </w:pPr>
          </w:p>
        </w:tc>
        <w:tc>
          <w:tcPr>
            <w:tcW w:w="1795" w:type="dxa"/>
          </w:tcPr>
          <w:p w14:paraId="1B1DEDC9">
            <w:pPr>
              <w:widowControl w:val="0"/>
              <w:spacing w:line="360" w:lineRule="auto"/>
              <w:textAlignment w:val="auto"/>
              <w:rPr>
                <w:sz w:val="18"/>
                <w:szCs w:val="18"/>
              </w:rPr>
            </w:pPr>
          </w:p>
        </w:tc>
        <w:tc>
          <w:tcPr>
            <w:tcW w:w="1247" w:type="dxa"/>
          </w:tcPr>
          <w:p w14:paraId="150F2F51">
            <w:pPr>
              <w:widowControl w:val="0"/>
              <w:spacing w:line="360" w:lineRule="auto"/>
              <w:textAlignment w:val="auto"/>
              <w:rPr>
                <w:sz w:val="18"/>
                <w:szCs w:val="18"/>
              </w:rPr>
            </w:pPr>
          </w:p>
        </w:tc>
      </w:tr>
      <w:tr w14:paraId="216BBF0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701" w:type="dxa"/>
            <w:vAlign w:val="center"/>
          </w:tcPr>
          <w:p w14:paraId="36097F07">
            <w:pPr>
              <w:widowControl w:val="0"/>
              <w:spacing w:line="360" w:lineRule="auto"/>
              <w:jc w:val="center"/>
              <w:textAlignment w:val="auto"/>
              <w:rPr>
                <w:sz w:val="18"/>
                <w:szCs w:val="18"/>
              </w:rPr>
            </w:pPr>
          </w:p>
        </w:tc>
        <w:tc>
          <w:tcPr>
            <w:tcW w:w="2050" w:type="dxa"/>
          </w:tcPr>
          <w:p w14:paraId="797C9267">
            <w:pPr>
              <w:widowControl w:val="0"/>
              <w:spacing w:line="360" w:lineRule="auto"/>
              <w:textAlignment w:val="auto"/>
              <w:rPr>
                <w:sz w:val="18"/>
                <w:szCs w:val="18"/>
              </w:rPr>
            </w:pPr>
          </w:p>
        </w:tc>
        <w:tc>
          <w:tcPr>
            <w:tcW w:w="1208" w:type="dxa"/>
          </w:tcPr>
          <w:p w14:paraId="1A75D724">
            <w:pPr>
              <w:widowControl w:val="0"/>
              <w:spacing w:line="360" w:lineRule="auto"/>
              <w:textAlignment w:val="auto"/>
              <w:rPr>
                <w:sz w:val="18"/>
                <w:szCs w:val="18"/>
              </w:rPr>
            </w:pPr>
          </w:p>
        </w:tc>
        <w:tc>
          <w:tcPr>
            <w:tcW w:w="1040" w:type="dxa"/>
          </w:tcPr>
          <w:p w14:paraId="5523A6C4">
            <w:pPr>
              <w:widowControl w:val="0"/>
              <w:spacing w:line="360" w:lineRule="auto"/>
              <w:textAlignment w:val="auto"/>
              <w:rPr>
                <w:sz w:val="18"/>
                <w:szCs w:val="18"/>
              </w:rPr>
            </w:pPr>
          </w:p>
        </w:tc>
        <w:tc>
          <w:tcPr>
            <w:tcW w:w="905" w:type="dxa"/>
          </w:tcPr>
          <w:p w14:paraId="74498035">
            <w:pPr>
              <w:widowControl w:val="0"/>
              <w:spacing w:line="360" w:lineRule="auto"/>
              <w:textAlignment w:val="auto"/>
              <w:rPr>
                <w:sz w:val="18"/>
                <w:szCs w:val="18"/>
              </w:rPr>
            </w:pPr>
          </w:p>
        </w:tc>
        <w:tc>
          <w:tcPr>
            <w:tcW w:w="1795" w:type="dxa"/>
          </w:tcPr>
          <w:p w14:paraId="4381DCBB">
            <w:pPr>
              <w:widowControl w:val="0"/>
              <w:spacing w:line="360" w:lineRule="auto"/>
              <w:textAlignment w:val="auto"/>
              <w:rPr>
                <w:sz w:val="18"/>
                <w:szCs w:val="18"/>
              </w:rPr>
            </w:pPr>
          </w:p>
        </w:tc>
        <w:tc>
          <w:tcPr>
            <w:tcW w:w="1247" w:type="dxa"/>
          </w:tcPr>
          <w:p w14:paraId="579377FB">
            <w:pPr>
              <w:widowControl w:val="0"/>
              <w:spacing w:line="360" w:lineRule="auto"/>
              <w:textAlignment w:val="auto"/>
              <w:rPr>
                <w:sz w:val="18"/>
                <w:szCs w:val="18"/>
              </w:rPr>
            </w:pPr>
          </w:p>
        </w:tc>
      </w:tr>
      <w:tr w14:paraId="38D483C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701" w:type="dxa"/>
            <w:vAlign w:val="center"/>
          </w:tcPr>
          <w:p w14:paraId="10C6C1E8">
            <w:pPr>
              <w:widowControl w:val="0"/>
              <w:spacing w:line="360" w:lineRule="auto"/>
              <w:jc w:val="center"/>
              <w:textAlignment w:val="auto"/>
              <w:rPr>
                <w:sz w:val="18"/>
                <w:szCs w:val="18"/>
              </w:rPr>
            </w:pPr>
          </w:p>
        </w:tc>
        <w:tc>
          <w:tcPr>
            <w:tcW w:w="2050" w:type="dxa"/>
          </w:tcPr>
          <w:p w14:paraId="648EE255">
            <w:pPr>
              <w:widowControl w:val="0"/>
              <w:spacing w:line="360" w:lineRule="auto"/>
              <w:textAlignment w:val="auto"/>
              <w:rPr>
                <w:sz w:val="18"/>
                <w:szCs w:val="18"/>
              </w:rPr>
            </w:pPr>
          </w:p>
        </w:tc>
        <w:tc>
          <w:tcPr>
            <w:tcW w:w="1208" w:type="dxa"/>
          </w:tcPr>
          <w:p w14:paraId="31DC3349">
            <w:pPr>
              <w:widowControl w:val="0"/>
              <w:spacing w:line="360" w:lineRule="auto"/>
              <w:textAlignment w:val="auto"/>
              <w:rPr>
                <w:sz w:val="18"/>
                <w:szCs w:val="18"/>
              </w:rPr>
            </w:pPr>
          </w:p>
        </w:tc>
        <w:tc>
          <w:tcPr>
            <w:tcW w:w="1040" w:type="dxa"/>
          </w:tcPr>
          <w:p w14:paraId="622D5FD9">
            <w:pPr>
              <w:widowControl w:val="0"/>
              <w:spacing w:line="360" w:lineRule="auto"/>
              <w:textAlignment w:val="auto"/>
              <w:rPr>
                <w:sz w:val="18"/>
                <w:szCs w:val="18"/>
              </w:rPr>
            </w:pPr>
          </w:p>
        </w:tc>
        <w:tc>
          <w:tcPr>
            <w:tcW w:w="905" w:type="dxa"/>
          </w:tcPr>
          <w:p w14:paraId="5685157E">
            <w:pPr>
              <w:widowControl w:val="0"/>
              <w:spacing w:line="360" w:lineRule="auto"/>
              <w:textAlignment w:val="auto"/>
              <w:rPr>
                <w:sz w:val="18"/>
                <w:szCs w:val="18"/>
              </w:rPr>
            </w:pPr>
          </w:p>
        </w:tc>
        <w:tc>
          <w:tcPr>
            <w:tcW w:w="1795" w:type="dxa"/>
          </w:tcPr>
          <w:p w14:paraId="042E74E1">
            <w:pPr>
              <w:widowControl w:val="0"/>
              <w:spacing w:line="360" w:lineRule="auto"/>
              <w:textAlignment w:val="auto"/>
              <w:rPr>
                <w:sz w:val="18"/>
                <w:szCs w:val="18"/>
              </w:rPr>
            </w:pPr>
          </w:p>
        </w:tc>
        <w:tc>
          <w:tcPr>
            <w:tcW w:w="1247" w:type="dxa"/>
          </w:tcPr>
          <w:p w14:paraId="0C6FB78F">
            <w:pPr>
              <w:widowControl w:val="0"/>
              <w:spacing w:line="360" w:lineRule="auto"/>
              <w:textAlignment w:val="auto"/>
              <w:rPr>
                <w:sz w:val="18"/>
                <w:szCs w:val="18"/>
              </w:rPr>
            </w:pPr>
          </w:p>
        </w:tc>
      </w:tr>
      <w:tr w14:paraId="38315FC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701" w:type="dxa"/>
            <w:vAlign w:val="center"/>
          </w:tcPr>
          <w:p w14:paraId="1C7EC419">
            <w:pPr>
              <w:widowControl w:val="0"/>
              <w:spacing w:line="360" w:lineRule="auto"/>
              <w:jc w:val="center"/>
              <w:textAlignment w:val="auto"/>
              <w:rPr>
                <w:sz w:val="18"/>
                <w:szCs w:val="18"/>
              </w:rPr>
            </w:pPr>
          </w:p>
        </w:tc>
        <w:tc>
          <w:tcPr>
            <w:tcW w:w="2050" w:type="dxa"/>
          </w:tcPr>
          <w:p w14:paraId="1F3AA55C">
            <w:pPr>
              <w:widowControl w:val="0"/>
              <w:spacing w:line="360" w:lineRule="auto"/>
              <w:textAlignment w:val="auto"/>
              <w:rPr>
                <w:sz w:val="18"/>
                <w:szCs w:val="18"/>
              </w:rPr>
            </w:pPr>
          </w:p>
        </w:tc>
        <w:tc>
          <w:tcPr>
            <w:tcW w:w="1208" w:type="dxa"/>
          </w:tcPr>
          <w:p w14:paraId="0FE036C0">
            <w:pPr>
              <w:widowControl w:val="0"/>
              <w:spacing w:line="360" w:lineRule="auto"/>
              <w:textAlignment w:val="auto"/>
              <w:rPr>
                <w:sz w:val="18"/>
                <w:szCs w:val="18"/>
              </w:rPr>
            </w:pPr>
          </w:p>
        </w:tc>
        <w:tc>
          <w:tcPr>
            <w:tcW w:w="1040" w:type="dxa"/>
          </w:tcPr>
          <w:p w14:paraId="4E143604">
            <w:pPr>
              <w:widowControl w:val="0"/>
              <w:spacing w:line="360" w:lineRule="auto"/>
              <w:textAlignment w:val="auto"/>
              <w:rPr>
                <w:sz w:val="18"/>
                <w:szCs w:val="18"/>
              </w:rPr>
            </w:pPr>
          </w:p>
        </w:tc>
        <w:tc>
          <w:tcPr>
            <w:tcW w:w="905" w:type="dxa"/>
          </w:tcPr>
          <w:p w14:paraId="545CD015">
            <w:pPr>
              <w:widowControl w:val="0"/>
              <w:spacing w:line="360" w:lineRule="auto"/>
              <w:textAlignment w:val="auto"/>
              <w:rPr>
                <w:sz w:val="18"/>
                <w:szCs w:val="18"/>
              </w:rPr>
            </w:pPr>
          </w:p>
        </w:tc>
        <w:tc>
          <w:tcPr>
            <w:tcW w:w="1795" w:type="dxa"/>
          </w:tcPr>
          <w:p w14:paraId="7150D74E">
            <w:pPr>
              <w:widowControl w:val="0"/>
              <w:spacing w:line="360" w:lineRule="auto"/>
              <w:textAlignment w:val="auto"/>
              <w:rPr>
                <w:sz w:val="18"/>
                <w:szCs w:val="18"/>
              </w:rPr>
            </w:pPr>
          </w:p>
        </w:tc>
        <w:tc>
          <w:tcPr>
            <w:tcW w:w="1247" w:type="dxa"/>
          </w:tcPr>
          <w:p w14:paraId="4B3DD671">
            <w:pPr>
              <w:widowControl w:val="0"/>
              <w:spacing w:line="360" w:lineRule="auto"/>
              <w:textAlignment w:val="auto"/>
              <w:rPr>
                <w:sz w:val="18"/>
                <w:szCs w:val="18"/>
              </w:rPr>
            </w:pPr>
          </w:p>
        </w:tc>
      </w:tr>
      <w:tr w14:paraId="492841D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701" w:type="dxa"/>
            <w:vAlign w:val="center"/>
          </w:tcPr>
          <w:p w14:paraId="3BAB5A00">
            <w:pPr>
              <w:widowControl w:val="0"/>
              <w:spacing w:line="360" w:lineRule="auto"/>
              <w:jc w:val="center"/>
              <w:textAlignment w:val="auto"/>
              <w:rPr>
                <w:sz w:val="18"/>
                <w:szCs w:val="18"/>
              </w:rPr>
            </w:pPr>
          </w:p>
        </w:tc>
        <w:tc>
          <w:tcPr>
            <w:tcW w:w="2050" w:type="dxa"/>
          </w:tcPr>
          <w:p w14:paraId="071EA12B">
            <w:pPr>
              <w:widowControl w:val="0"/>
              <w:spacing w:line="360" w:lineRule="auto"/>
              <w:textAlignment w:val="auto"/>
              <w:rPr>
                <w:sz w:val="18"/>
                <w:szCs w:val="18"/>
              </w:rPr>
            </w:pPr>
          </w:p>
        </w:tc>
        <w:tc>
          <w:tcPr>
            <w:tcW w:w="1208" w:type="dxa"/>
          </w:tcPr>
          <w:p w14:paraId="3D24E9FA">
            <w:pPr>
              <w:widowControl w:val="0"/>
              <w:spacing w:line="360" w:lineRule="auto"/>
              <w:textAlignment w:val="auto"/>
              <w:rPr>
                <w:sz w:val="18"/>
                <w:szCs w:val="18"/>
              </w:rPr>
            </w:pPr>
          </w:p>
        </w:tc>
        <w:tc>
          <w:tcPr>
            <w:tcW w:w="1040" w:type="dxa"/>
          </w:tcPr>
          <w:p w14:paraId="43A0696E">
            <w:pPr>
              <w:widowControl w:val="0"/>
              <w:spacing w:line="360" w:lineRule="auto"/>
              <w:textAlignment w:val="auto"/>
              <w:rPr>
                <w:sz w:val="18"/>
                <w:szCs w:val="18"/>
              </w:rPr>
            </w:pPr>
          </w:p>
        </w:tc>
        <w:tc>
          <w:tcPr>
            <w:tcW w:w="905" w:type="dxa"/>
          </w:tcPr>
          <w:p w14:paraId="70A95AE9">
            <w:pPr>
              <w:widowControl w:val="0"/>
              <w:spacing w:line="360" w:lineRule="auto"/>
              <w:textAlignment w:val="auto"/>
              <w:rPr>
                <w:sz w:val="18"/>
                <w:szCs w:val="18"/>
              </w:rPr>
            </w:pPr>
          </w:p>
        </w:tc>
        <w:tc>
          <w:tcPr>
            <w:tcW w:w="1795" w:type="dxa"/>
          </w:tcPr>
          <w:p w14:paraId="5444850A">
            <w:pPr>
              <w:widowControl w:val="0"/>
              <w:spacing w:line="360" w:lineRule="auto"/>
              <w:textAlignment w:val="auto"/>
              <w:rPr>
                <w:sz w:val="18"/>
                <w:szCs w:val="18"/>
              </w:rPr>
            </w:pPr>
          </w:p>
        </w:tc>
        <w:tc>
          <w:tcPr>
            <w:tcW w:w="1247" w:type="dxa"/>
          </w:tcPr>
          <w:p w14:paraId="0306B384">
            <w:pPr>
              <w:widowControl w:val="0"/>
              <w:spacing w:line="360" w:lineRule="auto"/>
              <w:textAlignment w:val="auto"/>
              <w:rPr>
                <w:sz w:val="18"/>
                <w:szCs w:val="18"/>
              </w:rPr>
            </w:pPr>
          </w:p>
        </w:tc>
      </w:tr>
      <w:tr w14:paraId="39AD92B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701" w:type="dxa"/>
            <w:vAlign w:val="center"/>
          </w:tcPr>
          <w:p w14:paraId="35907657">
            <w:pPr>
              <w:widowControl w:val="0"/>
              <w:spacing w:line="360" w:lineRule="auto"/>
              <w:jc w:val="center"/>
              <w:textAlignment w:val="auto"/>
              <w:rPr>
                <w:sz w:val="18"/>
                <w:szCs w:val="18"/>
              </w:rPr>
            </w:pPr>
          </w:p>
        </w:tc>
        <w:tc>
          <w:tcPr>
            <w:tcW w:w="2050" w:type="dxa"/>
          </w:tcPr>
          <w:p w14:paraId="7C4FBE40">
            <w:pPr>
              <w:widowControl w:val="0"/>
              <w:spacing w:line="360" w:lineRule="auto"/>
              <w:textAlignment w:val="auto"/>
              <w:rPr>
                <w:sz w:val="18"/>
                <w:szCs w:val="18"/>
              </w:rPr>
            </w:pPr>
          </w:p>
        </w:tc>
        <w:tc>
          <w:tcPr>
            <w:tcW w:w="1208" w:type="dxa"/>
          </w:tcPr>
          <w:p w14:paraId="543E4485">
            <w:pPr>
              <w:widowControl w:val="0"/>
              <w:spacing w:line="360" w:lineRule="auto"/>
              <w:textAlignment w:val="auto"/>
              <w:rPr>
                <w:sz w:val="18"/>
                <w:szCs w:val="18"/>
              </w:rPr>
            </w:pPr>
          </w:p>
        </w:tc>
        <w:tc>
          <w:tcPr>
            <w:tcW w:w="1040" w:type="dxa"/>
          </w:tcPr>
          <w:p w14:paraId="72E5A91D">
            <w:pPr>
              <w:widowControl w:val="0"/>
              <w:spacing w:line="360" w:lineRule="auto"/>
              <w:textAlignment w:val="auto"/>
              <w:rPr>
                <w:sz w:val="18"/>
                <w:szCs w:val="18"/>
              </w:rPr>
            </w:pPr>
          </w:p>
        </w:tc>
        <w:tc>
          <w:tcPr>
            <w:tcW w:w="905" w:type="dxa"/>
          </w:tcPr>
          <w:p w14:paraId="28AB9E66">
            <w:pPr>
              <w:widowControl w:val="0"/>
              <w:spacing w:line="360" w:lineRule="auto"/>
              <w:textAlignment w:val="auto"/>
              <w:rPr>
                <w:sz w:val="18"/>
                <w:szCs w:val="18"/>
              </w:rPr>
            </w:pPr>
          </w:p>
        </w:tc>
        <w:tc>
          <w:tcPr>
            <w:tcW w:w="1795" w:type="dxa"/>
          </w:tcPr>
          <w:p w14:paraId="56C3AC48">
            <w:pPr>
              <w:widowControl w:val="0"/>
              <w:spacing w:line="360" w:lineRule="auto"/>
              <w:textAlignment w:val="auto"/>
              <w:rPr>
                <w:sz w:val="18"/>
                <w:szCs w:val="18"/>
              </w:rPr>
            </w:pPr>
          </w:p>
        </w:tc>
        <w:tc>
          <w:tcPr>
            <w:tcW w:w="1247" w:type="dxa"/>
          </w:tcPr>
          <w:p w14:paraId="6A41CFC3">
            <w:pPr>
              <w:widowControl w:val="0"/>
              <w:spacing w:line="360" w:lineRule="auto"/>
              <w:textAlignment w:val="auto"/>
              <w:rPr>
                <w:sz w:val="18"/>
                <w:szCs w:val="18"/>
              </w:rPr>
            </w:pPr>
          </w:p>
        </w:tc>
      </w:tr>
      <w:tr w14:paraId="474F45B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701" w:type="dxa"/>
            <w:vAlign w:val="center"/>
          </w:tcPr>
          <w:p w14:paraId="600BD4EB">
            <w:pPr>
              <w:widowControl w:val="0"/>
              <w:spacing w:line="360" w:lineRule="auto"/>
              <w:jc w:val="center"/>
              <w:textAlignment w:val="auto"/>
              <w:rPr>
                <w:sz w:val="18"/>
                <w:szCs w:val="18"/>
              </w:rPr>
            </w:pPr>
          </w:p>
        </w:tc>
        <w:tc>
          <w:tcPr>
            <w:tcW w:w="2050" w:type="dxa"/>
          </w:tcPr>
          <w:p w14:paraId="16BFE2C2">
            <w:pPr>
              <w:widowControl w:val="0"/>
              <w:spacing w:line="360" w:lineRule="auto"/>
              <w:textAlignment w:val="auto"/>
              <w:rPr>
                <w:sz w:val="18"/>
                <w:szCs w:val="18"/>
              </w:rPr>
            </w:pPr>
          </w:p>
        </w:tc>
        <w:tc>
          <w:tcPr>
            <w:tcW w:w="1208" w:type="dxa"/>
          </w:tcPr>
          <w:p w14:paraId="0009B9AD">
            <w:pPr>
              <w:widowControl w:val="0"/>
              <w:spacing w:line="360" w:lineRule="auto"/>
              <w:textAlignment w:val="auto"/>
              <w:rPr>
                <w:sz w:val="18"/>
                <w:szCs w:val="18"/>
              </w:rPr>
            </w:pPr>
          </w:p>
        </w:tc>
        <w:tc>
          <w:tcPr>
            <w:tcW w:w="1040" w:type="dxa"/>
          </w:tcPr>
          <w:p w14:paraId="6BD1CDC2">
            <w:pPr>
              <w:widowControl w:val="0"/>
              <w:spacing w:line="360" w:lineRule="auto"/>
              <w:textAlignment w:val="auto"/>
              <w:rPr>
                <w:sz w:val="18"/>
                <w:szCs w:val="18"/>
              </w:rPr>
            </w:pPr>
          </w:p>
        </w:tc>
        <w:tc>
          <w:tcPr>
            <w:tcW w:w="905" w:type="dxa"/>
          </w:tcPr>
          <w:p w14:paraId="4ADDC554">
            <w:pPr>
              <w:widowControl w:val="0"/>
              <w:spacing w:line="360" w:lineRule="auto"/>
              <w:textAlignment w:val="auto"/>
              <w:rPr>
                <w:sz w:val="18"/>
                <w:szCs w:val="18"/>
              </w:rPr>
            </w:pPr>
          </w:p>
        </w:tc>
        <w:tc>
          <w:tcPr>
            <w:tcW w:w="1795" w:type="dxa"/>
          </w:tcPr>
          <w:p w14:paraId="50E9F4AB">
            <w:pPr>
              <w:widowControl w:val="0"/>
              <w:spacing w:line="360" w:lineRule="auto"/>
              <w:textAlignment w:val="auto"/>
              <w:rPr>
                <w:sz w:val="18"/>
                <w:szCs w:val="18"/>
              </w:rPr>
            </w:pPr>
          </w:p>
        </w:tc>
        <w:tc>
          <w:tcPr>
            <w:tcW w:w="1247" w:type="dxa"/>
          </w:tcPr>
          <w:p w14:paraId="279B318C">
            <w:pPr>
              <w:widowControl w:val="0"/>
              <w:spacing w:line="360" w:lineRule="auto"/>
              <w:textAlignment w:val="auto"/>
              <w:rPr>
                <w:sz w:val="18"/>
                <w:szCs w:val="18"/>
              </w:rPr>
            </w:pPr>
          </w:p>
        </w:tc>
      </w:tr>
      <w:tr w14:paraId="3D1D8A7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701" w:type="dxa"/>
            <w:vAlign w:val="center"/>
          </w:tcPr>
          <w:p w14:paraId="356D3D15">
            <w:pPr>
              <w:widowControl w:val="0"/>
              <w:spacing w:line="360" w:lineRule="auto"/>
              <w:jc w:val="center"/>
              <w:textAlignment w:val="auto"/>
              <w:rPr>
                <w:sz w:val="18"/>
                <w:szCs w:val="18"/>
              </w:rPr>
            </w:pPr>
          </w:p>
        </w:tc>
        <w:tc>
          <w:tcPr>
            <w:tcW w:w="2050" w:type="dxa"/>
          </w:tcPr>
          <w:p w14:paraId="0D82CECF">
            <w:pPr>
              <w:widowControl w:val="0"/>
              <w:spacing w:line="360" w:lineRule="auto"/>
              <w:textAlignment w:val="auto"/>
              <w:rPr>
                <w:sz w:val="18"/>
                <w:szCs w:val="18"/>
              </w:rPr>
            </w:pPr>
          </w:p>
        </w:tc>
        <w:tc>
          <w:tcPr>
            <w:tcW w:w="1208" w:type="dxa"/>
          </w:tcPr>
          <w:p w14:paraId="503A6392">
            <w:pPr>
              <w:widowControl w:val="0"/>
              <w:spacing w:line="360" w:lineRule="auto"/>
              <w:textAlignment w:val="auto"/>
              <w:rPr>
                <w:sz w:val="18"/>
                <w:szCs w:val="18"/>
              </w:rPr>
            </w:pPr>
          </w:p>
        </w:tc>
        <w:tc>
          <w:tcPr>
            <w:tcW w:w="1040" w:type="dxa"/>
          </w:tcPr>
          <w:p w14:paraId="53F04AC4">
            <w:pPr>
              <w:widowControl w:val="0"/>
              <w:spacing w:line="360" w:lineRule="auto"/>
              <w:textAlignment w:val="auto"/>
              <w:rPr>
                <w:sz w:val="18"/>
                <w:szCs w:val="18"/>
              </w:rPr>
            </w:pPr>
          </w:p>
        </w:tc>
        <w:tc>
          <w:tcPr>
            <w:tcW w:w="905" w:type="dxa"/>
          </w:tcPr>
          <w:p w14:paraId="025C3830">
            <w:pPr>
              <w:widowControl w:val="0"/>
              <w:spacing w:line="360" w:lineRule="auto"/>
              <w:textAlignment w:val="auto"/>
              <w:rPr>
                <w:sz w:val="18"/>
                <w:szCs w:val="18"/>
              </w:rPr>
            </w:pPr>
          </w:p>
        </w:tc>
        <w:tc>
          <w:tcPr>
            <w:tcW w:w="1795" w:type="dxa"/>
          </w:tcPr>
          <w:p w14:paraId="0CDD04B3">
            <w:pPr>
              <w:widowControl w:val="0"/>
              <w:spacing w:line="360" w:lineRule="auto"/>
              <w:textAlignment w:val="auto"/>
              <w:rPr>
                <w:sz w:val="18"/>
                <w:szCs w:val="18"/>
              </w:rPr>
            </w:pPr>
          </w:p>
        </w:tc>
        <w:tc>
          <w:tcPr>
            <w:tcW w:w="1247" w:type="dxa"/>
          </w:tcPr>
          <w:p w14:paraId="54E0185C">
            <w:pPr>
              <w:widowControl w:val="0"/>
              <w:spacing w:line="360" w:lineRule="auto"/>
              <w:textAlignment w:val="auto"/>
              <w:rPr>
                <w:sz w:val="18"/>
                <w:szCs w:val="18"/>
              </w:rPr>
            </w:pPr>
          </w:p>
        </w:tc>
      </w:tr>
      <w:tr w14:paraId="0BE542E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701" w:type="dxa"/>
            <w:vAlign w:val="center"/>
          </w:tcPr>
          <w:p w14:paraId="511029DF">
            <w:pPr>
              <w:widowControl w:val="0"/>
              <w:spacing w:line="360" w:lineRule="auto"/>
              <w:jc w:val="center"/>
              <w:textAlignment w:val="auto"/>
              <w:rPr>
                <w:sz w:val="18"/>
                <w:szCs w:val="18"/>
              </w:rPr>
            </w:pPr>
          </w:p>
        </w:tc>
        <w:tc>
          <w:tcPr>
            <w:tcW w:w="2050" w:type="dxa"/>
          </w:tcPr>
          <w:p w14:paraId="0CDC710D">
            <w:pPr>
              <w:widowControl w:val="0"/>
              <w:spacing w:line="360" w:lineRule="auto"/>
              <w:textAlignment w:val="auto"/>
              <w:rPr>
                <w:sz w:val="18"/>
                <w:szCs w:val="18"/>
              </w:rPr>
            </w:pPr>
          </w:p>
        </w:tc>
        <w:tc>
          <w:tcPr>
            <w:tcW w:w="1208" w:type="dxa"/>
          </w:tcPr>
          <w:p w14:paraId="551EF545">
            <w:pPr>
              <w:widowControl w:val="0"/>
              <w:spacing w:line="360" w:lineRule="auto"/>
              <w:textAlignment w:val="auto"/>
              <w:rPr>
                <w:sz w:val="18"/>
                <w:szCs w:val="18"/>
              </w:rPr>
            </w:pPr>
          </w:p>
        </w:tc>
        <w:tc>
          <w:tcPr>
            <w:tcW w:w="1040" w:type="dxa"/>
          </w:tcPr>
          <w:p w14:paraId="41EA701C">
            <w:pPr>
              <w:widowControl w:val="0"/>
              <w:spacing w:line="360" w:lineRule="auto"/>
              <w:textAlignment w:val="auto"/>
              <w:rPr>
                <w:sz w:val="18"/>
                <w:szCs w:val="18"/>
              </w:rPr>
            </w:pPr>
          </w:p>
        </w:tc>
        <w:tc>
          <w:tcPr>
            <w:tcW w:w="905" w:type="dxa"/>
          </w:tcPr>
          <w:p w14:paraId="39B377C7">
            <w:pPr>
              <w:widowControl w:val="0"/>
              <w:spacing w:line="360" w:lineRule="auto"/>
              <w:textAlignment w:val="auto"/>
              <w:rPr>
                <w:sz w:val="18"/>
                <w:szCs w:val="18"/>
              </w:rPr>
            </w:pPr>
          </w:p>
        </w:tc>
        <w:tc>
          <w:tcPr>
            <w:tcW w:w="1795" w:type="dxa"/>
          </w:tcPr>
          <w:p w14:paraId="67D9AABD">
            <w:pPr>
              <w:widowControl w:val="0"/>
              <w:spacing w:line="360" w:lineRule="auto"/>
              <w:textAlignment w:val="auto"/>
              <w:rPr>
                <w:sz w:val="18"/>
                <w:szCs w:val="18"/>
              </w:rPr>
            </w:pPr>
          </w:p>
        </w:tc>
        <w:tc>
          <w:tcPr>
            <w:tcW w:w="1247" w:type="dxa"/>
          </w:tcPr>
          <w:p w14:paraId="2674FBB9">
            <w:pPr>
              <w:widowControl w:val="0"/>
              <w:spacing w:line="360" w:lineRule="auto"/>
              <w:textAlignment w:val="auto"/>
              <w:rPr>
                <w:sz w:val="18"/>
                <w:szCs w:val="18"/>
              </w:rPr>
            </w:pPr>
          </w:p>
        </w:tc>
      </w:tr>
      <w:tr w14:paraId="70DE5AC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701" w:type="dxa"/>
            <w:vAlign w:val="center"/>
          </w:tcPr>
          <w:p w14:paraId="70E62AB0">
            <w:pPr>
              <w:widowControl w:val="0"/>
              <w:spacing w:line="360" w:lineRule="auto"/>
              <w:jc w:val="center"/>
              <w:textAlignment w:val="auto"/>
              <w:rPr>
                <w:sz w:val="18"/>
                <w:szCs w:val="18"/>
              </w:rPr>
            </w:pPr>
          </w:p>
        </w:tc>
        <w:tc>
          <w:tcPr>
            <w:tcW w:w="2050" w:type="dxa"/>
          </w:tcPr>
          <w:p w14:paraId="01E5EF51">
            <w:pPr>
              <w:widowControl w:val="0"/>
              <w:spacing w:line="360" w:lineRule="auto"/>
              <w:textAlignment w:val="auto"/>
              <w:rPr>
                <w:sz w:val="18"/>
                <w:szCs w:val="18"/>
              </w:rPr>
            </w:pPr>
          </w:p>
        </w:tc>
        <w:tc>
          <w:tcPr>
            <w:tcW w:w="1208" w:type="dxa"/>
          </w:tcPr>
          <w:p w14:paraId="53AEF65B">
            <w:pPr>
              <w:widowControl w:val="0"/>
              <w:spacing w:line="360" w:lineRule="auto"/>
              <w:textAlignment w:val="auto"/>
              <w:rPr>
                <w:sz w:val="18"/>
                <w:szCs w:val="18"/>
              </w:rPr>
            </w:pPr>
          </w:p>
        </w:tc>
        <w:tc>
          <w:tcPr>
            <w:tcW w:w="1040" w:type="dxa"/>
          </w:tcPr>
          <w:p w14:paraId="340797A8">
            <w:pPr>
              <w:widowControl w:val="0"/>
              <w:spacing w:line="360" w:lineRule="auto"/>
              <w:textAlignment w:val="auto"/>
              <w:rPr>
                <w:sz w:val="18"/>
                <w:szCs w:val="18"/>
              </w:rPr>
            </w:pPr>
          </w:p>
        </w:tc>
        <w:tc>
          <w:tcPr>
            <w:tcW w:w="905" w:type="dxa"/>
          </w:tcPr>
          <w:p w14:paraId="0FD69288">
            <w:pPr>
              <w:widowControl w:val="0"/>
              <w:spacing w:line="360" w:lineRule="auto"/>
              <w:textAlignment w:val="auto"/>
              <w:rPr>
                <w:sz w:val="18"/>
                <w:szCs w:val="18"/>
              </w:rPr>
            </w:pPr>
          </w:p>
        </w:tc>
        <w:tc>
          <w:tcPr>
            <w:tcW w:w="1795" w:type="dxa"/>
          </w:tcPr>
          <w:p w14:paraId="27E87471">
            <w:pPr>
              <w:widowControl w:val="0"/>
              <w:spacing w:line="360" w:lineRule="auto"/>
              <w:textAlignment w:val="auto"/>
              <w:rPr>
                <w:sz w:val="18"/>
                <w:szCs w:val="18"/>
              </w:rPr>
            </w:pPr>
          </w:p>
        </w:tc>
        <w:tc>
          <w:tcPr>
            <w:tcW w:w="1247" w:type="dxa"/>
          </w:tcPr>
          <w:p w14:paraId="79FE2BEF">
            <w:pPr>
              <w:widowControl w:val="0"/>
              <w:spacing w:line="360" w:lineRule="auto"/>
              <w:textAlignment w:val="auto"/>
              <w:rPr>
                <w:sz w:val="18"/>
                <w:szCs w:val="18"/>
              </w:rPr>
            </w:pPr>
          </w:p>
        </w:tc>
      </w:tr>
      <w:tr w14:paraId="5479D40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3959" w:type="dxa"/>
            <w:gridSpan w:val="3"/>
            <w:tcBorders>
              <w:bottom w:val="single" w:color="auto" w:sz="8" w:space="0"/>
            </w:tcBorders>
            <w:vAlign w:val="center"/>
          </w:tcPr>
          <w:p w14:paraId="22354B54">
            <w:pPr>
              <w:widowControl w:val="0"/>
              <w:textAlignment w:val="auto"/>
              <w:rPr>
                <w:sz w:val="18"/>
                <w:szCs w:val="18"/>
              </w:rPr>
            </w:pPr>
            <w:r>
              <w:rPr>
                <w:sz w:val="18"/>
                <w:szCs w:val="18"/>
              </w:rPr>
              <w:t xml:space="preserve">              </w:t>
            </w:r>
            <w:r>
              <w:rPr>
                <w:rFonts w:hint="eastAsia"/>
                <w:sz w:val="18"/>
                <w:szCs w:val="18"/>
              </w:rPr>
              <w:t>合</w:t>
            </w:r>
            <w:r>
              <w:rPr>
                <w:sz w:val="18"/>
                <w:szCs w:val="18"/>
              </w:rPr>
              <w:t xml:space="preserve">    </w:t>
            </w:r>
            <w:r>
              <w:rPr>
                <w:rFonts w:hint="eastAsia"/>
                <w:sz w:val="18"/>
                <w:szCs w:val="18"/>
              </w:rPr>
              <w:t>计</w:t>
            </w:r>
          </w:p>
        </w:tc>
        <w:tc>
          <w:tcPr>
            <w:tcW w:w="1040" w:type="dxa"/>
            <w:tcBorders>
              <w:bottom w:val="single" w:color="auto" w:sz="8" w:space="0"/>
            </w:tcBorders>
          </w:tcPr>
          <w:p w14:paraId="387FFD66">
            <w:pPr>
              <w:widowControl w:val="0"/>
              <w:spacing w:line="360" w:lineRule="auto"/>
              <w:textAlignment w:val="auto"/>
              <w:rPr>
                <w:sz w:val="18"/>
                <w:szCs w:val="18"/>
              </w:rPr>
            </w:pPr>
          </w:p>
        </w:tc>
        <w:tc>
          <w:tcPr>
            <w:tcW w:w="905" w:type="dxa"/>
            <w:tcBorders>
              <w:bottom w:val="single" w:color="auto" w:sz="8" w:space="0"/>
            </w:tcBorders>
          </w:tcPr>
          <w:p w14:paraId="1700E473">
            <w:pPr>
              <w:widowControl w:val="0"/>
              <w:spacing w:line="360" w:lineRule="auto"/>
              <w:textAlignment w:val="auto"/>
              <w:rPr>
                <w:sz w:val="18"/>
                <w:szCs w:val="18"/>
              </w:rPr>
            </w:pPr>
          </w:p>
        </w:tc>
        <w:tc>
          <w:tcPr>
            <w:tcW w:w="1795" w:type="dxa"/>
            <w:tcBorders>
              <w:bottom w:val="single" w:color="auto" w:sz="8" w:space="0"/>
            </w:tcBorders>
          </w:tcPr>
          <w:p w14:paraId="3B4FBF31">
            <w:pPr>
              <w:widowControl w:val="0"/>
              <w:spacing w:line="360" w:lineRule="auto"/>
              <w:textAlignment w:val="auto"/>
              <w:rPr>
                <w:sz w:val="18"/>
                <w:szCs w:val="18"/>
              </w:rPr>
            </w:pPr>
          </w:p>
        </w:tc>
        <w:tc>
          <w:tcPr>
            <w:tcW w:w="1247" w:type="dxa"/>
            <w:tcBorders>
              <w:bottom w:val="single" w:color="auto" w:sz="8" w:space="0"/>
            </w:tcBorders>
          </w:tcPr>
          <w:p w14:paraId="1E70DBE8">
            <w:pPr>
              <w:widowControl w:val="0"/>
              <w:spacing w:line="360" w:lineRule="auto"/>
              <w:textAlignment w:val="auto"/>
              <w:rPr>
                <w:sz w:val="18"/>
                <w:szCs w:val="18"/>
              </w:rPr>
            </w:pPr>
          </w:p>
        </w:tc>
      </w:tr>
    </w:tbl>
    <w:p w14:paraId="1221810B">
      <w:pPr>
        <w:widowControl w:val="0"/>
        <w:spacing w:line="240" w:lineRule="atLeast"/>
        <w:textAlignment w:val="auto"/>
        <w:rPr>
          <w:sz w:val="18"/>
          <w:szCs w:val="18"/>
        </w:rPr>
      </w:pPr>
      <w:r>
        <w:rPr>
          <w:rFonts w:hint="eastAsia"/>
          <w:sz w:val="18"/>
          <w:szCs w:val="18"/>
        </w:rPr>
        <w:t>注：此表</w:t>
      </w:r>
      <w:r>
        <w:rPr>
          <w:sz w:val="18"/>
          <w:szCs w:val="18"/>
        </w:rPr>
        <w:t>“</w:t>
      </w:r>
      <w:r>
        <w:rPr>
          <w:rFonts w:hint="eastAsia"/>
          <w:sz w:val="18"/>
          <w:szCs w:val="18"/>
        </w:rPr>
        <w:t>暂估价金额</w:t>
      </w:r>
      <w:r>
        <w:rPr>
          <w:sz w:val="18"/>
          <w:szCs w:val="18"/>
        </w:rPr>
        <w:t>”</w:t>
      </w:r>
      <w:r>
        <w:rPr>
          <w:rFonts w:hint="eastAsia"/>
          <w:sz w:val="18"/>
          <w:szCs w:val="18"/>
        </w:rPr>
        <w:t>由招标人填写，投标人应将</w:t>
      </w:r>
      <w:r>
        <w:rPr>
          <w:sz w:val="18"/>
          <w:szCs w:val="18"/>
        </w:rPr>
        <w:t>“</w:t>
      </w:r>
      <w:r>
        <w:rPr>
          <w:rFonts w:hint="eastAsia"/>
          <w:sz w:val="18"/>
          <w:szCs w:val="18"/>
        </w:rPr>
        <w:t>暂估金额</w:t>
      </w:r>
      <w:r>
        <w:rPr>
          <w:sz w:val="18"/>
          <w:szCs w:val="18"/>
        </w:rPr>
        <w:t>”</w:t>
      </w:r>
      <w:r>
        <w:rPr>
          <w:rFonts w:hint="eastAsia"/>
          <w:sz w:val="18"/>
          <w:szCs w:val="18"/>
        </w:rPr>
        <w:t>计入投标总价中，结算时按合同约定结算金额填写。</w:t>
      </w:r>
    </w:p>
    <w:p w14:paraId="199A96BA">
      <w:pPr>
        <w:widowControl w:val="0"/>
        <w:tabs>
          <w:tab w:val="left" w:pos="6135"/>
        </w:tabs>
        <w:textAlignment w:val="auto"/>
        <w:rPr>
          <w:rFonts w:eastAsia="黑体"/>
        </w:rPr>
      </w:pPr>
    </w:p>
    <w:p w14:paraId="57578EAE">
      <w:pPr>
        <w:widowControl w:val="0"/>
        <w:tabs>
          <w:tab w:val="left" w:pos="6135"/>
        </w:tabs>
        <w:textAlignment w:val="auto"/>
        <w:rPr>
          <w:rFonts w:eastAsia="黑体"/>
        </w:rPr>
      </w:pPr>
    </w:p>
    <w:p w14:paraId="5A393055">
      <w:pPr>
        <w:widowControl w:val="0"/>
        <w:tabs>
          <w:tab w:val="left" w:pos="6135"/>
        </w:tabs>
        <w:jc w:val="right"/>
        <w:textAlignment w:val="auto"/>
        <w:rPr>
          <w:sz w:val="32"/>
          <w:szCs w:val="32"/>
        </w:rPr>
      </w:pPr>
      <w:r>
        <w:rPr>
          <w:rFonts w:hint="eastAsia" w:eastAsia="黑体"/>
        </w:rPr>
        <w:t>表</w:t>
      </w:r>
      <w:r>
        <w:rPr>
          <w:rFonts w:eastAsia="黑体"/>
        </w:rPr>
        <w:t>-12-3</w:t>
      </w:r>
    </w:p>
    <w:p w14:paraId="6CB474FF">
      <w:pPr>
        <w:widowControl w:val="0"/>
        <w:spacing w:line="240" w:lineRule="atLeast"/>
        <w:textAlignment w:val="auto"/>
        <w:rPr>
          <w:szCs w:val="21"/>
        </w:rPr>
      </w:pPr>
    </w:p>
    <w:p w14:paraId="0C14235B">
      <w:pPr>
        <w:widowControl w:val="0"/>
        <w:tabs>
          <w:tab w:val="left" w:pos="6135"/>
        </w:tabs>
        <w:jc w:val="center"/>
        <w:textAlignment w:val="auto"/>
        <w:rPr>
          <w:rFonts w:eastAsia="黑体"/>
          <w:sz w:val="32"/>
          <w:szCs w:val="32"/>
        </w:rPr>
      </w:pPr>
      <w:r>
        <w:rPr>
          <w:rFonts w:eastAsia="黑体"/>
          <w:sz w:val="32"/>
          <w:szCs w:val="32"/>
        </w:rPr>
        <w:t>G.5</w:t>
      </w:r>
      <w:r>
        <w:rPr>
          <w:rFonts w:hint="eastAsia" w:eastAsia="黑体"/>
          <w:sz w:val="32"/>
          <w:szCs w:val="32"/>
        </w:rPr>
        <w:t>计日工表</w:t>
      </w:r>
    </w:p>
    <w:p w14:paraId="648AF3D4">
      <w:pPr>
        <w:widowControl w:val="0"/>
        <w:tabs>
          <w:tab w:val="left" w:pos="12120"/>
        </w:tabs>
        <w:spacing w:line="360" w:lineRule="auto"/>
        <w:ind w:left="105" w:hanging="105" w:hangingChars="50"/>
        <w:textAlignment w:val="auto"/>
        <w:rPr>
          <w:szCs w:val="21"/>
        </w:rPr>
      </w:pPr>
      <w:r>
        <w:rPr>
          <w:rFonts w:hint="eastAsia"/>
          <w:szCs w:val="21"/>
        </w:rPr>
        <w:t>工程名称：</w:t>
      </w:r>
      <w:r>
        <w:rPr>
          <w:szCs w:val="21"/>
        </w:rPr>
        <w:t xml:space="preserve">                             </w:t>
      </w:r>
      <w:r>
        <w:rPr>
          <w:rFonts w:hint="eastAsia"/>
          <w:szCs w:val="21"/>
        </w:rPr>
        <w:t>标段</w:t>
      </w:r>
      <w:r>
        <w:rPr>
          <w:szCs w:val="21"/>
        </w:rPr>
        <w:t xml:space="preserve"> </w:t>
      </w:r>
      <w:r>
        <w:rPr>
          <w:rFonts w:hint="eastAsia"/>
          <w:szCs w:val="21"/>
        </w:rPr>
        <w:t>：</w:t>
      </w:r>
      <w:r>
        <w:rPr>
          <w:szCs w:val="21"/>
        </w:rPr>
        <w:t xml:space="preserve">                    </w:t>
      </w:r>
      <w:r>
        <w:rPr>
          <w:rFonts w:hint="eastAsia"/>
          <w:szCs w:val="21"/>
        </w:rPr>
        <w:t>第</w:t>
      </w:r>
      <w:r>
        <w:rPr>
          <w:szCs w:val="21"/>
        </w:rPr>
        <w:t xml:space="preserve">  </w:t>
      </w:r>
      <w:r>
        <w:rPr>
          <w:rFonts w:hint="eastAsia"/>
          <w:szCs w:val="21"/>
        </w:rPr>
        <w:t>页</w:t>
      </w:r>
      <w:r>
        <w:rPr>
          <w:szCs w:val="21"/>
        </w:rPr>
        <w:t xml:space="preserve"> </w:t>
      </w:r>
      <w:r>
        <w:rPr>
          <w:rFonts w:hint="eastAsia"/>
          <w:szCs w:val="21"/>
        </w:rPr>
        <w:t>共</w:t>
      </w:r>
      <w:r>
        <w:rPr>
          <w:szCs w:val="21"/>
        </w:rPr>
        <w:t xml:space="preserve">  </w:t>
      </w:r>
      <w:r>
        <w:rPr>
          <w:rFonts w:hint="eastAsia"/>
          <w:szCs w:val="21"/>
        </w:rPr>
        <w:t>页</w:t>
      </w:r>
    </w:p>
    <w:tbl>
      <w:tblPr>
        <w:tblStyle w:val="45"/>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67"/>
        <w:gridCol w:w="1378"/>
        <w:gridCol w:w="866"/>
        <w:gridCol w:w="1349"/>
        <w:gridCol w:w="1238"/>
        <w:gridCol w:w="1116"/>
        <w:gridCol w:w="1116"/>
        <w:gridCol w:w="1116"/>
      </w:tblGrid>
      <w:tr w14:paraId="2B8BAA3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767" w:type="dxa"/>
            <w:vMerge w:val="restart"/>
            <w:tcBorders>
              <w:top w:val="single" w:color="auto" w:sz="8" w:space="0"/>
            </w:tcBorders>
            <w:vAlign w:val="center"/>
          </w:tcPr>
          <w:p w14:paraId="09CE06CC">
            <w:pPr>
              <w:widowControl w:val="0"/>
              <w:jc w:val="center"/>
              <w:textAlignment w:val="auto"/>
              <w:rPr>
                <w:rFonts w:eastAsia="黑体"/>
                <w:sz w:val="24"/>
              </w:rPr>
            </w:pPr>
            <w:r>
              <w:rPr>
                <w:rFonts w:hint="eastAsia" w:eastAsia="黑体"/>
                <w:sz w:val="24"/>
              </w:rPr>
              <w:t>编号</w:t>
            </w:r>
          </w:p>
        </w:tc>
        <w:tc>
          <w:tcPr>
            <w:tcW w:w="1378" w:type="dxa"/>
            <w:vMerge w:val="restart"/>
            <w:tcBorders>
              <w:top w:val="single" w:color="auto" w:sz="8" w:space="0"/>
            </w:tcBorders>
            <w:vAlign w:val="center"/>
          </w:tcPr>
          <w:p w14:paraId="50BA3E98">
            <w:pPr>
              <w:widowControl w:val="0"/>
              <w:jc w:val="center"/>
              <w:textAlignment w:val="auto"/>
              <w:rPr>
                <w:rFonts w:eastAsia="黑体"/>
                <w:sz w:val="24"/>
              </w:rPr>
            </w:pPr>
            <w:r>
              <w:rPr>
                <w:rFonts w:hint="eastAsia" w:eastAsia="黑体"/>
                <w:sz w:val="24"/>
              </w:rPr>
              <w:t>项目名称</w:t>
            </w:r>
          </w:p>
        </w:tc>
        <w:tc>
          <w:tcPr>
            <w:tcW w:w="866" w:type="dxa"/>
            <w:vMerge w:val="restart"/>
            <w:tcBorders>
              <w:top w:val="single" w:color="auto" w:sz="8" w:space="0"/>
            </w:tcBorders>
            <w:vAlign w:val="center"/>
          </w:tcPr>
          <w:p w14:paraId="0F2EA15E">
            <w:pPr>
              <w:widowControl w:val="0"/>
              <w:jc w:val="center"/>
              <w:textAlignment w:val="auto"/>
              <w:rPr>
                <w:rFonts w:eastAsia="黑体"/>
                <w:sz w:val="24"/>
              </w:rPr>
            </w:pPr>
            <w:r>
              <w:rPr>
                <w:rFonts w:hint="eastAsia" w:eastAsia="黑体"/>
                <w:sz w:val="24"/>
              </w:rPr>
              <w:t>单位</w:t>
            </w:r>
          </w:p>
        </w:tc>
        <w:tc>
          <w:tcPr>
            <w:tcW w:w="1349" w:type="dxa"/>
            <w:vMerge w:val="restart"/>
            <w:tcBorders>
              <w:top w:val="single" w:color="auto" w:sz="8" w:space="0"/>
            </w:tcBorders>
            <w:vAlign w:val="center"/>
          </w:tcPr>
          <w:p w14:paraId="54BCE008">
            <w:pPr>
              <w:widowControl w:val="0"/>
              <w:jc w:val="center"/>
              <w:textAlignment w:val="auto"/>
              <w:rPr>
                <w:rFonts w:eastAsia="黑体"/>
                <w:sz w:val="24"/>
              </w:rPr>
            </w:pPr>
            <w:r>
              <w:rPr>
                <w:rFonts w:hint="eastAsia" w:eastAsia="黑体"/>
                <w:sz w:val="24"/>
              </w:rPr>
              <w:t>暂定数量</w:t>
            </w:r>
          </w:p>
        </w:tc>
        <w:tc>
          <w:tcPr>
            <w:tcW w:w="1238" w:type="dxa"/>
            <w:vMerge w:val="restart"/>
            <w:tcBorders>
              <w:top w:val="single" w:color="auto" w:sz="8" w:space="0"/>
            </w:tcBorders>
            <w:vAlign w:val="center"/>
          </w:tcPr>
          <w:p w14:paraId="6486A3C6">
            <w:pPr>
              <w:widowControl w:val="0"/>
              <w:jc w:val="center"/>
              <w:textAlignment w:val="auto"/>
              <w:rPr>
                <w:rFonts w:eastAsia="黑体"/>
                <w:sz w:val="24"/>
              </w:rPr>
            </w:pPr>
            <w:r>
              <w:rPr>
                <w:rFonts w:hint="eastAsia" w:eastAsia="黑体"/>
                <w:sz w:val="24"/>
              </w:rPr>
              <w:t>实际数量</w:t>
            </w:r>
          </w:p>
        </w:tc>
        <w:tc>
          <w:tcPr>
            <w:tcW w:w="1116" w:type="dxa"/>
            <w:vMerge w:val="restart"/>
            <w:tcBorders>
              <w:top w:val="single" w:color="auto" w:sz="8" w:space="0"/>
            </w:tcBorders>
            <w:vAlign w:val="center"/>
          </w:tcPr>
          <w:p w14:paraId="2156418C">
            <w:pPr>
              <w:widowControl w:val="0"/>
              <w:jc w:val="center"/>
              <w:textAlignment w:val="auto"/>
              <w:rPr>
                <w:rFonts w:eastAsia="黑体"/>
                <w:sz w:val="24"/>
              </w:rPr>
            </w:pPr>
            <w:r>
              <w:rPr>
                <w:rFonts w:hint="eastAsia" w:eastAsia="黑体"/>
                <w:sz w:val="24"/>
              </w:rPr>
              <w:t>单价</w:t>
            </w:r>
          </w:p>
          <w:p w14:paraId="0E80BE48">
            <w:pPr>
              <w:widowControl w:val="0"/>
              <w:jc w:val="center"/>
              <w:textAlignment w:val="auto"/>
              <w:rPr>
                <w:rFonts w:eastAsia="黑体"/>
                <w:sz w:val="24"/>
              </w:rPr>
            </w:pPr>
            <w:r>
              <w:rPr>
                <w:rFonts w:hint="eastAsia" w:eastAsia="黑体"/>
                <w:sz w:val="24"/>
              </w:rPr>
              <w:t>（元）</w:t>
            </w:r>
          </w:p>
        </w:tc>
        <w:tc>
          <w:tcPr>
            <w:tcW w:w="2232" w:type="dxa"/>
            <w:gridSpan w:val="2"/>
            <w:tcBorders>
              <w:top w:val="single" w:color="auto" w:sz="8" w:space="0"/>
            </w:tcBorders>
            <w:vAlign w:val="center"/>
          </w:tcPr>
          <w:p w14:paraId="36BE44CA">
            <w:pPr>
              <w:widowControl w:val="0"/>
              <w:jc w:val="center"/>
              <w:textAlignment w:val="auto"/>
              <w:rPr>
                <w:rFonts w:eastAsia="黑体"/>
                <w:sz w:val="24"/>
              </w:rPr>
            </w:pPr>
            <w:r>
              <w:rPr>
                <w:rFonts w:hint="eastAsia" w:eastAsia="黑体"/>
                <w:sz w:val="24"/>
              </w:rPr>
              <w:t>合价（元）</w:t>
            </w:r>
          </w:p>
        </w:tc>
      </w:tr>
      <w:tr w14:paraId="248D5F5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767" w:type="dxa"/>
            <w:vMerge w:val="continue"/>
            <w:vAlign w:val="center"/>
          </w:tcPr>
          <w:p w14:paraId="7E56223C">
            <w:pPr>
              <w:widowControl w:val="0"/>
              <w:jc w:val="center"/>
              <w:textAlignment w:val="auto"/>
              <w:rPr>
                <w:rFonts w:eastAsia="黑体"/>
                <w:sz w:val="24"/>
              </w:rPr>
            </w:pPr>
          </w:p>
        </w:tc>
        <w:tc>
          <w:tcPr>
            <w:tcW w:w="1378" w:type="dxa"/>
            <w:vMerge w:val="continue"/>
            <w:vAlign w:val="center"/>
          </w:tcPr>
          <w:p w14:paraId="556E179A">
            <w:pPr>
              <w:widowControl w:val="0"/>
              <w:jc w:val="center"/>
              <w:textAlignment w:val="auto"/>
              <w:rPr>
                <w:rFonts w:eastAsia="黑体"/>
                <w:sz w:val="24"/>
              </w:rPr>
            </w:pPr>
          </w:p>
        </w:tc>
        <w:tc>
          <w:tcPr>
            <w:tcW w:w="866" w:type="dxa"/>
            <w:vMerge w:val="continue"/>
            <w:vAlign w:val="center"/>
          </w:tcPr>
          <w:p w14:paraId="7ADDD5D9">
            <w:pPr>
              <w:widowControl w:val="0"/>
              <w:jc w:val="center"/>
              <w:textAlignment w:val="auto"/>
              <w:rPr>
                <w:rFonts w:eastAsia="黑体"/>
                <w:sz w:val="24"/>
              </w:rPr>
            </w:pPr>
          </w:p>
        </w:tc>
        <w:tc>
          <w:tcPr>
            <w:tcW w:w="1349" w:type="dxa"/>
            <w:vMerge w:val="continue"/>
            <w:vAlign w:val="center"/>
          </w:tcPr>
          <w:p w14:paraId="59187825">
            <w:pPr>
              <w:widowControl w:val="0"/>
              <w:jc w:val="center"/>
              <w:textAlignment w:val="auto"/>
              <w:rPr>
                <w:rFonts w:eastAsia="黑体"/>
                <w:sz w:val="24"/>
              </w:rPr>
            </w:pPr>
          </w:p>
        </w:tc>
        <w:tc>
          <w:tcPr>
            <w:tcW w:w="1238" w:type="dxa"/>
            <w:vMerge w:val="continue"/>
            <w:vAlign w:val="center"/>
          </w:tcPr>
          <w:p w14:paraId="6FF1FA06">
            <w:pPr>
              <w:widowControl w:val="0"/>
              <w:jc w:val="center"/>
              <w:textAlignment w:val="auto"/>
              <w:rPr>
                <w:rFonts w:eastAsia="黑体"/>
                <w:sz w:val="24"/>
              </w:rPr>
            </w:pPr>
          </w:p>
        </w:tc>
        <w:tc>
          <w:tcPr>
            <w:tcW w:w="1116" w:type="dxa"/>
            <w:vMerge w:val="continue"/>
            <w:vAlign w:val="center"/>
          </w:tcPr>
          <w:p w14:paraId="6440B161">
            <w:pPr>
              <w:widowControl w:val="0"/>
              <w:jc w:val="center"/>
              <w:textAlignment w:val="auto"/>
              <w:rPr>
                <w:rFonts w:eastAsia="黑体"/>
                <w:sz w:val="24"/>
              </w:rPr>
            </w:pPr>
          </w:p>
        </w:tc>
        <w:tc>
          <w:tcPr>
            <w:tcW w:w="1116" w:type="dxa"/>
            <w:vAlign w:val="center"/>
          </w:tcPr>
          <w:p w14:paraId="4A95758B">
            <w:pPr>
              <w:widowControl w:val="0"/>
              <w:jc w:val="center"/>
              <w:textAlignment w:val="auto"/>
              <w:rPr>
                <w:rFonts w:eastAsia="黑体"/>
                <w:sz w:val="24"/>
              </w:rPr>
            </w:pPr>
            <w:r>
              <w:rPr>
                <w:rFonts w:hint="eastAsia" w:eastAsia="黑体"/>
                <w:sz w:val="24"/>
              </w:rPr>
              <w:t>暂定</w:t>
            </w:r>
          </w:p>
        </w:tc>
        <w:tc>
          <w:tcPr>
            <w:tcW w:w="1116" w:type="dxa"/>
            <w:vAlign w:val="center"/>
          </w:tcPr>
          <w:p w14:paraId="6B5410C7">
            <w:pPr>
              <w:widowControl w:val="0"/>
              <w:jc w:val="center"/>
              <w:textAlignment w:val="auto"/>
              <w:rPr>
                <w:rFonts w:eastAsia="黑体"/>
                <w:sz w:val="24"/>
              </w:rPr>
            </w:pPr>
            <w:r>
              <w:rPr>
                <w:rFonts w:hint="eastAsia" w:eastAsia="黑体"/>
                <w:sz w:val="24"/>
              </w:rPr>
              <w:t>实际</w:t>
            </w:r>
          </w:p>
        </w:tc>
      </w:tr>
      <w:tr w14:paraId="54048C9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7" w:type="dxa"/>
            <w:vAlign w:val="center"/>
          </w:tcPr>
          <w:p w14:paraId="02256B43">
            <w:pPr>
              <w:widowControl w:val="0"/>
              <w:jc w:val="center"/>
              <w:textAlignment w:val="auto"/>
              <w:rPr>
                <w:rFonts w:eastAsia="仿宋_GB2312"/>
                <w:sz w:val="24"/>
              </w:rPr>
            </w:pPr>
            <w:r>
              <w:rPr>
                <w:rFonts w:hint="eastAsia" w:eastAsia="仿宋_GB2312"/>
                <w:sz w:val="24"/>
              </w:rPr>
              <w:t>一</w:t>
            </w:r>
          </w:p>
        </w:tc>
        <w:tc>
          <w:tcPr>
            <w:tcW w:w="1378" w:type="dxa"/>
            <w:vAlign w:val="center"/>
          </w:tcPr>
          <w:p w14:paraId="2B33D3E1">
            <w:pPr>
              <w:widowControl w:val="0"/>
              <w:jc w:val="center"/>
              <w:textAlignment w:val="auto"/>
              <w:rPr>
                <w:rFonts w:eastAsia="仿宋_GB2312"/>
                <w:sz w:val="24"/>
              </w:rPr>
            </w:pPr>
            <w:r>
              <w:rPr>
                <w:rFonts w:hint="eastAsia" w:eastAsia="仿宋_GB2312"/>
                <w:sz w:val="24"/>
              </w:rPr>
              <w:t>人工</w:t>
            </w:r>
          </w:p>
        </w:tc>
        <w:tc>
          <w:tcPr>
            <w:tcW w:w="866" w:type="dxa"/>
            <w:vAlign w:val="center"/>
          </w:tcPr>
          <w:p w14:paraId="6E22DB2B">
            <w:pPr>
              <w:widowControl w:val="0"/>
              <w:jc w:val="center"/>
              <w:textAlignment w:val="auto"/>
              <w:rPr>
                <w:rFonts w:eastAsia="仿宋_GB2312"/>
                <w:sz w:val="24"/>
              </w:rPr>
            </w:pPr>
          </w:p>
        </w:tc>
        <w:tc>
          <w:tcPr>
            <w:tcW w:w="1349" w:type="dxa"/>
            <w:vAlign w:val="center"/>
          </w:tcPr>
          <w:p w14:paraId="026A2A77">
            <w:pPr>
              <w:widowControl w:val="0"/>
              <w:jc w:val="center"/>
              <w:textAlignment w:val="auto"/>
              <w:rPr>
                <w:rFonts w:eastAsia="仿宋_GB2312"/>
                <w:sz w:val="24"/>
              </w:rPr>
            </w:pPr>
          </w:p>
        </w:tc>
        <w:tc>
          <w:tcPr>
            <w:tcW w:w="1238" w:type="dxa"/>
            <w:vAlign w:val="center"/>
          </w:tcPr>
          <w:p w14:paraId="15DD89BB">
            <w:pPr>
              <w:widowControl w:val="0"/>
              <w:jc w:val="center"/>
              <w:textAlignment w:val="auto"/>
              <w:rPr>
                <w:rFonts w:eastAsia="仿宋_GB2312"/>
                <w:sz w:val="24"/>
              </w:rPr>
            </w:pPr>
          </w:p>
        </w:tc>
        <w:tc>
          <w:tcPr>
            <w:tcW w:w="1116" w:type="dxa"/>
            <w:vAlign w:val="center"/>
          </w:tcPr>
          <w:p w14:paraId="7AEC1941">
            <w:pPr>
              <w:widowControl w:val="0"/>
              <w:jc w:val="center"/>
              <w:textAlignment w:val="auto"/>
              <w:rPr>
                <w:rFonts w:eastAsia="仿宋_GB2312"/>
                <w:sz w:val="24"/>
              </w:rPr>
            </w:pPr>
          </w:p>
        </w:tc>
        <w:tc>
          <w:tcPr>
            <w:tcW w:w="1116" w:type="dxa"/>
            <w:vAlign w:val="center"/>
          </w:tcPr>
          <w:p w14:paraId="3185C17E">
            <w:pPr>
              <w:widowControl w:val="0"/>
              <w:jc w:val="center"/>
              <w:textAlignment w:val="auto"/>
              <w:rPr>
                <w:rFonts w:eastAsia="仿宋_GB2312"/>
                <w:sz w:val="24"/>
              </w:rPr>
            </w:pPr>
          </w:p>
        </w:tc>
        <w:tc>
          <w:tcPr>
            <w:tcW w:w="1116" w:type="dxa"/>
            <w:vAlign w:val="center"/>
          </w:tcPr>
          <w:p w14:paraId="4738884A">
            <w:pPr>
              <w:widowControl w:val="0"/>
              <w:jc w:val="center"/>
              <w:textAlignment w:val="auto"/>
              <w:rPr>
                <w:rFonts w:eastAsia="仿宋_GB2312"/>
                <w:sz w:val="24"/>
              </w:rPr>
            </w:pPr>
          </w:p>
        </w:tc>
      </w:tr>
      <w:tr w14:paraId="1AC0DA9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7" w:type="dxa"/>
            <w:vAlign w:val="center"/>
          </w:tcPr>
          <w:p w14:paraId="2C1356CE">
            <w:pPr>
              <w:widowControl w:val="0"/>
              <w:jc w:val="center"/>
              <w:textAlignment w:val="auto"/>
              <w:rPr>
                <w:rFonts w:eastAsia="仿宋_GB2312"/>
                <w:sz w:val="24"/>
              </w:rPr>
            </w:pPr>
            <w:r>
              <w:rPr>
                <w:rFonts w:eastAsia="仿宋_GB2312"/>
                <w:sz w:val="24"/>
              </w:rPr>
              <w:t>1</w:t>
            </w:r>
          </w:p>
        </w:tc>
        <w:tc>
          <w:tcPr>
            <w:tcW w:w="1378" w:type="dxa"/>
            <w:vAlign w:val="center"/>
          </w:tcPr>
          <w:p w14:paraId="469481AC">
            <w:pPr>
              <w:widowControl w:val="0"/>
              <w:jc w:val="center"/>
              <w:textAlignment w:val="auto"/>
              <w:rPr>
                <w:rFonts w:eastAsia="仿宋_GB2312"/>
                <w:sz w:val="24"/>
              </w:rPr>
            </w:pPr>
          </w:p>
        </w:tc>
        <w:tc>
          <w:tcPr>
            <w:tcW w:w="866" w:type="dxa"/>
            <w:vAlign w:val="center"/>
          </w:tcPr>
          <w:p w14:paraId="31CF7A57">
            <w:pPr>
              <w:widowControl w:val="0"/>
              <w:jc w:val="center"/>
              <w:textAlignment w:val="auto"/>
              <w:rPr>
                <w:rFonts w:eastAsia="仿宋_GB2312"/>
                <w:sz w:val="24"/>
              </w:rPr>
            </w:pPr>
          </w:p>
        </w:tc>
        <w:tc>
          <w:tcPr>
            <w:tcW w:w="1349" w:type="dxa"/>
            <w:vAlign w:val="center"/>
          </w:tcPr>
          <w:p w14:paraId="44C60172">
            <w:pPr>
              <w:widowControl w:val="0"/>
              <w:jc w:val="center"/>
              <w:textAlignment w:val="auto"/>
              <w:rPr>
                <w:rFonts w:eastAsia="仿宋_GB2312"/>
                <w:sz w:val="24"/>
              </w:rPr>
            </w:pPr>
          </w:p>
        </w:tc>
        <w:tc>
          <w:tcPr>
            <w:tcW w:w="1238" w:type="dxa"/>
            <w:vAlign w:val="center"/>
          </w:tcPr>
          <w:p w14:paraId="05AEF1E4">
            <w:pPr>
              <w:widowControl w:val="0"/>
              <w:jc w:val="center"/>
              <w:textAlignment w:val="auto"/>
              <w:rPr>
                <w:rFonts w:eastAsia="仿宋_GB2312"/>
                <w:sz w:val="24"/>
              </w:rPr>
            </w:pPr>
          </w:p>
        </w:tc>
        <w:tc>
          <w:tcPr>
            <w:tcW w:w="1116" w:type="dxa"/>
            <w:vAlign w:val="center"/>
          </w:tcPr>
          <w:p w14:paraId="7E7EECD1">
            <w:pPr>
              <w:widowControl w:val="0"/>
              <w:jc w:val="center"/>
              <w:textAlignment w:val="auto"/>
              <w:rPr>
                <w:rFonts w:eastAsia="仿宋_GB2312"/>
                <w:sz w:val="24"/>
              </w:rPr>
            </w:pPr>
          </w:p>
        </w:tc>
        <w:tc>
          <w:tcPr>
            <w:tcW w:w="1116" w:type="dxa"/>
            <w:vAlign w:val="center"/>
          </w:tcPr>
          <w:p w14:paraId="1EA043FE">
            <w:pPr>
              <w:widowControl w:val="0"/>
              <w:jc w:val="center"/>
              <w:textAlignment w:val="auto"/>
              <w:rPr>
                <w:rFonts w:eastAsia="仿宋_GB2312"/>
                <w:sz w:val="24"/>
              </w:rPr>
            </w:pPr>
          </w:p>
        </w:tc>
        <w:tc>
          <w:tcPr>
            <w:tcW w:w="1116" w:type="dxa"/>
            <w:vAlign w:val="center"/>
          </w:tcPr>
          <w:p w14:paraId="282EC5C6">
            <w:pPr>
              <w:widowControl w:val="0"/>
              <w:jc w:val="center"/>
              <w:textAlignment w:val="auto"/>
              <w:rPr>
                <w:rFonts w:eastAsia="仿宋_GB2312"/>
                <w:sz w:val="24"/>
              </w:rPr>
            </w:pPr>
          </w:p>
        </w:tc>
      </w:tr>
      <w:tr w14:paraId="54125DC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7" w:type="dxa"/>
            <w:vAlign w:val="center"/>
          </w:tcPr>
          <w:p w14:paraId="7E0F06A8">
            <w:pPr>
              <w:widowControl w:val="0"/>
              <w:jc w:val="center"/>
              <w:textAlignment w:val="auto"/>
              <w:rPr>
                <w:rFonts w:eastAsia="仿宋_GB2312"/>
                <w:sz w:val="24"/>
              </w:rPr>
            </w:pPr>
            <w:r>
              <w:rPr>
                <w:rFonts w:eastAsia="仿宋_GB2312"/>
                <w:sz w:val="24"/>
              </w:rPr>
              <w:t>2</w:t>
            </w:r>
          </w:p>
        </w:tc>
        <w:tc>
          <w:tcPr>
            <w:tcW w:w="1378" w:type="dxa"/>
            <w:vAlign w:val="center"/>
          </w:tcPr>
          <w:p w14:paraId="612DBBF0">
            <w:pPr>
              <w:widowControl w:val="0"/>
              <w:jc w:val="center"/>
              <w:textAlignment w:val="auto"/>
              <w:rPr>
                <w:rFonts w:eastAsia="仿宋_GB2312"/>
                <w:sz w:val="24"/>
              </w:rPr>
            </w:pPr>
          </w:p>
        </w:tc>
        <w:tc>
          <w:tcPr>
            <w:tcW w:w="866" w:type="dxa"/>
            <w:vAlign w:val="center"/>
          </w:tcPr>
          <w:p w14:paraId="2760D020">
            <w:pPr>
              <w:widowControl w:val="0"/>
              <w:jc w:val="center"/>
              <w:textAlignment w:val="auto"/>
              <w:rPr>
                <w:rFonts w:eastAsia="仿宋_GB2312"/>
                <w:sz w:val="24"/>
              </w:rPr>
            </w:pPr>
          </w:p>
        </w:tc>
        <w:tc>
          <w:tcPr>
            <w:tcW w:w="1349" w:type="dxa"/>
            <w:vAlign w:val="center"/>
          </w:tcPr>
          <w:p w14:paraId="0E80B5EA">
            <w:pPr>
              <w:widowControl w:val="0"/>
              <w:jc w:val="center"/>
              <w:textAlignment w:val="auto"/>
              <w:rPr>
                <w:rFonts w:eastAsia="仿宋_GB2312"/>
                <w:sz w:val="24"/>
              </w:rPr>
            </w:pPr>
          </w:p>
        </w:tc>
        <w:tc>
          <w:tcPr>
            <w:tcW w:w="1238" w:type="dxa"/>
            <w:vAlign w:val="center"/>
          </w:tcPr>
          <w:p w14:paraId="11DBB5A1">
            <w:pPr>
              <w:widowControl w:val="0"/>
              <w:jc w:val="center"/>
              <w:textAlignment w:val="auto"/>
              <w:rPr>
                <w:rFonts w:eastAsia="仿宋_GB2312"/>
                <w:sz w:val="24"/>
              </w:rPr>
            </w:pPr>
          </w:p>
        </w:tc>
        <w:tc>
          <w:tcPr>
            <w:tcW w:w="1116" w:type="dxa"/>
            <w:vAlign w:val="center"/>
          </w:tcPr>
          <w:p w14:paraId="50026AE3">
            <w:pPr>
              <w:widowControl w:val="0"/>
              <w:jc w:val="center"/>
              <w:textAlignment w:val="auto"/>
              <w:rPr>
                <w:rFonts w:eastAsia="仿宋_GB2312"/>
                <w:sz w:val="24"/>
              </w:rPr>
            </w:pPr>
          </w:p>
        </w:tc>
        <w:tc>
          <w:tcPr>
            <w:tcW w:w="1116" w:type="dxa"/>
            <w:vAlign w:val="center"/>
          </w:tcPr>
          <w:p w14:paraId="2B7AA4EE">
            <w:pPr>
              <w:widowControl w:val="0"/>
              <w:jc w:val="center"/>
              <w:textAlignment w:val="auto"/>
              <w:rPr>
                <w:rFonts w:eastAsia="仿宋_GB2312"/>
                <w:sz w:val="24"/>
              </w:rPr>
            </w:pPr>
          </w:p>
        </w:tc>
        <w:tc>
          <w:tcPr>
            <w:tcW w:w="1116" w:type="dxa"/>
            <w:vAlign w:val="center"/>
          </w:tcPr>
          <w:p w14:paraId="0D828ED8">
            <w:pPr>
              <w:widowControl w:val="0"/>
              <w:jc w:val="center"/>
              <w:textAlignment w:val="auto"/>
              <w:rPr>
                <w:rFonts w:eastAsia="仿宋_GB2312"/>
                <w:sz w:val="24"/>
              </w:rPr>
            </w:pPr>
          </w:p>
        </w:tc>
      </w:tr>
      <w:tr w14:paraId="528CCFD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7" w:type="dxa"/>
            <w:vAlign w:val="center"/>
          </w:tcPr>
          <w:p w14:paraId="7943AA10">
            <w:pPr>
              <w:widowControl w:val="0"/>
              <w:jc w:val="center"/>
              <w:textAlignment w:val="auto"/>
              <w:rPr>
                <w:rFonts w:eastAsia="仿宋_GB2312"/>
                <w:sz w:val="24"/>
              </w:rPr>
            </w:pPr>
            <w:r>
              <w:rPr>
                <w:rFonts w:eastAsia="仿宋_GB2312"/>
                <w:sz w:val="24"/>
              </w:rPr>
              <w:t>……</w:t>
            </w:r>
          </w:p>
        </w:tc>
        <w:tc>
          <w:tcPr>
            <w:tcW w:w="1378" w:type="dxa"/>
            <w:vAlign w:val="center"/>
          </w:tcPr>
          <w:p w14:paraId="262B1429">
            <w:pPr>
              <w:widowControl w:val="0"/>
              <w:jc w:val="center"/>
              <w:textAlignment w:val="auto"/>
              <w:rPr>
                <w:rFonts w:eastAsia="仿宋_GB2312"/>
                <w:sz w:val="24"/>
              </w:rPr>
            </w:pPr>
          </w:p>
        </w:tc>
        <w:tc>
          <w:tcPr>
            <w:tcW w:w="866" w:type="dxa"/>
            <w:vAlign w:val="center"/>
          </w:tcPr>
          <w:p w14:paraId="0ECEB254">
            <w:pPr>
              <w:widowControl w:val="0"/>
              <w:jc w:val="center"/>
              <w:textAlignment w:val="auto"/>
              <w:rPr>
                <w:rFonts w:eastAsia="仿宋_GB2312"/>
                <w:sz w:val="24"/>
              </w:rPr>
            </w:pPr>
          </w:p>
        </w:tc>
        <w:tc>
          <w:tcPr>
            <w:tcW w:w="1349" w:type="dxa"/>
            <w:vAlign w:val="center"/>
          </w:tcPr>
          <w:p w14:paraId="1CD07B09">
            <w:pPr>
              <w:widowControl w:val="0"/>
              <w:jc w:val="center"/>
              <w:textAlignment w:val="auto"/>
              <w:rPr>
                <w:rFonts w:eastAsia="仿宋_GB2312"/>
                <w:sz w:val="24"/>
              </w:rPr>
            </w:pPr>
          </w:p>
        </w:tc>
        <w:tc>
          <w:tcPr>
            <w:tcW w:w="1238" w:type="dxa"/>
            <w:vAlign w:val="center"/>
          </w:tcPr>
          <w:p w14:paraId="536A8EF2">
            <w:pPr>
              <w:widowControl w:val="0"/>
              <w:jc w:val="center"/>
              <w:textAlignment w:val="auto"/>
              <w:rPr>
                <w:rFonts w:eastAsia="仿宋_GB2312"/>
                <w:sz w:val="24"/>
              </w:rPr>
            </w:pPr>
          </w:p>
        </w:tc>
        <w:tc>
          <w:tcPr>
            <w:tcW w:w="1116" w:type="dxa"/>
            <w:vAlign w:val="center"/>
          </w:tcPr>
          <w:p w14:paraId="79104996">
            <w:pPr>
              <w:widowControl w:val="0"/>
              <w:jc w:val="center"/>
              <w:textAlignment w:val="auto"/>
              <w:rPr>
                <w:rFonts w:eastAsia="仿宋_GB2312"/>
                <w:sz w:val="24"/>
              </w:rPr>
            </w:pPr>
          </w:p>
        </w:tc>
        <w:tc>
          <w:tcPr>
            <w:tcW w:w="1116" w:type="dxa"/>
            <w:vAlign w:val="center"/>
          </w:tcPr>
          <w:p w14:paraId="18327459">
            <w:pPr>
              <w:widowControl w:val="0"/>
              <w:jc w:val="center"/>
              <w:textAlignment w:val="auto"/>
              <w:rPr>
                <w:rFonts w:eastAsia="仿宋_GB2312"/>
                <w:sz w:val="24"/>
              </w:rPr>
            </w:pPr>
          </w:p>
        </w:tc>
        <w:tc>
          <w:tcPr>
            <w:tcW w:w="1116" w:type="dxa"/>
            <w:vAlign w:val="center"/>
          </w:tcPr>
          <w:p w14:paraId="163EB4EA">
            <w:pPr>
              <w:widowControl w:val="0"/>
              <w:jc w:val="center"/>
              <w:textAlignment w:val="auto"/>
              <w:rPr>
                <w:rFonts w:eastAsia="仿宋_GB2312"/>
                <w:sz w:val="24"/>
              </w:rPr>
            </w:pPr>
          </w:p>
        </w:tc>
      </w:tr>
      <w:tr w14:paraId="771C28A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14" w:type="dxa"/>
            <w:gridSpan w:val="6"/>
            <w:vAlign w:val="center"/>
          </w:tcPr>
          <w:p w14:paraId="5D6088CB">
            <w:pPr>
              <w:widowControl w:val="0"/>
              <w:jc w:val="center"/>
              <w:textAlignment w:val="auto"/>
              <w:rPr>
                <w:rFonts w:eastAsia="黑体"/>
                <w:sz w:val="24"/>
              </w:rPr>
            </w:pPr>
            <w:r>
              <w:rPr>
                <w:rFonts w:hint="eastAsia" w:eastAsia="黑体"/>
                <w:sz w:val="24"/>
              </w:rPr>
              <w:t>人工小计</w:t>
            </w:r>
          </w:p>
        </w:tc>
        <w:tc>
          <w:tcPr>
            <w:tcW w:w="1116" w:type="dxa"/>
            <w:vAlign w:val="center"/>
          </w:tcPr>
          <w:p w14:paraId="2F9A1AEE">
            <w:pPr>
              <w:widowControl w:val="0"/>
              <w:jc w:val="center"/>
              <w:textAlignment w:val="auto"/>
              <w:rPr>
                <w:rFonts w:eastAsia="黑体"/>
                <w:sz w:val="24"/>
              </w:rPr>
            </w:pPr>
          </w:p>
        </w:tc>
        <w:tc>
          <w:tcPr>
            <w:tcW w:w="1116" w:type="dxa"/>
            <w:vAlign w:val="center"/>
          </w:tcPr>
          <w:p w14:paraId="48CD02EF">
            <w:pPr>
              <w:widowControl w:val="0"/>
              <w:jc w:val="center"/>
              <w:textAlignment w:val="auto"/>
              <w:rPr>
                <w:rFonts w:eastAsia="黑体"/>
                <w:sz w:val="24"/>
              </w:rPr>
            </w:pPr>
          </w:p>
        </w:tc>
      </w:tr>
      <w:tr w14:paraId="3E9052B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7" w:type="dxa"/>
            <w:vAlign w:val="center"/>
          </w:tcPr>
          <w:p w14:paraId="5F9C5F3B">
            <w:pPr>
              <w:widowControl w:val="0"/>
              <w:jc w:val="center"/>
              <w:textAlignment w:val="auto"/>
              <w:rPr>
                <w:rFonts w:eastAsia="仿宋_GB2312"/>
                <w:sz w:val="24"/>
              </w:rPr>
            </w:pPr>
            <w:r>
              <w:rPr>
                <w:rFonts w:hint="eastAsia" w:eastAsia="仿宋_GB2312"/>
                <w:sz w:val="24"/>
              </w:rPr>
              <w:t>二</w:t>
            </w:r>
          </w:p>
        </w:tc>
        <w:tc>
          <w:tcPr>
            <w:tcW w:w="1378" w:type="dxa"/>
            <w:vAlign w:val="center"/>
          </w:tcPr>
          <w:p w14:paraId="6DFB8AC6">
            <w:pPr>
              <w:widowControl w:val="0"/>
              <w:jc w:val="center"/>
              <w:textAlignment w:val="auto"/>
              <w:rPr>
                <w:rFonts w:eastAsia="仿宋_GB2312"/>
                <w:sz w:val="24"/>
              </w:rPr>
            </w:pPr>
            <w:r>
              <w:rPr>
                <w:rFonts w:hint="eastAsia" w:eastAsia="仿宋_GB2312"/>
                <w:sz w:val="24"/>
              </w:rPr>
              <w:t>材料</w:t>
            </w:r>
          </w:p>
        </w:tc>
        <w:tc>
          <w:tcPr>
            <w:tcW w:w="866" w:type="dxa"/>
            <w:vAlign w:val="center"/>
          </w:tcPr>
          <w:p w14:paraId="6C4BEF5F">
            <w:pPr>
              <w:widowControl w:val="0"/>
              <w:jc w:val="center"/>
              <w:textAlignment w:val="auto"/>
              <w:rPr>
                <w:rFonts w:eastAsia="仿宋_GB2312"/>
                <w:sz w:val="24"/>
              </w:rPr>
            </w:pPr>
          </w:p>
        </w:tc>
        <w:tc>
          <w:tcPr>
            <w:tcW w:w="1349" w:type="dxa"/>
            <w:vAlign w:val="center"/>
          </w:tcPr>
          <w:p w14:paraId="21986AD4">
            <w:pPr>
              <w:widowControl w:val="0"/>
              <w:jc w:val="center"/>
              <w:textAlignment w:val="auto"/>
              <w:rPr>
                <w:rFonts w:eastAsia="仿宋_GB2312"/>
                <w:sz w:val="24"/>
              </w:rPr>
            </w:pPr>
          </w:p>
        </w:tc>
        <w:tc>
          <w:tcPr>
            <w:tcW w:w="1238" w:type="dxa"/>
            <w:vAlign w:val="center"/>
          </w:tcPr>
          <w:p w14:paraId="01AD7828">
            <w:pPr>
              <w:widowControl w:val="0"/>
              <w:jc w:val="center"/>
              <w:textAlignment w:val="auto"/>
              <w:rPr>
                <w:rFonts w:eastAsia="仿宋_GB2312"/>
                <w:sz w:val="24"/>
              </w:rPr>
            </w:pPr>
          </w:p>
        </w:tc>
        <w:tc>
          <w:tcPr>
            <w:tcW w:w="1116" w:type="dxa"/>
            <w:vAlign w:val="center"/>
          </w:tcPr>
          <w:p w14:paraId="0656CECD">
            <w:pPr>
              <w:widowControl w:val="0"/>
              <w:jc w:val="center"/>
              <w:textAlignment w:val="auto"/>
              <w:rPr>
                <w:rFonts w:eastAsia="仿宋_GB2312"/>
                <w:sz w:val="24"/>
              </w:rPr>
            </w:pPr>
          </w:p>
        </w:tc>
        <w:tc>
          <w:tcPr>
            <w:tcW w:w="1116" w:type="dxa"/>
            <w:vAlign w:val="center"/>
          </w:tcPr>
          <w:p w14:paraId="6B5E15CE">
            <w:pPr>
              <w:widowControl w:val="0"/>
              <w:jc w:val="center"/>
              <w:textAlignment w:val="auto"/>
              <w:rPr>
                <w:rFonts w:eastAsia="仿宋_GB2312"/>
                <w:sz w:val="24"/>
              </w:rPr>
            </w:pPr>
          </w:p>
        </w:tc>
        <w:tc>
          <w:tcPr>
            <w:tcW w:w="1116" w:type="dxa"/>
            <w:vAlign w:val="center"/>
          </w:tcPr>
          <w:p w14:paraId="28617BBE">
            <w:pPr>
              <w:widowControl w:val="0"/>
              <w:jc w:val="center"/>
              <w:textAlignment w:val="auto"/>
              <w:rPr>
                <w:rFonts w:eastAsia="仿宋_GB2312"/>
                <w:sz w:val="24"/>
              </w:rPr>
            </w:pPr>
          </w:p>
        </w:tc>
      </w:tr>
      <w:tr w14:paraId="5CA73FB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7" w:type="dxa"/>
            <w:vAlign w:val="center"/>
          </w:tcPr>
          <w:p w14:paraId="1C2BE123">
            <w:pPr>
              <w:widowControl w:val="0"/>
              <w:jc w:val="center"/>
              <w:textAlignment w:val="auto"/>
              <w:rPr>
                <w:rFonts w:eastAsia="仿宋_GB2312"/>
                <w:sz w:val="24"/>
              </w:rPr>
            </w:pPr>
            <w:r>
              <w:rPr>
                <w:rFonts w:eastAsia="仿宋_GB2312"/>
                <w:sz w:val="24"/>
              </w:rPr>
              <w:t>1</w:t>
            </w:r>
          </w:p>
        </w:tc>
        <w:tc>
          <w:tcPr>
            <w:tcW w:w="1378" w:type="dxa"/>
            <w:vAlign w:val="center"/>
          </w:tcPr>
          <w:p w14:paraId="0E898847">
            <w:pPr>
              <w:widowControl w:val="0"/>
              <w:jc w:val="center"/>
              <w:textAlignment w:val="auto"/>
              <w:rPr>
                <w:rFonts w:eastAsia="仿宋_GB2312"/>
                <w:sz w:val="24"/>
              </w:rPr>
            </w:pPr>
          </w:p>
        </w:tc>
        <w:tc>
          <w:tcPr>
            <w:tcW w:w="866" w:type="dxa"/>
            <w:vAlign w:val="center"/>
          </w:tcPr>
          <w:p w14:paraId="25EA3442">
            <w:pPr>
              <w:widowControl w:val="0"/>
              <w:jc w:val="center"/>
              <w:textAlignment w:val="auto"/>
              <w:rPr>
                <w:rFonts w:eastAsia="仿宋_GB2312"/>
                <w:sz w:val="24"/>
              </w:rPr>
            </w:pPr>
          </w:p>
        </w:tc>
        <w:tc>
          <w:tcPr>
            <w:tcW w:w="1349" w:type="dxa"/>
            <w:vAlign w:val="center"/>
          </w:tcPr>
          <w:p w14:paraId="31F25627">
            <w:pPr>
              <w:widowControl w:val="0"/>
              <w:jc w:val="center"/>
              <w:textAlignment w:val="auto"/>
              <w:rPr>
                <w:rFonts w:eastAsia="仿宋_GB2312"/>
                <w:sz w:val="24"/>
              </w:rPr>
            </w:pPr>
          </w:p>
        </w:tc>
        <w:tc>
          <w:tcPr>
            <w:tcW w:w="1238" w:type="dxa"/>
            <w:vAlign w:val="center"/>
          </w:tcPr>
          <w:p w14:paraId="67AAA4EC">
            <w:pPr>
              <w:widowControl w:val="0"/>
              <w:jc w:val="center"/>
              <w:textAlignment w:val="auto"/>
              <w:rPr>
                <w:rFonts w:eastAsia="仿宋_GB2312"/>
                <w:sz w:val="24"/>
              </w:rPr>
            </w:pPr>
          </w:p>
        </w:tc>
        <w:tc>
          <w:tcPr>
            <w:tcW w:w="1116" w:type="dxa"/>
            <w:vAlign w:val="center"/>
          </w:tcPr>
          <w:p w14:paraId="2EE6383F">
            <w:pPr>
              <w:widowControl w:val="0"/>
              <w:jc w:val="center"/>
              <w:textAlignment w:val="auto"/>
              <w:rPr>
                <w:rFonts w:eastAsia="仿宋_GB2312"/>
                <w:sz w:val="24"/>
              </w:rPr>
            </w:pPr>
          </w:p>
        </w:tc>
        <w:tc>
          <w:tcPr>
            <w:tcW w:w="1116" w:type="dxa"/>
            <w:vAlign w:val="center"/>
          </w:tcPr>
          <w:p w14:paraId="7E45CC76">
            <w:pPr>
              <w:widowControl w:val="0"/>
              <w:jc w:val="center"/>
              <w:textAlignment w:val="auto"/>
              <w:rPr>
                <w:rFonts w:eastAsia="仿宋_GB2312"/>
                <w:sz w:val="24"/>
              </w:rPr>
            </w:pPr>
          </w:p>
        </w:tc>
        <w:tc>
          <w:tcPr>
            <w:tcW w:w="1116" w:type="dxa"/>
            <w:vAlign w:val="center"/>
          </w:tcPr>
          <w:p w14:paraId="62A65717">
            <w:pPr>
              <w:widowControl w:val="0"/>
              <w:jc w:val="center"/>
              <w:textAlignment w:val="auto"/>
              <w:rPr>
                <w:rFonts w:eastAsia="仿宋_GB2312"/>
                <w:sz w:val="24"/>
              </w:rPr>
            </w:pPr>
          </w:p>
        </w:tc>
      </w:tr>
      <w:tr w14:paraId="05A26D3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7" w:type="dxa"/>
            <w:vAlign w:val="center"/>
          </w:tcPr>
          <w:p w14:paraId="123FD58F">
            <w:pPr>
              <w:widowControl w:val="0"/>
              <w:jc w:val="center"/>
              <w:textAlignment w:val="auto"/>
              <w:rPr>
                <w:rFonts w:eastAsia="仿宋_GB2312"/>
                <w:sz w:val="24"/>
              </w:rPr>
            </w:pPr>
            <w:r>
              <w:rPr>
                <w:rFonts w:eastAsia="仿宋_GB2312"/>
                <w:sz w:val="24"/>
              </w:rPr>
              <w:t>2</w:t>
            </w:r>
          </w:p>
        </w:tc>
        <w:tc>
          <w:tcPr>
            <w:tcW w:w="1378" w:type="dxa"/>
            <w:vAlign w:val="center"/>
          </w:tcPr>
          <w:p w14:paraId="7149BC98">
            <w:pPr>
              <w:widowControl w:val="0"/>
              <w:jc w:val="center"/>
              <w:textAlignment w:val="auto"/>
              <w:rPr>
                <w:rFonts w:eastAsia="仿宋_GB2312"/>
                <w:sz w:val="24"/>
              </w:rPr>
            </w:pPr>
          </w:p>
        </w:tc>
        <w:tc>
          <w:tcPr>
            <w:tcW w:w="866" w:type="dxa"/>
            <w:vAlign w:val="center"/>
          </w:tcPr>
          <w:p w14:paraId="73FCFE94">
            <w:pPr>
              <w:widowControl w:val="0"/>
              <w:jc w:val="center"/>
              <w:textAlignment w:val="auto"/>
              <w:rPr>
                <w:rFonts w:eastAsia="仿宋_GB2312"/>
                <w:sz w:val="24"/>
              </w:rPr>
            </w:pPr>
          </w:p>
        </w:tc>
        <w:tc>
          <w:tcPr>
            <w:tcW w:w="1349" w:type="dxa"/>
            <w:vAlign w:val="center"/>
          </w:tcPr>
          <w:p w14:paraId="160F0F02">
            <w:pPr>
              <w:widowControl w:val="0"/>
              <w:jc w:val="center"/>
              <w:textAlignment w:val="auto"/>
              <w:rPr>
                <w:rFonts w:eastAsia="仿宋_GB2312"/>
                <w:sz w:val="24"/>
              </w:rPr>
            </w:pPr>
          </w:p>
        </w:tc>
        <w:tc>
          <w:tcPr>
            <w:tcW w:w="1238" w:type="dxa"/>
            <w:vAlign w:val="center"/>
          </w:tcPr>
          <w:p w14:paraId="416BEE8C">
            <w:pPr>
              <w:widowControl w:val="0"/>
              <w:jc w:val="center"/>
              <w:textAlignment w:val="auto"/>
              <w:rPr>
                <w:rFonts w:eastAsia="仿宋_GB2312"/>
                <w:sz w:val="24"/>
              </w:rPr>
            </w:pPr>
          </w:p>
        </w:tc>
        <w:tc>
          <w:tcPr>
            <w:tcW w:w="1116" w:type="dxa"/>
            <w:vAlign w:val="center"/>
          </w:tcPr>
          <w:p w14:paraId="52697DF1">
            <w:pPr>
              <w:widowControl w:val="0"/>
              <w:jc w:val="center"/>
              <w:textAlignment w:val="auto"/>
              <w:rPr>
                <w:rFonts w:eastAsia="仿宋_GB2312"/>
                <w:sz w:val="24"/>
              </w:rPr>
            </w:pPr>
          </w:p>
        </w:tc>
        <w:tc>
          <w:tcPr>
            <w:tcW w:w="1116" w:type="dxa"/>
            <w:vAlign w:val="center"/>
          </w:tcPr>
          <w:p w14:paraId="6909CA1F">
            <w:pPr>
              <w:widowControl w:val="0"/>
              <w:jc w:val="center"/>
              <w:textAlignment w:val="auto"/>
              <w:rPr>
                <w:rFonts w:eastAsia="仿宋_GB2312"/>
                <w:sz w:val="24"/>
              </w:rPr>
            </w:pPr>
          </w:p>
        </w:tc>
        <w:tc>
          <w:tcPr>
            <w:tcW w:w="1116" w:type="dxa"/>
            <w:vAlign w:val="center"/>
          </w:tcPr>
          <w:p w14:paraId="4B80F9C4">
            <w:pPr>
              <w:widowControl w:val="0"/>
              <w:jc w:val="center"/>
              <w:textAlignment w:val="auto"/>
              <w:rPr>
                <w:rFonts w:eastAsia="仿宋_GB2312"/>
                <w:sz w:val="24"/>
              </w:rPr>
            </w:pPr>
          </w:p>
        </w:tc>
      </w:tr>
      <w:tr w14:paraId="0D1AA29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7" w:type="dxa"/>
            <w:vAlign w:val="center"/>
          </w:tcPr>
          <w:p w14:paraId="151D73F2">
            <w:pPr>
              <w:widowControl w:val="0"/>
              <w:jc w:val="center"/>
              <w:textAlignment w:val="auto"/>
              <w:rPr>
                <w:rFonts w:eastAsia="仿宋_GB2312"/>
                <w:sz w:val="24"/>
              </w:rPr>
            </w:pPr>
            <w:r>
              <w:rPr>
                <w:rFonts w:eastAsia="仿宋_GB2312"/>
                <w:sz w:val="24"/>
              </w:rPr>
              <w:t>……</w:t>
            </w:r>
          </w:p>
        </w:tc>
        <w:tc>
          <w:tcPr>
            <w:tcW w:w="1378" w:type="dxa"/>
            <w:vAlign w:val="center"/>
          </w:tcPr>
          <w:p w14:paraId="42F7BE92">
            <w:pPr>
              <w:widowControl w:val="0"/>
              <w:jc w:val="center"/>
              <w:textAlignment w:val="auto"/>
              <w:rPr>
                <w:rFonts w:eastAsia="仿宋_GB2312"/>
                <w:sz w:val="24"/>
              </w:rPr>
            </w:pPr>
          </w:p>
        </w:tc>
        <w:tc>
          <w:tcPr>
            <w:tcW w:w="866" w:type="dxa"/>
            <w:vAlign w:val="center"/>
          </w:tcPr>
          <w:p w14:paraId="39993D98">
            <w:pPr>
              <w:widowControl w:val="0"/>
              <w:jc w:val="center"/>
              <w:textAlignment w:val="auto"/>
              <w:rPr>
                <w:rFonts w:eastAsia="仿宋_GB2312"/>
                <w:sz w:val="24"/>
              </w:rPr>
            </w:pPr>
          </w:p>
        </w:tc>
        <w:tc>
          <w:tcPr>
            <w:tcW w:w="1349" w:type="dxa"/>
            <w:vAlign w:val="center"/>
          </w:tcPr>
          <w:p w14:paraId="49C10085">
            <w:pPr>
              <w:widowControl w:val="0"/>
              <w:jc w:val="center"/>
              <w:textAlignment w:val="auto"/>
              <w:rPr>
                <w:rFonts w:eastAsia="仿宋_GB2312"/>
                <w:sz w:val="24"/>
              </w:rPr>
            </w:pPr>
          </w:p>
        </w:tc>
        <w:tc>
          <w:tcPr>
            <w:tcW w:w="1238" w:type="dxa"/>
            <w:vAlign w:val="center"/>
          </w:tcPr>
          <w:p w14:paraId="5CBAC1CB">
            <w:pPr>
              <w:widowControl w:val="0"/>
              <w:jc w:val="center"/>
              <w:textAlignment w:val="auto"/>
              <w:rPr>
                <w:rFonts w:eastAsia="仿宋_GB2312"/>
                <w:sz w:val="24"/>
              </w:rPr>
            </w:pPr>
          </w:p>
        </w:tc>
        <w:tc>
          <w:tcPr>
            <w:tcW w:w="1116" w:type="dxa"/>
            <w:vAlign w:val="center"/>
          </w:tcPr>
          <w:p w14:paraId="7425F0DA">
            <w:pPr>
              <w:widowControl w:val="0"/>
              <w:jc w:val="center"/>
              <w:textAlignment w:val="auto"/>
              <w:rPr>
                <w:rFonts w:eastAsia="仿宋_GB2312"/>
                <w:sz w:val="24"/>
              </w:rPr>
            </w:pPr>
          </w:p>
        </w:tc>
        <w:tc>
          <w:tcPr>
            <w:tcW w:w="1116" w:type="dxa"/>
            <w:vAlign w:val="center"/>
          </w:tcPr>
          <w:p w14:paraId="77B71C54">
            <w:pPr>
              <w:widowControl w:val="0"/>
              <w:jc w:val="center"/>
              <w:textAlignment w:val="auto"/>
              <w:rPr>
                <w:rFonts w:eastAsia="仿宋_GB2312"/>
                <w:sz w:val="24"/>
              </w:rPr>
            </w:pPr>
          </w:p>
        </w:tc>
        <w:tc>
          <w:tcPr>
            <w:tcW w:w="1116" w:type="dxa"/>
            <w:vAlign w:val="center"/>
          </w:tcPr>
          <w:p w14:paraId="7FE51A42">
            <w:pPr>
              <w:widowControl w:val="0"/>
              <w:jc w:val="center"/>
              <w:textAlignment w:val="auto"/>
              <w:rPr>
                <w:rFonts w:eastAsia="仿宋_GB2312"/>
                <w:sz w:val="24"/>
              </w:rPr>
            </w:pPr>
          </w:p>
        </w:tc>
      </w:tr>
      <w:tr w14:paraId="2C63D24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14" w:type="dxa"/>
            <w:gridSpan w:val="6"/>
            <w:vAlign w:val="center"/>
          </w:tcPr>
          <w:p w14:paraId="2E9FE671">
            <w:pPr>
              <w:widowControl w:val="0"/>
              <w:jc w:val="center"/>
              <w:textAlignment w:val="auto"/>
              <w:rPr>
                <w:rFonts w:eastAsia="黑体"/>
                <w:sz w:val="24"/>
              </w:rPr>
            </w:pPr>
            <w:r>
              <w:rPr>
                <w:rFonts w:hint="eastAsia" w:eastAsia="黑体"/>
                <w:sz w:val="24"/>
              </w:rPr>
              <w:t>材料小计</w:t>
            </w:r>
          </w:p>
        </w:tc>
        <w:tc>
          <w:tcPr>
            <w:tcW w:w="1116" w:type="dxa"/>
            <w:vAlign w:val="center"/>
          </w:tcPr>
          <w:p w14:paraId="7E382F1A">
            <w:pPr>
              <w:widowControl w:val="0"/>
              <w:jc w:val="center"/>
              <w:textAlignment w:val="auto"/>
              <w:rPr>
                <w:rFonts w:eastAsia="黑体"/>
                <w:sz w:val="24"/>
              </w:rPr>
            </w:pPr>
          </w:p>
        </w:tc>
        <w:tc>
          <w:tcPr>
            <w:tcW w:w="1116" w:type="dxa"/>
            <w:vAlign w:val="center"/>
          </w:tcPr>
          <w:p w14:paraId="47E3B21C">
            <w:pPr>
              <w:widowControl w:val="0"/>
              <w:jc w:val="center"/>
              <w:textAlignment w:val="auto"/>
              <w:rPr>
                <w:rFonts w:eastAsia="黑体"/>
                <w:sz w:val="24"/>
              </w:rPr>
            </w:pPr>
          </w:p>
        </w:tc>
      </w:tr>
      <w:tr w14:paraId="6823E15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7" w:type="dxa"/>
            <w:vAlign w:val="center"/>
          </w:tcPr>
          <w:p w14:paraId="1E2123E6">
            <w:pPr>
              <w:widowControl w:val="0"/>
              <w:jc w:val="center"/>
              <w:textAlignment w:val="auto"/>
              <w:rPr>
                <w:rFonts w:eastAsia="仿宋_GB2312"/>
                <w:sz w:val="24"/>
              </w:rPr>
            </w:pPr>
            <w:r>
              <w:rPr>
                <w:rFonts w:hint="eastAsia" w:eastAsia="仿宋_GB2312"/>
                <w:sz w:val="24"/>
              </w:rPr>
              <w:t>三</w:t>
            </w:r>
          </w:p>
        </w:tc>
        <w:tc>
          <w:tcPr>
            <w:tcW w:w="1378" w:type="dxa"/>
            <w:vAlign w:val="center"/>
          </w:tcPr>
          <w:p w14:paraId="77FB9CF6">
            <w:pPr>
              <w:widowControl w:val="0"/>
              <w:jc w:val="center"/>
              <w:textAlignment w:val="auto"/>
              <w:rPr>
                <w:rFonts w:eastAsia="仿宋_GB2312"/>
                <w:sz w:val="24"/>
              </w:rPr>
            </w:pPr>
            <w:r>
              <w:rPr>
                <w:rFonts w:hint="eastAsia" w:eastAsia="仿宋_GB2312"/>
                <w:sz w:val="24"/>
              </w:rPr>
              <w:t>施工机械</w:t>
            </w:r>
          </w:p>
        </w:tc>
        <w:tc>
          <w:tcPr>
            <w:tcW w:w="866" w:type="dxa"/>
            <w:vAlign w:val="center"/>
          </w:tcPr>
          <w:p w14:paraId="1257D504">
            <w:pPr>
              <w:widowControl w:val="0"/>
              <w:jc w:val="center"/>
              <w:textAlignment w:val="auto"/>
              <w:rPr>
                <w:rFonts w:eastAsia="仿宋_GB2312"/>
                <w:sz w:val="24"/>
              </w:rPr>
            </w:pPr>
          </w:p>
        </w:tc>
        <w:tc>
          <w:tcPr>
            <w:tcW w:w="1349" w:type="dxa"/>
            <w:vAlign w:val="center"/>
          </w:tcPr>
          <w:p w14:paraId="1FBED164">
            <w:pPr>
              <w:widowControl w:val="0"/>
              <w:jc w:val="center"/>
              <w:textAlignment w:val="auto"/>
              <w:rPr>
                <w:rFonts w:eastAsia="仿宋_GB2312"/>
                <w:sz w:val="24"/>
              </w:rPr>
            </w:pPr>
          </w:p>
        </w:tc>
        <w:tc>
          <w:tcPr>
            <w:tcW w:w="1238" w:type="dxa"/>
            <w:vAlign w:val="center"/>
          </w:tcPr>
          <w:p w14:paraId="536CD68B">
            <w:pPr>
              <w:widowControl w:val="0"/>
              <w:jc w:val="center"/>
              <w:textAlignment w:val="auto"/>
              <w:rPr>
                <w:rFonts w:eastAsia="仿宋_GB2312"/>
                <w:sz w:val="24"/>
              </w:rPr>
            </w:pPr>
          </w:p>
        </w:tc>
        <w:tc>
          <w:tcPr>
            <w:tcW w:w="1116" w:type="dxa"/>
            <w:vAlign w:val="center"/>
          </w:tcPr>
          <w:p w14:paraId="7D9D312D">
            <w:pPr>
              <w:widowControl w:val="0"/>
              <w:jc w:val="center"/>
              <w:textAlignment w:val="auto"/>
              <w:rPr>
                <w:rFonts w:eastAsia="仿宋_GB2312"/>
                <w:sz w:val="24"/>
              </w:rPr>
            </w:pPr>
          </w:p>
        </w:tc>
        <w:tc>
          <w:tcPr>
            <w:tcW w:w="1116" w:type="dxa"/>
            <w:vAlign w:val="center"/>
          </w:tcPr>
          <w:p w14:paraId="2083A3AE">
            <w:pPr>
              <w:widowControl w:val="0"/>
              <w:jc w:val="center"/>
              <w:textAlignment w:val="auto"/>
              <w:rPr>
                <w:rFonts w:eastAsia="仿宋_GB2312"/>
                <w:sz w:val="24"/>
              </w:rPr>
            </w:pPr>
          </w:p>
        </w:tc>
        <w:tc>
          <w:tcPr>
            <w:tcW w:w="1116" w:type="dxa"/>
            <w:vAlign w:val="center"/>
          </w:tcPr>
          <w:p w14:paraId="6403F7FC">
            <w:pPr>
              <w:widowControl w:val="0"/>
              <w:jc w:val="center"/>
              <w:textAlignment w:val="auto"/>
              <w:rPr>
                <w:rFonts w:eastAsia="仿宋_GB2312"/>
                <w:sz w:val="24"/>
              </w:rPr>
            </w:pPr>
          </w:p>
        </w:tc>
      </w:tr>
      <w:tr w14:paraId="35EE9C4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7" w:type="dxa"/>
            <w:vAlign w:val="center"/>
          </w:tcPr>
          <w:p w14:paraId="24852806">
            <w:pPr>
              <w:widowControl w:val="0"/>
              <w:jc w:val="center"/>
              <w:textAlignment w:val="auto"/>
              <w:rPr>
                <w:rFonts w:eastAsia="仿宋_GB2312"/>
                <w:sz w:val="24"/>
              </w:rPr>
            </w:pPr>
            <w:r>
              <w:rPr>
                <w:rFonts w:eastAsia="仿宋_GB2312"/>
                <w:sz w:val="24"/>
              </w:rPr>
              <w:t>1</w:t>
            </w:r>
          </w:p>
        </w:tc>
        <w:tc>
          <w:tcPr>
            <w:tcW w:w="1378" w:type="dxa"/>
            <w:vAlign w:val="center"/>
          </w:tcPr>
          <w:p w14:paraId="51F86F4B">
            <w:pPr>
              <w:widowControl w:val="0"/>
              <w:jc w:val="center"/>
              <w:textAlignment w:val="auto"/>
              <w:rPr>
                <w:rFonts w:eastAsia="仿宋_GB2312"/>
                <w:sz w:val="24"/>
              </w:rPr>
            </w:pPr>
          </w:p>
        </w:tc>
        <w:tc>
          <w:tcPr>
            <w:tcW w:w="866" w:type="dxa"/>
            <w:vAlign w:val="center"/>
          </w:tcPr>
          <w:p w14:paraId="2A286E89">
            <w:pPr>
              <w:widowControl w:val="0"/>
              <w:jc w:val="center"/>
              <w:textAlignment w:val="auto"/>
              <w:rPr>
                <w:rFonts w:eastAsia="仿宋_GB2312"/>
                <w:sz w:val="24"/>
              </w:rPr>
            </w:pPr>
          </w:p>
        </w:tc>
        <w:tc>
          <w:tcPr>
            <w:tcW w:w="1349" w:type="dxa"/>
            <w:vAlign w:val="center"/>
          </w:tcPr>
          <w:p w14:paraId="5F0A5AC3">
            <w:pPr>
              <w:widowControl w:val="0"/>
              <w:jc w:val="center"/>
              <w:textAlignment w:val="auto"/>
              <w:rPr>
                <w:rFonts w:eastAsia="仿宋_GB2312"/>
                <w:sz w:val="24"/>
              </w:rPr>
            </w:pPr>
          </w:p>
        </w:tc>
        <w:tc>
          <w:tcPr>
            <w:tcW w:w="1238" w:type="dxa"/>
            <w:vAlign w:val="center"/>
          </w:tcPr>
          <w:p w14:paraId="036190E8">
            <w:pPr>
              <w:widowControl w:val="0"/>
              <w:jc w:val="center"/>
              <w:textAlignment w:val="auto"/>
              <w:rPr>
                <w:rFonts w:eastAsia="仿宋_GB2312"/>
                <w:sz w:val="24"/>
              </w:rPr>
            </w:pPr>
          </w:p>
        </w:tc>
        <w:tc>
          <w:tcPr>
            <w:tcW w:w="1116" w:type="dxa"/>
            <w:vAlign w:val="center"/>
          </w:tcPr>
          <w:p w14:paraId="04E2823B">
            <w:pPr>
              <w:widowControl w:val="0"/>
              <w:jc w:val="center"/>
              <w:textAlignment w:val="auto"/>
              <w:rPr>
                <w:rFonts w:eastAsia="仿宋_GB2312"/>
                <w:sz w:val="24"/>
              </w:rPr>
            </w:pPr>
          </w:p>
        </w:tc>
        <w:tc>
          <w:tcPr>
            <w:tcW w:w="1116" w:type="dxa"/>
            <w:vAlign w:val="center"/>
          </w:tcPr>
          <w:p w14:paraId="56707E80">
            <w:pPr>
              <w:widowControl w:val="0"/>
              <w:jc w:val="center"/>
              <w:textAlignment w:val="auto"/>
              <w:rPr>
                <w:rFonts w:eastAsia="仿宋_GB2312"/>
                <w:sz w:val="24"/>
              </w:rPr>
            </w:pPr>
          </w:p>
        </w:tc>
        <w:tc>
          <w:tcPr>
            <w:tcW w:w="1116" w:type="dxa"/>
            <w:vAlign w:val="center"/>
          </w:tcPr>
          <w:p w14:paraId="30306582">
            <w:pPr>
              <w:widowControl w:val="0"/>
              <w:jc w:val="center"/>
              <w:textAlignment w:val="auto"/>
              <w:rPr>
                <w:rFonts w:eastAsia="仿宋_GB2312"/>
                <w:sz w:val="24"/>
              </w:rPr>
            </w:pPr>
          </w:p>
        </w:tc>
      </w:tr>
      <w:tr w14:paraId="3212D47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7" w:type="dxa"/>
            <w:vAlign w:val="center"/>
          </w:tcPr>
          <w:p w14:paraId="20E70B6C">
            <w:pPr>
              <w:widowControl w:val="0"/>
              <w:jc w:val="center"/>
              <w:textAlignment w:val="auto"/>
              <w:rPr>
                <w:rFonts w:eastAsia="仿宋_GB2312"/>
                <w:sz w:val="24"/>
              </w:rPr>
            </w:pPr>
            <w:r>
              <w:rPr>
                <w:rFonts w:eastAsia="仿宋_GB2312"/>
                <w:sz w:val="24"/>
              </w:rPr>
              <w:t>2</w:t>
            </w:r>
          </w:p>
        </w:tc>
        <w:tc>
          <w:tcPr>
            <w:tcW w:w="1378" w:type="dxa"/>
            <w:vAlign w:val="center"/>
          </w:tcPr>
          <w:p w14:paraId="6D5F22EB">
            <w:pPr>
              <w:widowControl w:val="0"/>
              <w:jc w:val="center"/>
              <w:textAlignment w:val="auto"/>
              <w:rPr>
                <w:rFonts w:eastAsia="仿宋_GB2312"/>
                <w:sz w:val="24"/>
              </w:rPr>
            </w:pPr>
          </w:p>
        </w:tc>
        <w:tc>
          <w:tcPr>
            <w:tcW w:w="866" w:type="dxa"/>
            <w:vAlign w:val="center"/>
          </w:tcPr>
          <w:p w14:paraId="1B276F4F">
            <w:pPr>
              <w:widowControl w:val="0"/>
              <w:jc w:val="center"/>
              <w:textAlignment w:val="auto"/>
              <w:rPr>
                <w:rFonts w:eastAsia="仿宋_GB2312"/>
                <w:sz w:val="24"/>
              </w:rPr>
            </w:pPr>
          </w:p>
        </w:tc>
        <w:tc>
          <w:tcPr>
            <w:tcW w:w="1349" w:type="dxa"/>
            <w:vAlign w:val="center"/>
          </w:tcPr>
          <w:p w14:paraId="598B7024">
            <w:pPr>
              <w:widowControl w:val="0"/>
              <w:jc w:val="center"/>
              <w:textAlignment w:val="auto"/>
              <w:rPr>
                <w:rFonts w:eastAsia="仿宋_GB2312"/>
                <w:sz w:val="24"/>
              </w:rPr>
            </w:pPr>
          </w:p>
        </w:tc>
        <w:tc>
          <w:tcPr>
            <w:tcW w:w="1238" w:type="dxa"/>
            <w:vAlign w:val="center"/>
          </w:tcPr>
          <w:p w14:paraId="133F64DB">
            <w:pPr>
              <w:widowControl w:val="0"/>
              <w:jc w:val="center"/>
              <w:textAlignment w:val="auto"/>
              <w:rPr>
                <w:rFonts w:eastAsia="仿宋_GB2312"/>
                <w:sz w:val="24"/>
              </w:rPr>
            </w:pPr>
          </w:p>
        </w:tc>
        <w:tc>
          <w:tcPr>
            <w:tcW w:w="1116" w:type="dxa"/>
            <w:vAlign w:val="center"/>
          </w:tcPr>
          <w:p w14:paraId="4BEA99F0">
            <w:pPr>
              <w:widowControl w:val="0"/>
              <w:jc w:val="center"/>
              <w:textAlignment w:val="auto"/>
              <w:rPr>
                <w:rFonts w:eastAsia="仿宋_GB2312"/>
                <w:sz w:val="24"/>
              </w:rPr>
            </w:pPr>
          </w:p>
        </w:tc>
        <w:tc>
          <w:tcPr>
            <w:tcW w:w="1116" w:type="dxa"/>
            <w:vAlign w:val="center"/>
          </w:tcPr>
          <w:p w14:paraId="719CBE4F">
            <w:pPr>
              <w:widowControl w:val="0"/>
              <w:jc w:val="center"/>
              <w:textAlignment w:val="auto"/>
              <w:rPr>
                <w:rFonts w:eastAsia="仿宋_GB2312"/>
                <w:sz w:val="24"/>
              </w:rPr>
            </w:pPr>
          </w:p>
        </w:tc>
        <w:tc>
          <w:tcPr>
            <w:tcW w:w="1116" w:type="dxa"/>
            <w:vAlign w:val="center"/>
          </w:tcPr>
          <w:p w14:paraId="691449BB">
            <w:pPr>
              <w:widowControl w:val="0"/>
              <w:jc w:val="center"/>
              <w:textAlignment w:val="auto"/>
              <w:rPr>
                <w:rFonts w:eastAsia="仿宋_GB2312"/>
                <w:sz w:val="24"/>
              </w:rPr>
            </w:pPr>
          </w:p>
        </w:tc>
      </w:tr>
      <w:tr w14:paraId="17AEA36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7" w:type="dxa"/>
            <w:vAlign w:val="center"/>
          </w:tcPr>
          <w:p w14:paraId="7BB88C34">
            <w:pPr>
              <w:widowControl w:val="0"/>
              <w:jc w:val="center"/>
              <w:textAlignment w:val="auto"/>
              <w:rPr>
                <w:rFonts w:eastAsia="仿宋_GB2312"/>
                <w:sz w:val="24"/>
              </w:rPr>
            </w:pPr>
            <w:r>
              <w:rPr>
                <w:rFonts w:eastAsia="仿宋_GB2312"/>
                <w:sz w:val="24"/>
              </w:rPr>
              <w:t>……</w:t>
            </w:r>
          </w:p>
        </w:tc>
        <w:tc>
          <w:tcPr>
            <w:tcW w:w="1378" w:type="dxa"/>
            <w:vAlign w:val="center"/>
          </w:tcPr>
          <w:p w14:paraId="43527675">
            <w:pPr>
              <w:widowControl w:val="0"/>
              <w:jc w:val="center"/>
              <w:textAlignment w:val="auto"/>
              <w:rPr>
                <w:rFonts w:eastAsia="仿宋_GB2312"/>
                <w:sz w:val="24"/>
              </w:rPr>
            </w:pPr>
          </w:p>
        </w:tc>
        <w:tc>
          <w:tcPr>
            <w:tcW w:w="866" w:type="dxa"/>
            <w:vAlign w:val="center"/>
          </w:tcPr>
          <w:p w14:paraId="785D1905">
            <w:pPr>
              <w:widowControl w:val="0"/>
              <w:jc w:val="center"/>
              <w:textAlignment w:val="auto"/>
              <w:rPr>
                <w:rFonts w:eastAsia="仿宋_GB2312"/>
                <w:sz w:val="24"/>
              </w:rPr>
            </w:pPr>
          </w:p>
        </w:tc>
        <w:tc>
          <w:tcPr>
            <w:tcW w:w="1349" w:type="dxa"/>
            <w:vAlign w:val="center"/>
          </w:tcPr>
          <w:p w14:paraId="7EE91FED">
            <w:pPr>
              <w:widowControl w:val="0"/>
              <w:jc w:val="center"/>
              <w:textAlignment w:val="auto"/>
              <w:rPr>
                <w:rFonts w:eastAsia="仿宋_GB2312"/>
                <w:sz w:val="24"/>
              </w:rPr>
            </w:pPr>
          </w:p>
        </w:tc>
        <w:tc>
          <w:tcPr>
            <w:tcW w:w="1238" w:type="dxa"/>
            <w:vAlign w:val="center"/>
          </w:tcPr>
          <w:p w14:paraId="41BA3C7F">
            <w:pPr>
              <w:widowControl w:val="0"/>
              <w:jc w:val="center"/>
              <w:textAlignment w:val="auto"/>
              <w:rPr>
                <w:rFonts w:eastAsia="仿宋_GB2312"/>
                <w:sz w:val="24"/>
              </w:rPr>
            </w:pPr>
          </w:p>
        </w:tc>
        <w:tc>
          <w:tcPr>
            <w:tcW w:w="1116" w:type="dxa"/>
            <w:vAlign w:val="center"/>
          </w:tcPr>
          <w:p w14:paraId="3B57267B">
            <w:pPr>
              <w:widowControl w:val="0"/>
              <w:jc w:val="center"/>
              <w:textAlignment w:val="auto"/>
              <w:rPr>
                <w:rFonts w:eastAsia="仿宋_GB2312"/>
                <w:sz w:val="24"/>
              </w:rPr>
            </w:pPr>
          </w:p>
        </w:tc>
        <w:tc>
          <w:tcPr>
            <w:tcW w:w="1116" w:type="dxa"/>
            <w:vAlign w:val="center"/>
          </w:tcPr>
          <w:p w14:paraId="3499049D">
            <w:pPr>
              <w:widowControl w:val="0"/>
              <w:jc w:val="center"/>
              <w:textAlignment w:val="auto"/>
              <w:rPr>
                <w:rFonts w:eastAsia="仿宋_GB2312"/>
                <w:sz w:val="24"/>
              </w:rPr>
            </w:pPr>
          </w:p>
        </w:tc>
        <w:tc>
          <w:tcPr>
            <w:tcW w:w="1116" w:type="dxa"/>
            <w:vAlign w:val="center"/>
          </w:tcPr>
          <w:p w14:paraId="21500AE8">
            <w:pPr>
              <w:widowControl w:val="0"/>
              <w:jc w:val="center"/>
              <w:textAlignment w:val="auto"/>
              <w:rPr>
                <w:rFonts w:eastAsia="仿宋_GB2312"/>
                <w:sz w:val="24"/>
              </w:rPr>
            </w:pPr>
          </w:p>
        </w:tc>
      </w:tr>
      <w:tr w14:paraId="64C9586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14" w:type="dxa"/>
            <w:gridSpan w:val="6"/>
            <w:vAlign w:val="center"/>
          </w:tcPr>
          <w:p w14:paraId="0A6DFB8C">
            <w:pPr>
              <w:widowControl w:val="0"/>
              <w:jc w:val="center"/>
              <w:textAlignment w:val="auto"/>
              <w:rPr>
                <w:rFonts w:eastAsia="黑体"/>
                <w:sz w:val="24"/>
              </w:rPr>
            </w:pPr>
            <w:r>
              <w:rPr>
                <w:rFonts w:hint="eastAsia" w:eastAsia="黑体"/>
                <w:sz w:val="24"/>
              </w:rPr>
              <w:t>施工机械小计</w:t>
            </w:r>
          </w:p>
        </w:tc>
        <w:tc>
          <w:tcPr>
            <w:tcW w:w="1116" w:type="dxa"/>
            <w:vAlign w:val="center"/>
          </w:tcPr>
          <w:p w14:paraId="2F8DDB92">
            <w:pPr>
              <w:widowControl w:val="0"/>
              <w:jc w:val="center"/>
              <w:textAlignment w:val="auto"/>
              <w:rPr>
                <w:rFonts w:eastAsia="黑体"/>
                <w:sz w:val="24"/>
              </w:rPr>
            </w:pPr>
          </w:p>
        </w:tc>
        <w:tc>
          <w:tcPr>
            <w:tcW w:w="1116" w:type="dxa"/>
            <w:vAlign w:val="center"/>
          </w:tcPr>
          <w:p w14:paraId="5E979190">
            <w:pPr>
              <w:widowControl w:val="0"/>
              <w:jc w:val="center"/>
              <w:textAlignment w:val="auto"/>
              <w:rPr>
                <w:rFonts w:eastAsia="黑体"/>
                <w:sz w:val="24"/>
              </w:rPr>
            </w:pPr>
          </w:p>
        </w:tc>
      </w:tr>
      <w:tr w14:paraId="3B395C8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7" w:type="dxa"/>
            <w:vAlign w:val="center"/>
          </w:tcPr>
          <w:p w14:paraId="77479F20">
            <w:pPr>
              <w:widowControl w:val="0"/>
              <w:jc w:val="center"/>
              <w:textAlignment w:val="auto"/>
              <w:rPr>
                <w:rFonts w:eastAsia="仿宋_GB2312"/>
                <w:sz w:val="24"/>
              </w:rPr>
            </w:pPr>
            <w:r>
              <w:rPr>
                <w:rFonts w:hint="eastAsia" w:eastAsia="仿宋_GB2312"/>
                <w:sz w:val="24"/>
              </w:rPr>
              <w:t>四</w:t>
            </w:r>
          </w:p>
        </w:tc>
        <w:tc>
          <w:tcPr>
            <w:tcW w:w="5947" w:type="dxa"/>
            <w:gridSpan w:val="5"/>
            <w:vAlign w:val="center"/>
          </w:tcPr>
          <w:p w14:paraId="11ADF08D">
            <w:pPr>
              <w:widowControl w:val="0"/>
              <w:jc w:val="center"/>
              <w:textAlignment w:val="auto"/>
              <w:rPr>
                <w:rFonts w:eastAsia="仿宋_GB2312"/>
                <w:sz w:val="24"/>
              </w:rPr>
            </w:pPr>
            <w:r>
              <w:rPr>
                <w:rFonts w:hint="eastAsia" w:eastAsia="仿宋_GB2312"/>
                <w:sz w:val="24"/>
              </w:rPr>
              <w:t>企业管理费和利润</w:t>
            </w:r>
          </w:p>
        </w:tc>
        <w:tc>
          <w:tcPr>
            <w:tcW w:w="1116" w:type="dxa"/>
            <w:vAlign w:val="center"/>
          </w:tcPr>
          <w:p w14:paraId="681FFC85">
            <w:pPr>
              <w:widowControl w:val="0"/>
              <w:jc w:val="center"/>
              <w:textAlignment w:val="auto"/>
              <w:rPr>
                <w:rFonts w:eastAsia="仿宋_GB2312"/>
                <w:sz w:val="24"/>
              </w:rPr>
            </w:pPr>
          </w:p>
        </w:tc>
        <w:tc>
          <w:tcPr>
            <w:tcW w:w="1116" w:type="dxa"/>
            <w:vAlign w:val="center"/>
          </w:tcPr>
          <w:p w14:paraId="623F48D2">
            <w:pPr>
              <w:widowControl w:val="0"/>
              <w:jc w:val="center"/>
              <w:textAlignment w:val="auto"/>
              <w:rPr>
                <w:rFonts w:eastAsia="仿宋_GB2312"/>
                <w:sz w:val="24"/>
              </w:rPr>
            </w:pPr>
          </w:p>
        </w:tc>
      </w:tr>
      <w:tr w14:paraId="39E76DC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14" w:type="dxa"/>
            <w:gridSpan w:val="6"/>
            <w:tcBorders>
              <w:bottom w:val="single" w:color="auto" w:sz="8" w:space="0"/>
            </w:tcBorders>
            <w:vAlign w:val="center"/>
          </w:tcPr>
          <w:p w14:paraId="61B8D853">
            <w:pPr>
              <w:widowControl w:val="0"/>
              <w:jc w:val="center"/>
              <w:textAlignment w:val="auto"/>
              <w:rPr>
                <w:rFonts w:eastAsia="黑体"/>
                <w:sz w:val="24"/>
              </w:rPr>
            </w:pPr>
            <w:r>
              <w:rPr>
                <w:rFonts w:hint="eastAsia" w:eastAsia="黑体"/>
                <w:sz w:val="24"/>
              </w:rPr>
              <w:t>总计</w:t>
            </w:r>
          </w:p>
        </w:tc>
        <w:tc>
          <w:tcPr>
            <w:tcW w:w="1116" w:type="dxa"/>
            <w:tcBorders>
              <w:bottom w:val="single" w:color="auto" w:sz="8" w:space="0"/>
            </w:tcBorders>
            <w:vAlign w:val="center"/>
          </w:tcPr>
          <w:p w14:paraId="16F9BACE">
            <w:pPr>
              <w:widowControl w:val="0"/>
              <w:jc w:val="center"/>
              <w:textAlignment w:val="auto"/>
              <w:rPr>
                <w:rFonts w:eastAsia="黑体"/>
                <w:sz w:val="24"/>
              </w:rPr>
            </w:pPr>
          </w:p>
        </w:tc>
        <w:tc>
          <w:tcPr>
            <w:tcW w:w="1116" w:type="dxa"/>
            <w:tcBorders>
              <w:bottom w:val="single" w:color="auto" w:sz="8" w:space="0"/>
            </w:tcBorders>
            <w:vAlign w:val="center"/>
          </w:tcPr>
          <w:p w14:paraId="7CADB3F5">
            <w:pPr>
              <w:widowControl w:val="0"/>
              <w:jc w:val="center"/>
              <w:textAlignment w:val="auto"/>
              <w:rPr>
                <w:rFonts w:eastAsia="黑体"/>
                <w:sz w:val="24"/>
              </w:rPr>
            </w:pPr>
          </w:p>
        </w:tc>
      </w:tr>
    </w:tbl>
    <w:p w14:paraId="7C082251">
      <w:pPr>
        <w:widowControl w:val="0"/>
        <w:tabs>
          <w:tab w:val="left" w:pos="6135"/>
        </w:tabs>
        <w:textAlignment w:val="auto"/>
        <w:rPr>
          <w:sz w:val="18"/>
          <w:szCs w:val="18"/>
        </w:rPr>
      </w:pPr>
      <w:r>
        <w:rPr>
          <w:rFonts w:hint="eastAsia"/>
          <w:sz w:val="18"/>
          <w:szCs w:val="18"/>
        </w:rPr>
        <w:t>注：此表项目名称、暂定数量由招标人填写，编制招标控制价时，单价由招标人按有关计价规定确定；投标时，单价由投标人自主报价，按暂定数量计算合价计入投标总价中。结算时，按发承包双方确认的实际数量计算合价。</w:t>
      </w:r>
    </w:p>
    <w:p w14:paraId="025A77E0">
      <w:pPr>
        <w:widowControl w:val="0"/>
        <w:tabs>
          <w:tab w:val="left" w:pos="6135"/>
        </w:tabs>
        <w:spacing w:before="156" w:beforeLines="50"/>
        <w:jc w:val="right"/>
        <w:textAlignment w:val="auto"/>
        <w:rPr>
          <w:rFonts w:eastAsia="黑体"/>
        </w:rPr>
      </w:pPr>
      <w:r>
        <w:rPr>
          <w:rFonts w:hint="eastAsia" w:eastAsia="黑体"/>
        </w:rPr>
        <w:t>表</w:t>
      </w:r>
      <w:r>
        <w:rPr>
          <w:rFonts w:eastAsia="黑体"/>
        </w:rPr>
        <w:t>-12-4</w:t>
      </w:r>
    </w:p>
    <w:p w14:paraId="3CA57675">
      <w:pPr>
        <w:widowControl w:val="0"/>
        <w:spacing w:line="240" w:lineRule="atLeast"/>
        <w:ind w:left="360"/>
        <w:textAlignment w:val="auto"/>
        <w:rPr>
          <w:sz w:val="30"/>
          <w:szCs w:val="20"/>
        </w:rPr>
      </w:pPr>
    </w:p>
    <w:p w14:paraId="3657E869">
      <w:pPr>
        <w:widowControl w:val="0"/>
        <w:tabs>
          <w:tab w:val="left" w:pos="6135"/>
        </w:tabs>
        <w:jc w:val="center"/>
        <w:textAlignment w:val="auto"/>
        <w:rPr>
          <w:rFonts w:eastAsia="黑体"/>
          <w:sz w:val="32"/>
          <w:szCs w:val="32"/>
        </w:rPr>
      </w:pPr>
      <w:r>
        <w:rPr>
          <w:rFonts w:eastAsia="黑体"/>
          <w:sz w:val="32"/>
          <w:szCs w:val="32"/>
        </w:rPr>
        <w:t>G.6</w:t>
      </w:r>
      <w:r>
        <w:rPr>
          <w:rFonts w:hint="eastAsia" w:eastAsia="黑体"/>
          <w:sz w:val="32"/>
          <w:szCs w:val="32"/>
        </w:rPr>
        <w:t>总承包服务费计价表</w:t>
      </w:r>
    </w:p>
    <w:p w14:paraId="794DCDF7">
      <w:pPr>
        <w:widowControl w:val="0"/>
        <w:tabs>
          <w:tab w:val="left" w:pos="12120"/>
        </w:tabs>
        <w:spacing w:line="360" w:lineRule="auto"/>
        <w:textAlignment w:val="auto"/>
        <w:rPr>
          <w:szCs w:val="21"/>
        </w:rPr>
      </w:pPr>
      <w:r>
        <w:rPr>
          <w:rFonts w:hint="eastAsia"/>
          <w:szCs w:val="21"/>
        </w:rPr>
        <w:t>工程名称：</w:t>
      </w:r>
      <w:r>
        <w:rPr>
          <w:szCs w:val="21"/>
        </w:rPr>
        <w:t xml:space="preserve">                             </w:t>
      </w:r>
      <w:r>
        <w:rPr>
          <w:rFonts w:hint="eastAsia"/>
          <w:szCs w:val="21"/>
        </w:rPr>
        <w:t>标段</w:t>
      </w:r>
      <w:r>
        <w:rPr>
          <w:szCs w:val="21"/>
        </w:rPr>
        <w:t xml:space="preserve"> </w:t>
      </w:r>
      <w:r>
        <w:rPr>
          <w:rFonts w:hint="eastAsia"/>
          <w:szCs w:val="21"/>
        </w:rPr>
        <w:t>：</w:t>
      </w:r>
      <w:r>
        <w:rPr>
          <w:szCs w:val="21"/>
        </w:rPr>
        <w:t xml:space="preserve">                    </w:t>
      </w:r>
      <w:r>
        <w:rPr>
          <w:rFonts w:hint="eastAsia"/>
          <w:szCs w:val="21"/>
        </w:rPr>
        <w:t>第</w:t>
      </w:r>
      <w:r>
        <w:rPr>
          <w:szCs w:val="21"/>
        </w:rPr>
        <w:t xml:space="preserve">  </w:t>
      </w:r>
      <w:r>
        <w:rPr>
          <w:rFonts w:hint="eastAsia"/>
          <w:szCs w:val="21"/>
        </w:rPr>
        <w:t>页</w:t>
      </w:r>
      <w:r>
        <w:rPr>
          <w:szCs w:val="21"/>
        </w:rPr>
        <w:t xml:space="preserve"> </w:t>
      </w:r>
      <w:r>
        <w:rPr>
          <w:rFonts w:hint="eastAsia"/>
          <w:szCs w:val="21"/>
        </w:rPr>
        <w:t>共</w:t>
      </w:r>
      <w:r>
        <w:rPr>
          <w:szCs w:val="21"/>
        </w:rPr>
        <w:t xml:space="preserve">  </w:t>
      </w:r>
      <w:r>
        <w:rPr>
          <w:rFonts w:hint="eastAsia"/>
          <w:szCs w:val="21"/>
        </w:rPr>
        <w:t>页</w:t>
      </w:r>
    </w:p>
    <w:tbl>
      <w:tblPr>
        <w:tblStyle w:val="45"/>
        <w:tblW w:w="8613"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97"/>
        <w:gridCol w:w="1913"/>
        <w:gridCol w:w="1746"/>
        <w:gridCol w:w="1176"/>
        <w:gridCol w:w="1066"/>
        <w:gridCol w:w="852"/>
        <w:gridCol w:w="1063"/>
      </w:tblGrid>
      <w:tr w14:paraId="5B1CED5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97" w:type="dxa"/>
            <w:tcBorders>
              <w:top w:val="single" w:color="auto" w:sz="8" w:space="0"/>
            </w:tcBorders>
            <w:vAlign w:val="center"/>
          </w:tcPr>
          <w:p w14:paraId="780254E0">
            <w:pPr>
              <w:widowControl w:val="0"/>
              <w:jc w:val="center"/>
              <w:textAlignment w:val="auto"/>
              <w:rPr>
                <w:szCs w:val="21"/>
              </w:rPr>
            </w:pPr>
            <w:r>
              <w:rPr>
                <w:rFonts w:hint="eastAsia"/>
                <w:szCs w:val="21"/>
              </w:rPr>
              <w:t>序号</w:t>
            </w:r>
          </w:p>
        </w:tc>
        <w:tc>
          <w:tcPr>
            <w:tcW w:w="1913" w:type="dxa"/>
            <w:tcBorders>
              <w:top w:val="single" w:color="auto" w:sz="8" w:space="0"/>
            </w:tcBorders>
            <w:vAlign w:val="center"/>
          </w:tcPr>
          <w:p w14:paraId="1D04609E">
            <w:pPr>
              <w:widowControl w:val="0"/>
              <w:jc w:val="center"/>
              <w:textAlignment w:val="auto"/>
              <w:rPr>
                <w:szCs w:val="21"/>
              </w:rPr>
            </w:pPr>
            <w:r>
              <w:rPr>
                <w:rFonts w:hint="eastAsia"/>
                <w:szCs w:val="21"/>
              </w:rPr>
              <w:t>项目名称</w:t>
            </w:r>
          </w:p>
        </w:tc>
        <w:tc>
          <w:tcPr>
            <w:tcW w:w="1746" w:type="dxa"/>
            <w:tcBorders>
              <w:top w:val="single" w:color="auto" w:sz="8" w:space="0"/>
            </w:tcBorders>
            <w:vAlign w:val="center"/>
          </w:tcPr>
          <w:p w14:paraId="4D644566">
            <w:pPr>
              <w:widowControl w:val="0"/>
              <w:jc w:val="center"/>
              <w:textAlignment w:val="auto"/>
              <w:rPr>
                <w:szCs w:val="21"/>
              </w:rPr>
            </w:pPr>
            <w:r>
              <w:rPr>
                <w:rFonts w:hint="eastAsia"/>
                <w:szCs w:val="21"/>
              </w:rPr>
              <w:t>项目价值</w:t>
            </w:r>
          </w:p>
          <w:p w14:paraId="3EDBB1C8">
            <w:pPr>
              <w:widowControl w:val="0"/>
              <w:jc w:val="center"/>
              <w:textAlignment w:val="auto"/>
              <w:rPr>
                <w:szCs w:val="21"/>
              </w:rPr>
            </w:pPr>
            <w:r>
              <w:rPr>
                <w:rFonts w:hint="eastAsia"/>
                <w:szCs w:val="21"/>
              </w:rPr>
              <w:t>（元）</w:t>
            </w:r>
          </w:p>
        </w:tc>
        <w:tc>
          <w:tcPr>
            <w:tcW w:w="1176" w:type="dxa"/>
            <w:tcBorders>
              <w:top w:val="single" w:color="auto" w:sz="8" w:space="0"/>
            </w:tcBorders>
            <w:vAlign w:val="center"/>
          </w:tcPr>
          <w:p w14:paraId="7C537008">
            <w:pPr>
              <w:widowControl w:val="0"/>
              <w:jc w:val="center"/>
              <w:textAlignment w:val="auto"/>
              <w:rPr>
                <w:szCs w:val="21"/>
              </w:rPr>
            </w:pPr>
            <w:r>
              <w:rPr>
                <w:rFonts w:hint="eastAsia"/>
                <w:szCs w:val="21"/>
              </w:rPr>
              <w:t>服务内容</w:t>
            </w:r>
          </w:p>
        </w:tc>
        <w:tc>
          <w:tcPr>
            <w:tcW w:w="1066" w:type="dxa"/>
            <w:tcBorders>
              <w:top w:val="single" w:color="auto" w:sz="8" w:space="0"/>
            </w:tcBorders>
            <w:vAlign w:val="center"/>
          </w:tcPr>
          <w:p w14:paraId="5B0F761B">
            <w:pPr>
              <w:widowControl w:val="0"/>
              <w:jc w:val="center"/>
              <w:textAlignment w:val="auto"/>
              <w:rPr>
                <w:szCs w:val="21"/>
              </w:rPr>
            </w:pPr>
            <w:r>
              <w:rPr>
                <w:rFonts w:hint="eastAsia"/>
                <w:szCs w:val="21"/>
              </w:rPr>
              <w:t>计算基础</w:t>
            </w:r>
          </w:p>
        </w:tc>
        <w:tc>
          <w:tcPr>
            <w:tcW w:w="852" w:type="dxa"/>
            <w:tcBorders>
              <w:top w:val="single" w:color="auto" w:sz="8" w:space="0"/>
            </w:tcBorders>
            <w:vAlign w:val="center"/>
          </w:tcPr>
          <w:p w14:paraId="34579F19">
            <w:pPr>
              <w:widowControl w:val="0"/>
              <w:jc w:val="center"/>
              <w:textAlignment w:val="auto"/>
              <w:rPr>
                <w:szCs w:val="21"/>
              </w:rPr>
            </w:pPr>
            <w:r>
              <w:rPr>
                <w:rFonts w:hint="eastAsia"/>
                <w:szCs w:val="21"/>
              </w:rPr>
              <w:t>费率（</w:t>
            </w:r>
            <w:r>
              <w:rPr>
                <w:szCs w:val="21"/>
              </w:rPr>
              <w:t>%</w:t>
            </w:r>
            <w:r>
              <w:rPr>
                <w:rFonts w:hint="eastAsia"/>
                <w:szCs w:val="21"/>
              </w:rPr>
              <w:t>）</w:t>
            </w:r>
          </w:p>
        </w:tc>
        <w:tc>
          <w:tcPr>
            <w:tcW w:w="1063" w:type="dxa"/>
            <w:tcBorders>
              <w:top w:val="single" w:color="auto" w:sz="8" w:space="0"/>
            </w:tcBorders>
            <w:vAlign w:val="center"/>
          </w:tcPr>
          <w:p w14:paraId="60819DB2">
            <w:pPr>
              <w:widowControl w:val="0"/>
              <w:jc w:val="center"/>
              <w:textAlignment w:val="auto"/>
              <w:rPr>
                <w:szCs w:val="21"/>
              </w:rPr>
            </w:pPr>
            <w:r>
              <w:rPr>
                <w:rFonts w:hint="eastAsia"/>
                <w:szCs w:val="21"/>
              </w:rPr>
              <w:t>金额（元）</w:t>
            </w:r>
          </w:p>
        </w:tc>
      </w:tr>
      <w:tr w14:paraId="7EFDFDD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97" w:type="dxa"/>
            <w:vAlign w:val="center"/>
          </w:tcPr>
          <w:p w14:paraId="5C177061">
            <w:pPr>
              <w:widowControl w:val="0"/>
              <w:jc w:val="center"/>
              <w:textAlignment w:val="auto"/>
              <w:rPr>
                <w:szCs w:val="21"/>
              </w:rPr>
            </w:pPr>
          </w:p>
        </w:tc>
        <w:tc>
          <w:tcPr>
            <w:tcW w:w="1913" w:type="dxa"/>
            <w:vAlign w:val="center"/>
          </w:tcPr>
          <w:p w14:paraId="1856D6C7">
            <w:pPr>
              <w:widowControl w:val="0"/>
              <w:jc w:val="center"/>
              <w:textAlignment w:val="auto"/>
              <w:rPr>
                <w:szCs w:val="21"/>
              </w:rPr>
            </w:pPr>
          </w:p>
        </w:tc>
        <w:tc>
          <w:tcPr>
            <w:tcW w:w="1746" w:type="dxa"/>
            <w:vAlign w:val="center"/>
          </w:tcPr>
          <w:p w14:paraId="23A0A6B3">
            <w:pPr>
              <w:widowControl w:val="0"/>
              <w:spacing w:line="360" w:lineRule="auto"/>
              <w:jc w:val="center"/>
              <w:textAlignment w:val="auto"/>
              <w:rPr>
                <w:szCs w:val="21"/>
              </w:rPr>
            </w:pPr>
          </w:p>
        </w:tc>
        <w:tc>
          <w:tcPr>
            <w:tcW w:w="1176" w:type="dxa"/>
            <w:vAlign w:val="center"/>
          </w:tcPr>
          <w:p w14:paraId="39472222">
            <w:pPr>
              <w:widowControl w:val="0"/>
              <w:spacing w:line="360" w:lineRule="auto"/>
              <w:jc w:val="center"/>
              <w:textAlignment w:val="auto"/>
              <w:rPr>
                <w:szCs w:val="21"/>
              </w:rPr>
            </w:pPr>
          </w:p>
        </w:tc>
        <w:tc>
          <w:tcPr>
            <w:tcW w:w="1066" w:type="dxa"/>
            <w:vAlign w:val="center"/>
          </w:tcPr>
          <w:p w14:paraId="14DA3D41">
            <w:pPr>
              <w:widowControl w:val="0"/>
              <w:spacing w:line="360" w:lineRule="auto"/>
              <w:jc w:val="center"/>
              <w:textAlignment w:val="auto"/>
              <w:rPr>
                <w:szCs w:val="21"/>
              </w:rPr>
            </w:pPr>
          </w:p>
        </w:tc>
        <w:tc>
          <w:tcPr>
            <w:tcW w:w="852" w:type="dxa"/>
            <w:vAlign w:val="center"/>
          </w:tcPr>
          <w:p w14:paraId="66BA1C7E">
            <w:pPr>
              <w:widowControl w:val="0"/>
              <w:spacing w:line="360" w:lineRule="auto"/>
              <w:jc w:val="center"/>
              <w:textAlignment w:val="auto"/>
              <w:rPr>
                <w:szCs w:val="21"/>
              </w:rPr>
            </w:pPr>
          </w:p>
        </w:tc>
        <w:tc>
          <w:tcPr>
            <w:tcW w:w="1063" w:type="dxa"/>
            <w:vAlign w:val="center"/>
          </w:tcPr>
          <w:p w14:paraId="0EEA27E7">
            <w:pPr>
              <w:widowControl w:val="0"/>
              <w:spacing w:line="360" w:lineRule="auto"/>
              <w:jc w:val="center"/>
              <w:textAlignment w:val="auto"/>
              <w:rPr>
                <w:szCs w:val="21"/>
              </w:rPr>
            </w:pPr>
          </w:p>
        </w:tc>
      </w:tr>
      <w:tr w14:paraId="1E8A9CB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97" w:type="dxa"/>
            <w:vAlign w:val="center"/>
          </w:tcPr>
          <w:p w14:paraId="1720B6AF">
            <w:pPr>
              <w:widowControl w:val="0"/>
              <w:jc w:val="center"/>
              <w:textAlignment w:val="auto"/>
              <w:rPr>
                <w:szCs w:val="21"/>
              </w:rPr>
            </w:pPr>
          </w:p>
        </w:tc>
        <w:tc>
          <w:tcPr>
            <w:tcW w:w="1913" w:type="dxa"/>
            <w:vAlign w:val="center"/>
          </w:tcPr>
          <w:p w14:paraId="767636A3">
            <w:pPr>
              <w:widowControl w:val="0"/>
              <w:jc w:val="center"/>
              <w:textAlignment w:val="auto"/>
              <w:rPr>
                <w:szCs w:val="21"/>
              </w:rPr>
            </w:pPr>
          </w:p>
        </w:tc>
        <w:tc>
          <w:tcPr>
            <w:tcW w:w="1746" w:type="dxa"/>
            <w:vAlign w:val="center"/>
          </w:tcPr>
          <w:p w14:paraId="73D7D06C">
            <w:pPr>
              <w:widowControl w:val="0"/>
              <w:spacing w:line="360" w:lineRule="auto"/>
              <w:jc w:val="center"/>
              <w:textAlignment w:val="auto"/>
              <w:rPr>
                <w:szCs w:val="21"/>
              </w:rPr>
            </w:pPr>
          </w:p>
        </w:tc>
        <w:tc>
          <w:tcPr>
            <w:tcW w:w="1176" w:type="dxa"/>
            <w:vAlign w:val="center"/>
          </w:tcPr>
          <w:p w14:paraId="2F2823BC">
            <w:pPr>
              <w:widowControl w:val="0"/>
              <w:spacing w:line="360" w:lineRule="auto"/>
              <w:jc w:val="center"/>
              <w:textAlignment w:val="auto"/>
              <w:rPr>
                <w:szCs w:val="21"/>
              </w:rPr>
            </w:pPr>
          </w:p>
        </w:tc>
        <w:tc>
          <w:tcPr>
            <w:tcW w:w="1066" w:type="dxa"/>
            <w:vAlign w:val="center"/>
          </w:tcPr>
          <w:p w14:paraId="161D7733">
            <w:pPr>
              <w:widowControl w:val="0"/>
              <w:spacing w:line="360" w:lineRule="auto"/>
              <w:jc w:val="center"/>
              <w:textAlignment w:val="auto"/>
              <w:rPr>
                <w:szCs w:val="21"/>
              </w:rPr>
            </w:pPr>
          </w:p>
        </w:tc>
        <w:tc>
          <w:tcPr>
            <w:tcW w:w="852" w:type="dxa"/>
            <w:vAlign w:val="center"/>
          </w:tcPr>
          <w:p w14:paraId="5C73489A">
            <w:pPr>
              <w:widowControl w:val="0"/>
              <w:spacing w:line="360" w:lineRule="auto"/>
              <w:jc w:val="center"/>
              <w:textAlignment w:val="auto"/>
              <w:rPr>
                <w:szCs w:val="21"/>
              </w:rPr>
            </w:pPr>
          </w:p>
        </w:tc>
        <w:tc>
          <w:tcPr>
            <w:tcW w:w="1063" w:type="dxa"/>
            <w:vAlign w:val="center"/>
          </w:tcPr>
          <w:p w14:paraId="06B9D971">
            <w:pPr>
              <w:widowControl w:val="0"/>
              <w:spacing w:line="360" w:lineRule="auto"/>
              <w:jc w:val="center"/>
              <w:textAlignment w:val="auto"/>
              <w:rPr>
                <w:szCs w:val="21"/>
              </w:rPr>
            </w:pPr>
          </w:p>
        </w:tc>
      </w:tr>
      <w:tr w14:paraId="3068CF7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97" w:type="dxa"/>
            <w:vAlign w:val="center"/>
          </w:tcPr>
          <w:p w14:paraId="7D452B93">
            <w:pPr>
              <w:widowControl w:val="0"/>
              <w:spacing w:line="360" w:lineRule="auto"/>
              <w:jc w:val="center"/>
              <w:textAlignment w:val="auto"/>
              <w:rPr>
                <w:szCs w:val="21"/>
              </w:rPr>
            </w:pPr>
          </w:p>
        </w:tc>
        <w:tc>
          <w:tcPr>
            <w:tcW w:w="1913" w:type="dxa"/>
            <w:vAlign w:val="center"/>
          </w:tcPr>
          <w:p w14:paraId="366F2FFB">
            <w:pPr>
              <w:widowControl w:val="0"/>
              <w:spacing w:line="360" w:lineRule="auto"/>
              <w:jc w:val="center"/>
              <w:textAlignment w:val="auto"/>
              <w:rPr>
                <w:szCs w:val="21"/>
              </w:rPr>
            </w:pPr>
          </w:p>
        </w:tc>
        <w:tc>
          <w:tcPr>
            <w:tcW w:w="1746" w:type="dxa"/>
            <w:vAlign w:val="center"/>
          </w:tcPr>
          <w:p w14:paraId="38619DBF">
            <w:pPr>
              <w:widowControl w:val="0"/>
              <w:spacing w:line="360" w:lineRule="auto"/>
              <w:jc w:val="center"/>
              <w:textAlignment w:val="auto"/>
              <w:rPr>
                <w:szCs w:val="21"/>
              </w:rPr>
            </w:pPr>
          </w:p>
        </w:tc>
        <w:tc>
          <w:tcPr>
            <w:tcW w:w="1176" w:type="dxa"/>
            <w:vAlign w:val="center"/>
          </w:tcPr>
          <w:p w14:paraId="7F560785">
            <w:pPr>
              <w:widowControl w:val="0"/>
              <w:spacing w:line="360" w:lineRule="auto"/>
              <w:jc w:val="center"/>
              <w:textAlignment w:val="auto"/>
              <w:rPr>
                <w:szCs w:val="21"/>
              </w:rPr>
            </w:pPr>
          </w:p>
        </w:tc>
        <w:tc>
          <w:tcPr>
            <w:tcW w:w="1066" w:type="dxa"/>
            <w:vAlign w:val="center"/>
          </w:tcPr>
          <w:p w14:paraId="4EF41E0C">
            <w:pPr>
              <w:widowControl w:val="0"/>
              <w:spacing w:line="360" w:lineRule="auto"/>
              <w:jc w:val="center"/>
              <w:textAlignment w:val="auto"/>
              <w:rPr>
                <w:szCs w:val="21"/>
              </w:rPr>
            </w:pPr>
          </w:p>
        </w:tc>
        <w:tc>
          <w:tcPr>
            <w:tcW w:w="852" w:type="dxa"/>
            <w:vAlign w:val="center"/>
          </w:tcPr>
          <w:p w14:paraId="0E314F40">
            <w:pPr>
              <w:widowControl w:val="0"/>
              <w:spacing w:line="360" w:lineRule="auto"/>
              <w:jc w:val="center"/>
              <w:textAlignment w:val="auto"/>
              <w:rPr>
                <w:szCs w:val="21"/>
              </w:rPr>
            </w:pPr>
          </w:p>
        </w:tc>
        <w:tc>
          <w:tcPr>
            <w:tcW w:w="1063" w:type="dxa"/>
            <w:vAlign w:val="center"/>
          </w:tcPr>
          <w:p w14:paraId="0AAE20B5">
            <w:pPr>
              <w:widowControl w:val="0"/>
              <w:spacing w:line="360" w:lineRule="auto"/>
              <w:jc w:val="center"/>
              <w:textAlignment w:val="auto"/>
              <w:rPr>
                <w:szCs w:val="21"/>
              </w:rPr>
            </w:pPr>
          </w:p>
        </w:tc>
      </w:tr>
      <w:tr w14:paraId="5C1F0B1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97" w:type="dxa"/>
            <w:vAlign w:val="center"/>
          </w:tcPr>
          <w:p w14:paraId="058F7F8E">
            <w:pPr>
              <w:widowControl w:val="0"/>
              <w:spacing w:line="360" w:lineRule="auto"/>
              <w:jc w:val="center"/>
              <w:textAlignment w:val="auto"/>
              <w:rPr>
                <w:szCs w:val="21"/>
              </w:rPr>
            </w:pPr>
          </w:p>
        </w:tc>
        <w:tc>
          <w:tcPr>
            <w:tcW w:w="1913" w:type="dxa"/>
            <w:vAlign w:val="center"/>
          </w:tcPr>
          <w:p w14:paraId="2DBD9921">
            <w:pPr>
              <w:widowControl w:val="0"/>
              <w:spacing w:line="360" w:lineRule="auto"/>
              <w:jc w:val="center"/>
              <w:textAlignment w:val="auto"/>
              <w:rPr>
                <w:szCs w:val="21"/>
              </w:rPr>
            </w:pPr>
          </w:p>
        </w:tc>
        <w:tc>
          <w:tcPr>
            <w:tcW w:w="1746" w:type="dxa"/>
            <w:vAlign w:val="center"/>
          </w:tcPr>
          <w:p w14:paraId="661D760A">
            <w:pPr>
              <w:widowControl w:val="0"/>
              <w:spacing w:line="360" w:lineRule="auto"/>
              <w:jc w:val="center"/>
              <w:textAlignment w:val="auto"/>
              <w:rPr>
                <w:szCs w:val="21"/>
              </w:rPr>
            </w:pPr>
          </w:p>
        </w:tc>
        <w:tc>
          <w:tcPr>
            <w:tcW w:w="1176" w:type="dxa"/>
            <w:vAlign w:val="center"/>
          </w:tcPr>
          <w:p w14:paraId="37EFBE21">
            <w:pPr>
              <w:widowControl w:val="0"/>
              <w:spacing w:line="360" w:lineRule="auto"/>
              <w:jc w:val="center"/>
              <w:textAlignment w:val="auto"/>
              <w:rPr>
                <w:szCs w:val="21"/>
              </w:rPr>
            </w:pPr>
          </w:p>
        </w:tc>
        <w:tc>
          <w:tcPr>
            <w:tcW w:w="1066" w:type="dxa"/>
            <w:vAlign w:val="center"/>
          </w:tcPr>
          <w:p w14:paraId="21856080">
            <w:pPr>
              <w:widowControl w:val="0"/>
              <w:spacing w:line="360" w:lineRule="auto"/>
              <w:jc w:val="center"/>
              <w:textAlignment w:val="auto"/>
              <w:rPr>
                <w:szCs w:val="21"/>
              </w:rPr>
            </w:pPr>
          </w:p>
        </w:tc>
        <w:tc>
          <w:tcPr>
            <w:tcW w:w="852" w:type="dxa"/>
            <w:vAlign w:val="center"/>
          </w:tcPr>
          <w:p w14:paraId="36FE3D0B">
            <w:pPr>
              <w:widowControl w:val="0"/>
              <w:spacing w:line="360" w:lineRule="auto"/>
              <w:jc w:val="center"/>
              <w:textAlignment w:val="auto"/>
              <w:rPr>
                <w:szCs w:val="21"/>
              </w:rPr>
            </w:pPr>
          </w:p>
        </w:tc>
        <w:tc>
          <w:tcPr>
            <w:tcW w:w="1063" w:type="dxa"/>
            <w:vAlign w:val="center"/>
          </w:tcPr>
          <w:p w14:paraId="314322F3">
            <w:pPr>
              <w:widowControl w:val="0"/>
              <w:spacing w:line="360" w:lineRule="auto"/>
              <w:jc w:val="center"/>
              <w:textAlignment w:val="auto"/>
              <w:rPr>
                <w:szCs w:val="21"/>
              </w:rPr>
            </w:pPr>
          </w:p>
        </w:tc>
      </w:tr>
      <w:tr w14:paraId="2AAA4F1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97" w:type="dxa"/>
            <w:vAlign w:val="center"/>
          </w:tcPr>
          <w:p w14:paraId="0F40F130">
            <w:pPr>
              <w:widowControl w:val="0"/>
              <w:spacing w:line="360" w:lineRule="auto"/>
              <w:jc w:val="center"/>
              <w:textAlignment w:val="auto"/>
              <w:rPr>
                <w:szCs w:val="21"/>
              </w:rPr>
            </w:pPr>
          </w:p>
        </w:tc>
        <w:tc>
          <w:tcPr>
            <w:tcW w:w="1913" w:type="dxa"/>
            <w:vAlign w:val="center"/>
          </w:tcPr>
          <w:p w14:paraId="289764DD">
            <w:pPr>
              <w:widowControl w:val="0"/>
              <w:spacing w:line="360" w:lineRule="auto"/>
              <w:jc w:val="center"/>
              <w:textAlignment w:val="auto"/>
              <w:rPr>
                <w:szCs w:val="21"/>
              </w:rPr>
            </w:pPr>
          </w:p>
        </w:tc>
        <w:tc>
          <w:tcPr>
            <w:tcW w:w="1746" w:type="dxa"/>
            <w:vAlign w:val="center"/>
          </w:tcPr>
          <w:p w14:paraId="4EAF38D7">
            <w:pPr>
              <w:widowControl w:val="0"/>
              <w:spacing w:line="360" w:lineRule="auto"/>
              <w:jc w:val="center"/>
              <w:textAlignment w:val="auto"/>
              <w:rPr>
                <w:szCs w:val="21"/>
              </w:rPr>
            </w:pPr>
          </w:p>
        </w:tc>
        <w:tc>
          <w:tcPr>
            <w:tcW w:w="1176" w:type="dxa"/>
            <w:vAlign w:val="center"/>
          </w:tcPr>
          <w:p w14:paraId="07D31A99">
            <w:pPr>
              <w:widowControl w:val="0"/>
              <w:spacing w:line="360" w:lineRule="auto"/>
              <w:jc w:val="center"/>
              <w:textAlignment w:val="auto"/>
              <w:rPr>
                <w:szCs w:val="21"/>
              </w:rPr>
            </w:pPr>
          </w:p>
        </w:tc>
        <w:tc>
          <w:tcPr>
            <w:tcW w:w="1066" w:type="dxa"/>
            <w:vAlign w:val="center"/>
          </w:tcPr>
          <w:p w14:paraId="390A338B">
            <w:pPr>
              <w:widowControl w:val="0"/>
              <w:spacing w:line="360" w:lineRule="auto"/>
              <w:jc w:val="center"/>
              <w:textAlignment w:val="auto"/>
              <w:rPr>
                <w:szCs w:val="21"/>
              </w:rPr>
            </w:pPr>
          </w:p>
        </w:tc>
        <w:tc>
          <w:tcPr>
            <w:tcW w:w="852" w:type="dxa"/>
            <w:vAlign w:val="center"/>
          </w:tcPr>
          <w:p w14:paraId="179C3D1F">
            <w:pPr>
              <w:widowControl w:val="0"/>
              <w:spacing w:line="360" w:lineRule="auto"/>
              <w:jc w:val="center"/>
              <w:textAlignment w:val="auto"/>
              <w:rPr>
                <w:szCs w:val="21"/>
              </w:rPr>
            </w:pPr>
          </w:p>
        </w:tc>
        <w:tc>
          <w:tcPr>
            <w:tcW w:w="1063" w:type="dxa"/>
            <w:vAlign w:val="center"/>
          </w:tcPr>
          <w:p w14:paraId="3AB5B7EE">
            <w:pPr>
              <w:widowControl w:val="0"/>
              <w:spacing w:line="360" w:lineRule="auto"/>
              <w:jc w:val="center"/>
              <w:textAlignment w:val="auto"/>
              <w:rPr>
                <w:szCs w:val="21"/>
              </w:rPr>
            </w:pPr>
          </w:p>
        </w:tc>
      </w:tr>
      <w:tr w14:paraId="3D5656B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97" w:type="dxa"/>
            <w:vAlign w:val="center"/>
          </w:tcPr>
          <w:p w14:paraId="3EEE197B">
            <w:pPr>
              <w:widowControl w:val="0"/>
              <w:spacing w:line="360" w:lineRule="auto"/>
              <w:jc w:val="center"/>
              <w:textAlignment w:val="auto"/>
              <w:rPr>
                <w:szCs w:val="21"/>
              </w:rPr>
            </w:pPr>
          </w:p>
        </w:tc>
        <w:tc>
          <w:tcPr>
            <w:tcW w:w="1913" w:type="dxa"/>
            <w:vAlign w:val="center"/>
          </w:tcPr>
          <w:p w14:paraId="0DAFBDBC">
            <w:pPr>
              <w:widowControl w:val="0"/>
              <w:spacing w:line="360" w:lineRule="auto"/>
              <w:jc w:val="center"/>
              <w:textAlignment w:val="auto"/>
              <w:rPr>
                <w:szCs w:val="21"/>
              </w:rPr>
            </w:pPr>
          </w:p>
        </w:tc>
        <w:tc>
          <w:tcPr>
            <w:tcW w:w="1746" w:type="dxa"/>
            <w:vAlign w:val="center"/>
          </w:tcPr>
          <w:p w14:paraId="5ECE4C69">
            <w:pPr>
              <w:widowControl w:val="0"/>
              <w:spacing w:line="360" w:lineRule="auto"/>
              <w:jc w:val="center"/>
              <w:textAlignment w:val="auto"/>
              <w:rPr>
                <w:szCs w:val="21"/>
              </w:rPr>
            </w:pPr>
          </w:p>
        </w:tc>
        <w:tc>
          <w:tcPr>
            <w:tcW w:w="1176" w:type="dxa"/>
            <w:vAlign w:val="center"/>
          </w:tcPr>
          <w:p w14:paraId="1A76D09E">
            <w:pPr>
              <w:widowControl w:val="0"/>
              <w:spacing w:line="360" w:lineRule="auto"/>
              <w:jc w:val="center"/>
              <w:textAlignment w:val="auto"/>
              <w:rPr>
                <w:szCs w:val="21"/>
              </w:rPr>
            </w:pPr>
          </w:p>
        </w:tc>
        <w:tc>
          <w:tcPr>
            <w:tcW w:w="1066" w:type="dxa"/>
            <w:vAlign w:val="center"/>
          </w:tcPr>
          <w:p w14:paraId="0B5E5B81">
            <w:pPr>
              <w:widowControl w:val="0"/>
              <w:spacing w:line="360" w:lineRule="auto"/>
              <w:jc w:val="center"/>
              <w:textAlignment w:val="auto"/>
              <w:rPr>
                <w:szCs w:val="21"/>
              </w:rPr>
            </w:pPr>
          </w:p>
        </w:tc>
        <w:tc>
          <w:tcPr>
            <w:tcW w:w="852" w:type="dxa"/>
            <w:vAlign w:val="center"/>
          </w:tcPr>
          <w:p w14:paraId="138A1326">
            <w:pPr>
              <w:widowControl w:val="0"/>
              <w:spacing w:line="360" w:lineRule="auto"/>
              <w:jc w:val="center"/>
              <w:textAlignment w:val="auto"/>
              <w:rPr>
                <w:szCs w:val="21"/>
              </w:rPr>
            </w:pPr>
          </w:p>
        </w:tc>
        <w:tc>
          <w:tcPr>
            <w:tcW w:w="1063" w:type="dxa"/>
            <w:vAlign w:val="center"/>
          </w:tcPr>
          <w:p w14:paraId="1D70A033">
            <w:pPr>
              <w:widowControl w:val="0"/>
              <w:spacing w:line="360" w:lineRule="auto"/>
              <w:jc w:val="center"/>
              <w:textAlignment w:val="auto"/>
              <w:rPr>
                <w:szCs w:val="21"/>
              </w:rPr>
            </w:pPr>
          </w:p>
        </w:tc>
      </w:tr>
      <w:tr w14:paraId="4FD109E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97" w:type="dxa"/>
            <w:vAlign w:val="center"/>
          </w:tcPr>
          <w:p w14:paraId="68A92A88">
            <w:pPr>
              <w:widowControl w:val="0"/>
              <w:spacing w:line="360" w:lineRule="auto"/>
              <w:jc w:val="center"/>
              <w:textAlignment w:val="auto"/>
              <w:rPr>
                <w:szCs w:val="21"/>
              </w:rPr>
            </w:pPr>
          </w:p>
        </w:tc>
        <w:tc>
          <w:tcPr>
            <w:tcW w:w="1913" w:type="dxa"/>
            <w:vAlign w:val="center"/>
          </w:tcPr>
          <w:p w14:paraId="13581A9F">
            <w:pPr>
              <w:widowControl w:val="0"/>
              <w:spacing w:line="360" w:lineRule="auto"/>
              <w:jc w:val="center"/>
              <w:textAlignment w:val="auto"/>
              <w:rPr>
                <w:szCs w:val="21"/>
              </w:rPr>
            </w:pPr>
          </w:p>
        </w:tc>
        <w:tc>
          <w:tcPr>
            <w:tcW w:w="1746" w:type="dxa"/>
            <w:vAlign w:val="center"/>
          </w:tcPr>
          <w:p w14:paraId="5E996EBB">
            <w:pPr>
              <w:widowControl w:val="0"/>
              <w:spacing w:line="360" w:lineRule="auto"/>
              <w:jc w:val="center"/>
              <w:textAlignment w:val="auto"/>
              <w:rPr>
                <w:szCs w:val="21"/>
              </w:rPr>
            </w:pPr>
          </w:p>
        </w:tc>
        <w:tc>
          <w:tcPr>
            <w:tcW w:w="1176" w:type="dxa"/>
            <w:vAlign w:val="center"/>
          </w:tcPr>
          <w:p w14:paraId="5F200A9C">
            <w:pPr>
              <w:widowControl w:val="0"/>
              <w:spacing w:line="360" w:lineRule="auto"/>
              <w:jc w:val="center"/>
              <w:textAlignment w:val="auto"/>
              <w:rPr>
                <w:szCs w:val="21"/>
              </w:rPr>
            </w:pPr>
          </w:p>
        </w:tc>
        <w:tc>
          <w:tcPr>
            <w:tcW w:w="1066" w:type="dxa"/>
            <w:vAlign w:val="center"/>
          </w:tcPr>
          <w:p w14:paraId="5976C76E">
            <w:pPr>
              <w:widowControl w:val="0"/>
              <w:spacing w:line="360" w:lineRule="auto"/>
              <w:jc w:val="center"/>
              <w:textAlignment w:val="auto"/>
              <w:rPr>
                <w:szCs w:val="21"/>
              </w:rPr>
            </w:pPr>
          </w:p>
        </w:tc>
        <w:tc>
          <w:tcPr>
            <w:tcW w:w="852" w:type="dxa"/>
            <w:vAlign w:val="center"/>
          </w:tcPr>
          <w:p w14:paraId="53A5FC9A">
            <w:pPr>
              <w:widowControl w:val="0"/>
              <w:spacing w:line="360" w:lineRule="auto"/>
              <w:jc w:val="center"/>
              <w:textAlignment w:val="auto"/>
              <w:rPr>
                <w:szCs w:val="21"/>
              </w:rPr>
            </w:pPr>
          </w:p>
        </w:tc>
        <w:tc>
          <w:tcPr>
            <w:tcW w:w="1063" w:type="dxa"/>
            <w:vAlign w:val="center"/>
          </w:tcPr>
          <w:p w14:paraId="357E705C">
            <w:pPr>
              <w:widowControl w:val="0"/>
              <w:spacing w:line="360" w:lineRule="auto"/>
              <w:jc w:val="center"/>
              <w:textAlignment w:val="auto"/>
              <w:rPr>
                <w:szCs w:val="21"/>
              </w:rPr>
            </w:pPr>
          </w:p>
        </w:tc>
      </w:tr>
      <w:tr w14:paraId="6067443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97" w:type="dxa"/>
            <w:vAlign w:val="center"/>
          </w:tcPr>
          <w:p w14:paraId="09D3ADC3">
            <w:pPr>
              <w:widowControl w:val="0"/>
              <w:spacing w:line="360" w:lineRule="auto"/>
              <w:jc w:val="center"/>
              <w:textAlignment w:val="auto"/>
              <w:rPr>
                <w:szCs w:val="21"/>
              </w:rPr>
            </w:pPr>
          </w:p>
        </w:tc>
        <w:tc>
          <w:tcPr>
            <w:tcW w:w="1913" w:type="dxa"/>
            <w:vAlign w:val="center"/>
          </w:tcPr>
          <w:p w14:paraId="7AD9F77D">
            <w:pPr>
              <w:widowControl w:val="0"/>
              <w:spacing w:line="360" w:lineRule="auto"/>
              <w:jc w:val="center"/>
              <w:textAlignment w:val="auto"/>
              <w:rPr>
                <w:szCs w:val="21"/>
              </w:rPr>
            </w:pPr>
          </w:p>
        </w:tc>
        <w:tc>
          <w:tcPr>
            <w:tcW w:w="1746" w:type="dxa"/>
            <w:vAlign w:val="center"/>
          </w:tcPr>
          <w:p w14:paraId="03D7BBB7">
            <w:pPr>
              <w:widowControl w:val="0"/>
              <w:spacing w:line="360" w:lineRule="auto"/>
              <w:jc w:val="center"/>
              <w:textAlignment w:val="auto"/>
              <w:rPr>
                <w:szCs w:val="21"/>
              </w:rPr>
            </w:pPr>
          </w:p>
        </w:tc>
        <w:tc>
          <w:tcPr>
            <w:tcW w:w="1176" w:type="dxa"/>
            <w:vAlign w:val="center"/>
          </w:tcPr>
          <w:p w14:paraId="5B08AAEB">
            <w:pPr>
              <w:widowControl w:val="0"/>
              <w:spacing w:line="360" w:lineRule="auto"/>
              <w:jc w:val="center"/>
              <w:textAlignment w:val="auto"/>
              <w:rPr>
                <w:szCs w:val="21"/>
              </w:rPr>
            </w:pPr>
          </w:p>
        </w:tc>
        <w:tc>
          <w:tcPr>
            <w:tcW w:w="1066" w:type="dxa"/>
            <w:vAlign w:val="center"/>
          </w:tcPr>
          <w:p w14:paraId="58FCA578">
            <w:pPr>
              <w:widowControl w:val="0"/>
              <w:spacing w:line="360" w:lineRule="auto"/>
              <w:jc w:val="center"/>
              <w:textAlignment w:val="auto"/>
              <w:rPr>
                <w:szCs w:val="21"/>
              </w:rPr>
            </w:pPr>
          </w:p>
        </w:tc>
        <w:tc>
          <w:tcPr>
            <w:tcW w:w="852" w:type="dxa"/>
            <w:vAlign w:val="center"/>
          </w:tcPr>
          <w:p w14:paraId="4C4F7846">
            <w:pPr>
              <w:widowControl w:val="0"/>
              <w:spacing w:line="360" w:lineRule="auto"/>
              <w:jc w:val="center"/>
              <w:textAlignment w:val="auto"/>
              <w:rPr>
                <w:szCs w:val="21"/>
              </w:rPr>
            </w:pPr>
          </w:p>
        </w:tc>
        <w:tc>
          <w:tcPr>
            <w:tcW w:w="1063" w:type="dxa"/>
            <w:vAlign w:val="center"/>
          </w:tcPr>
          <w:p w14:paraId="3A22CEEF">
            <w:pPr>
              <w:widowControl w:val="0"/>
              <w:spacing w:line="360" w:lineRule="auto"/>
              <w:jc w:val="center"/>
              <w:textAlignment w:val="auto"/>
              <w:rPr>
                <w:szCs w:val="21"/>
              </w:rPr>
            </w:pPr>
          </w:p>
        </w:tc>
      </w:tr>
      <w:tr w14:paraId="0A0710C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97" w:type="dxa"/>
            <w:vAlign w:val="center"/>
          </w:tcPr>
          <w:p w14:paraId="0BE89973">
            <w:pPr>
              <w:widowControl w:val="0"/>
              <w:spacing w:line="360" w:lineRule="auto"/>
              <w:jc w:val="center"/>
              <w:textAlignment w:val="auto"/>
              <w:rPr>
                <w:szCs w:val="21"/>
              </w:rPr>
            </w:pPr>
          </w:p>
        </w:tc>
        <w:tc>
          <w:tcPr>
            <w:tcW w:w="1913" w:type="dxa"/>
            <w:vAlign w:val="center"/>
          </w:tcPr>
          <w:p w14:paraId="5249B0B5">
            <w:pPr>
              <w:widowControl w:val="0"/>
              <w:spacing w:line="360" w:lineRule="auto"/>
              <w:jc w:val="center"/>
              <w:textAlignment w:val="auto"/>
              <w:rPr>
                <w:szCs w:val="21"/>
              </w:rPr>
            </w:pPr>
          </w:p>
        </w:tc>
        <w:tc>
          <w:tcPr>
            <w:tcW w:w="1746" w:type="dxa"/>
            <w:vAlign w:val="center"/>
          </w:tcPr>
          <w:p w14:paraId="55A6A606">
            <w:pPr>
              <w:widowControl w:val="0"/>
              <w:spacing w:line="360" w:lineRule="auto"/>
              <w:jc w:val="center"/>
              <w:textAlignment w:val="auto"/>
              <w:rPr>
                <w:szCs w:val="21"/>
              </w:rPr>
            </w:pPr>
          </w:p>
        </w:tc>
        <w:tc>
          <w:tcPr>
            <w:tcW w:w="1176" w:type="dxa"/>
            <w:vAlign w:val="center"/>
          </w:tcPr>
          <w:p w14:paraId="0FE76D04">
            <w:pPr>
              <w:widowControl w:val="0"/>
              <w:spacing w:line="360" w:lineRule="auto"/>
              <w:jc w:val="center"/>
              <w:textAlignment w:val="auto"/>
              <w:rPr>
                <w:szCs w:val="21"/>
              </w:rPr>
            </w:pPr>
          </w:p>
        </w:tc>
        <w:tc>
          <w:tcPr>
            <w:tcW w:w="1066" w:type="dxa"/>
            <w:vAlign w:val="center"/>
          </w:tcPr>
          <w:p w14:paraId="2CAC7938">
            <w:pPr>
              <w:widowControl w:val="0"/>
              <w:spacing w:line="360" w:lineRule="auto"/>
              <w:jc w:val="center"/>
              <w:textAlignment w:val="auto"/>
              <w:rPr>
                <w:szCs w:val="21"/>
              </w:rPr>
            </w:pPr>
          </w:p>
        </w:tc>
        <w:tc>
          <w:tcPr>
            <w:tcW w:w="852" w:type="dxa"/>
            <w:vAlign w:val="center"/>
          </w:tcPr>
          <w:p w14:paraId="2A3C64B6">
            <w:pPr>
              <w:widowControl w:val="0"/>
              <w:spacing w:line="360" w:lineRule="auto"/>
              <w:jc w:val="center"/>
              <w:textAlignment w:val="auto"/>
              <w:rPr>
                <w:szCs w:val="21"/>
              </w:rPr>
            </w:pPr>
          </w:p>
        </w:tc>
        <w:tc>
          <w:tcPr>
            <w:tcW w:w="1063" w:type="dxa"/>
            <w:vAlign w:val="center"/>
          </w:tcPr>
          <w:p w14:paraId="069D1F49">
            <w:pPr>
              <w:widowControl w:val="0"/>
              <w:spacing w:line="360" w:lineRule="auto"/>
              <w:jc w:val="center"/>
              <w:textAlignment w:val="auto"/>
              <w:rPr>
                <w:szCs w:val="21"/>
              </w:rPr>
            </w:pPr>
          </w:p>
        </w:tc>
      </w:tr>
      <w:tr w14:paraId="48A1762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97" w:type="dxa"/>
            <w:vAlign w:val="center"/>
          </w:tcPr>
          <w:p w14:paraId="6DAB8C5E">
            <w:pPr>
              <w:widowControl w:val="0"/>
              <w:spacing w:line="360" w:lineRule="auto"/>
              <w:jc w:val="center"/>
              <w:textAlignment w:val="auto"/>
              <w:rPr>
                <w:szCs w:val="21"/>
              </w:rPr>
            </w:pPr>
          </w:p>
        </w:tc>
        <w:tc>
          <w:tcPr>
            <w:tcW w:w="1913" w:type="dxa"/>
            <w:vAlign w:val="center"/>
          </w:tcPr>
          <w:p w14:paraId="58DF222A">
            <w:pPr>
              <w:widowControl w:val="0"/>
              <w:spacing w:line="360" w:lineRule="auto"/>
              <w:jc w:val="center"/>
              <w:textAlignment w:val="auto"/>
              <w:rPr>
                <w:szCs w:val="21"/>
              </w:rPr>
            </w:pPr>
          </w:p>
        </w:tc>
        <w:tc>
          <w:tcPr>
            <w:tcW w:w="1746" w:type="dxa"/>
            <w:vAlign w:val="center"/>
          </w:tcPr>
          <w:p w14:paraId="7D0A6CC4">
            <w:pPr>
              <w:widowControl w:val="0"/>
              <w:spacing w:line="360" w:lineRule="auto"/>
              <w:jc w:val="center"/>
              <w:textAlignment w:val="auto"/>
              <w:rPr>
                <w:szCs w:val="21"/>
              </w:rPr>
            </w:pPr>
          </w:p>
        </w:tc>
        <w:tc>
          <w:tcPr>
            <w:tcW w:w="1176" w:type="dxa"/>
            <w:vAlign w:val="center"/>
          </w:tcPr>
          <w:p w14:paraId="71EA0D28">
            <w:pPr>
              <w:widowControl w:val="0"/>
              <w:spacing w:line="360" w:lineRule="auto"/>
              <w:jc w:val="center"/>
              <w:textAlignment w:val="auto"/>
              <w:rPr>
                <w:szCs w:val="21"/>
              </w:rPr>
            </w:pPr>
          </w:p>
        </w:tc>
        <w:tc>
          <w:tcPr>
            <w:tcW w:w="1066" w:type="dxa"/>
            <w:vAlign w:val="center"/>
          </w:tcPr>
          <w:p w14:paraId="4D39D872">
            <w:pPr>
              <w:widowControl w:val="0"/>
              <w:spacing w:line="360" w:lineRule="auto"/>
              <w:jc w:val="center"/>
              <w:textAlignment w:val="auto"/>
              <w:rPr>
                <w:szCs w:val="21"/>
              </w:rPr>
            </w:pPr>
          </w:p>
        </w:tc>
        <w:tc>
          <w:tcPr>
            <w:tcW w:w="852" w:type="dxa"/>
            <w:vAlign w:val="center"/>
          </w:tcPr>
          <w:p w14:paraId="4793F0FC">
            <w:pPr>
              <w:widowControl w:val="0"/>
              <w:spacing w:line="360" w:lineRule="auto"/>
              <w:jc w:val="center"/>
              <w:textAlignment w:val="auto"/>
              <w:rPr>
                <w:szCs w:val="21"/>
              </w:rPr>
            </w:pPr>
          </w:p>
        </w:tc>
        <w:tc>
          <w:tcPr>
            <w:tcW w:w="1063" w:type="dxa"/>
            <w:vAlign w:val="center"/>
          </w:tcPr>
          <w:p w14:paraId="493BEB23">
            <w:pPr>
              <w:widowControl w:val="0"/>
              <w:spacing w:line="360" w:lineRule="auto"/>
              <w:jc w:val="center"/>
              <w:textAlignment w:val="auto"/>
              <w:rPr>
                <w:szCs w:val="21"/>
              </w:rPr>
            </w:pPr>
          </w:p>
        </w:tc>
      </w:tr>
      <w:tr w14:paraId="65C6066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97" w:type="dxa"/>
            <w:vAlign w:val="center"/>
          </w:tcPr>
          <w:p w14:paraId="4D01C112">
            <w:pPr>
              <w:widowControl w:val="0"/>
              <w:spacing w:line="360" w:lineRule="auto"/>
              <w:jc w:val="center"/>
              <w:textAlignment w:val="auto"/>
              <w:rPr>
                <w:szCs w:val="21"/>
              </w:rPr>
            </w:pPr>
          </w:p>
        </w:tc>
        <w:tc>
          <w:tcPr>
            <w:tcW w:w="1913" w:type="dxa"/>
            <w:vAlign w:val="center"/>
          </w:tcPr>
          <w:p w14:paraId="27AA7EF9">
            <w:pPr>
              <w:widowControl w:val="0"/>
              <w:spacing w:line="360" w:lineRule="auto"/>
              <w:jc w:val="center"/>
              <w:textAlignment w:val="auto"/>
              <w:rPr>
                <w:szCs w:val="21"/>
              </w:rPr>
            </w:pPr>
          </w:p>
        </w:tc>
        <w:tc>
          <w:tcPr>
            <w:tcW w:w="1746" w:type="dxa"/>
            <w:vAlign w:val="center"/>
          </w:tcPr>
          <w:p w14:paraId="28903750">
            <w:pPr>
              <w:widowControl w:val="0"/>
              <w:spacing w:line="360" w:lineRule="auto"/>
              <w:jc w:val="center"/>
              <w:textAlignment w:val="auto"/>
              <w:rPr>
                <w:szCs w:val="21"/>
              </w:rPr>
            </w:pPr>
          </w:p>
        </w:tc>
        <w:tc>
          <w:tcPr>
            <w:tcW w:w="1176" w:type="dxa"/>
            <w:vAlign w:val="center"/>
          </w:tcPr>
          <w:p w14:paraId="4C04E65F">
            <w:pPr>
              <w:widowControl w:val="0"/>
              <w:spacing w:line="360" w:lineRule="auto"/>
              <w:jc w:val="center"/>
              <w:textAlignment w:val="auto"/>
              <w:rPr>
                <w:szCs w:val="21"/>
              </w:rPr>
            </w:pPr>
          </w:p>
        </w:tc>
        <w:tc>
          <w:tcPr>
            <w:tcW w:w="1066" w:type="dxa"/>
            <w:vAlign w:val="center"/>
          </w:tcPr>
          <w:p w14:paraId="14F4717F">
            <w:pPr>
              <w:widowControl w:val="0"/>
              <w:spacing w:line="360" w:lineRule="auto"/>
              <w:jc w:val="center"/>
              <w:textAlignment w:val="auto"/>
              <w:rPr>
                <w:szCs w:val="21"/>
              </w:rPr>
            </w:pPr>
          </w:p>
        </w:tc>
        <w:tc>
          <w:tcPr>
            <w:tcW w:w="852" w:type="dxa"/>
            <w:vAlign w:val="center"/>
          </w:tcPr>
          <w:p w14:paraId="0D2ED7DB">
            <w:pPr>
              <w:widowControl w:val="0"/>
              <w:spacing w:line="360" w:lineRule="auto"/>
              <w:jc w:val="center"/>
              <w:textAlignment w:val="auto"/>
              <w:rPr>
                <w:szCs w:val="21"/>
              </w:rPr>
            </w:pPr>
          </w:p>
        </w:tc>
        <w:tc>
          <w:tcPr>
            <w:tcW w:w="1063" w:type="dxa"/>
            <w:vAlign w:val="center"/>
          </w:tcPr>
          <w:p w14:paraId="2108960E">
            <w:pPr>
              <w:widowControl w:val="0"/>
              <w:spacing w:line="360" w:lineRule="auto"/>
              <w:jc w:val="center"/>
              <w:textAlignment w:val="auto"/>
              <w:rPr>
                <w:szCs w:val="21"/>
              </w:rPr>
            </w:pPr>
          </w:p>
        </w:tc>
      </w:tr>
      <w:tr w14:paraId="161DC07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97" w:type="dxa"/>
            <w:vAlign w:val="center"/>
          </w:tcPr>
          <w:p w14:paraId="34C86339">
            <w:pPr>
              <w:widowControl w:val="0"/>
              <w:spacing w:line="360" w:lineRule="auto"/>
              <w:jc w:val="center"/>
              <w:textAlignment w:val="auto"/>
              <w:rPr>
                <w:szCs w:val="21"/>
              </w:rPr>
            </w:pPr>
          </w:p>
        </w:tc>
        <w:tc>
          <w:tcPr>
            <w:tcW w:w="1913" w:type="dxa"/>
            <w:vAlign w:val="center"/>
          </w:tcPr>
          <w:p w14:paraId="28D9052C">
            <w:pPr>
              <w:widowControl w:val="0"/>
              <w:spacing w:line="360" w:lineRule="auto"/>
              <w:jc w:val="center"/>
              <w:textAlignment w:val="auto"/>
              <w:rPr>
                <w:szCs w:val="21"/>
              </w:rPr>
            </w:pPr>
          </w:p>
        </w:tc>
        <w:tc>
          <w:tcPr>
            <w:tcW w:w="1746" w:type="dxa"/>
            <w:vAlign w:val="center"/>
          </w:tcPr>
          <w:p w14:paraId="61507428">
            <w:pPr>
              <w:widowControl w:val="0"/>
              <w:spacing w:line="360" w:lineRule="auto"/>
              <w:jc w:val="center"/>
              <w:textAlignment w:val="auto"/>
              <w:rPr>
                <w:szCs w:val="21"/>
              </w:rPr>
            </w:pPr>
          </w:p>
        </w:tc>
        <w:tc>
          <w:tcPr>
            <w:tcW w:w="1176" w:type="dxa"/>
            <w:vAlign w:val="center"/>
          </w:tcPr>
          <w:p w14:paraId="1AB40B02">
            <w:pPr>
              <w:widowControl w:val="0"/>
              <w:spacing w:line="360" w:lineRule="auto"/>
              <w:jc w:val="center"/>
              <w:textAlignment w:val="auto"/>
              <w:rPr>
                <w:szCs w:val="21"/>
              </w:rPr>
            </w:pPr>
          </w:p>
        </w:tc>
        <w:tc>
          <w:tcPr>
            <w:tcW w:w="1066" w:type="dxa"/>
            <w:vAlign w:val="center"/>
          </w:tcPr>
          <w:p w14:paraId="4D40FC5C">
            <w:pPr>
              <w:widowControl w:val="0"/>
              <w:spacing w:line="360" w:lineRule="auto"/>
              <w:jc w:val="center"/>
              <w:textAlignment w:val="auto"/>
              <w:rPr>
                <w:szCs w:val="21"/>
              </w:rPr>
            </w:pPr>
          </w:p>
        </w:tc>
        <w:tc>
          <w:tcPr>
            <w:tcW w:w="852" w:type="dxa"/>
            <w:vAlign w:val="center"/>
          </w:tcPr>
          <w:p w14:paraId="18106BCE">
            <w:pPr>
              <w:widowControl w:val="0"/>
              <w:spacing w:line="360" w:lineRule="auto"/>
              <w:jc w:val="center"/>
              <w:textAlignment w:val="auto"/>
              <w:rPr>
                <w:szCs w:val="21"/>
              </w:rPr>
            </w:pPr>
          </w:p>
        </w:tc>
        <w:tc>
          <w:tcPr>
            <w:tcW w:w="1063" w:type="dxa"/>
            <w:vAlign w:val="center"/>
          </w:tcPr>
          <w:p w14:paraId="3D558506">
            <w:pPr>
              <w:widowControl w:val="0"/>
              <w:spacing w:line="360" w:lineRule="auto"/>
              <w:jc w:val="center"/>
              <w:textAlignment w:val="auto"/>
              <w:rPr>
                <w:szCs w:val="21"/>
              </w:rPr>
            </w:pPr>
          </w:p>
        </w:tc>
      </w:tr>
      <w:tr w14:paraId="3E4EC7D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97" w:type="dxa"/>
            <w:vAlign w:val="center"/>
          </w:tcPr>
          <w:p w14:paraId="5150CB38">
            <w:pPr>
              <w:widowControl w:val="0"/>
              <w:spacing w:line="360" w:lineRule="auto"/>
              <w:jc w:val="center"/>
              <w:textAlignment w:val="auto"/>
              <w:rPr>
                <w:szCs w:val="21"/>
              </w:rPr>
            </w:pPr>
          </w:p>
        </w:tc>
        <w:tc>
          <w:tcPr>
            <w:tcW w:w="1913" w:type="dxa"/>
            <w:vAlign w:val="center"/>
          </w:tcPr>
          <w:p w14:paraId="751245E7">
            <w:pPr>
              <w:widowControl w:val="0"/>
              <w:spacing w:line="360" w:lineRule="auto"/>
              <w:jc w:val="center"/>
              <w:textAlignment w:val="auto"/>
              <w:rPr>
                <w:szCs w:val="21"/>
              </w:rPr>
            </w:pPr>
          </w:p>
        </w:tc>
        <w:tc>
          <w:tcPr>
            <w:tcW w:w="1746" w:type="dxa"/>
            <w:vAlign w:val="center"/>
          </w:tcPr>
          <w:p w14:paraId="450D21C4">
            <w:pPr>
              <w:widowControl w:val="0"/>
              <w:spacing w:line="360" w:lineRule="auto"/>
              <w:jc w:val="center"/>
              <w:textAlignment w:val="auto"/>
              <w:rPr>
                <w:szCs w:val="21"/>
              </w:rPr>
            </w:pPr>
          </w:p>
        </w:tc>
        <w:tc>
          <w:tcPr>
            <w:tcW w:w="1176" w:type="dxa"/>
            <w:vAlign w:val="center"/>
          </w:tcPr>
          <w:p w14:paraId="60BF5DD9">
            <w:pPr>
              <w:widowControl w:val="0"/>
              <w:spacing w:line="360" w:lineRule="auto"/>
              <w:jc w:val="center"/>
              <w:textAlignment w:val="auto"/>
              <w:rPr>
                <w:szCs w:val="21"/>
              </w:rPr>
            </w:pPr>
          </w:p>
        </w:tc>
        <w:tc>
          <w:tcPr>
            <w:tcW w:w="1066" w:type="dxa"/>
            <w:vAlign w:val="center"/>
          </w:tcPr>
          <w:p w14:paraId="12D4B6E7">
            <w:pPr>
              <w:widowControl w:val="0"/>
              <w:spacing w:line="360" w:lineRule="auto"/>
              <w:jc w:val="center"/>
              <w:textAlignment w:val="auto"/>
              <w:rPr>
                <w:szCs w:val="21"/>
              </w:rPr>
            </w:pPr>
          </w:p>
        </w:tc>
        <w:tc>
          <w:tcPr>
            <w:tcW w:w="852" w:type="dxa"/>
            <w:vAlign w:val="center"/>
          </w:tcPr>
          <w:p w14:paraId="601F87EF">
            <w:pPr>
              <w:widowControl w:val="0"/>
              <w:spacing w:line="360" w:lineRule="auto"/>
              <w:jc w:val="center"/>
              <w:textAlignment w:val="auto"/>
              <w:rPr>
                <w:szCs w:val="21"/>
              </w:rPr>
            </w:pPr>
          </w:p>
        </w:tc>
        <w:tc>
          <w:tcPr>
            <w:tcW w:w="1063" w:type="dxa"/>
            <w:vAlign w:val="center"/>
          </w:tcPr>
          <w:p w14:paraId="32E3EEFD">
            <w:pPr>
              <w:widowControl w:val="0"/>
              <w:spacing w:line="360" w:lineRule="auto"/>
              <w:jc w:val="center"/>
              <w:textAlignment w:val="auto"/>
              <w:rPr>
                <w:szCs w:val="21"/>
              </w:rPr>
            </w:pPr>
          </w:p>
        </w:tc>
      </w:tr>
      <w:tr w14:paraId="0D550C2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97" w:type="dxa"/>
            <w:vAlign w:val="center"/>
          </w:tcPr>
          <w:p w14:paraId="0347E244">
            <w:pPr>
              <w:widowControl w:val="0"/>
              <w:spacing w:line="360" w:lineRule="auto"/>
              <w:jc w:val="center"/>
              <w:textAlignment w:val="auto"/>
              <w:rPr>
                <w:szCs w:val="21"/>
              </w:rPr>
            </w:pPr>
          </w:p>
        </w:tc>
        <w:tc>
          <w:tcPr>
            <w:tcW w:w="1913" w:type="dxa"/>
            <w:vAlign w:val="center"/>
          </w:tcPr>
          <w:p w14:paraId="6435DE8B">
            <w:pPr>
              <w:widowControl w:val="0"/>
              <w:spacing w:line="360" w:lineRule="auto"/>
              <w:jc w:val="center"/>
              <w:textAlignment w:val="auto"/>
              <w:rPr>
                <w:szCs w:val="21"/>
              </w:rPr>
            </w:pPr>
          </w:p>
        </w:tc>
        <w:tc>
          <w:tcPr>
            <w:tcW w:w="1746" w:type="dxa"/>
            <w:vAlign w:val="center"/>
          </w:tcPr>
          <w:p w14:paraId="695D96F7">
            <w:pPr>
              <w:widowControl w:val="0"/>
              <w:spacing w:line="360" w:lineRule="auto"/>
              <w:jc w:val="center"/>
              <w:textAlignment w:val="auto"/>
              <w:rPr>
                <w:szCs w:val="21"/>
              </w:rPr>
            </w:pPr>
          </w:p>
        </w:tc>
        <w:tc>
          <w:tcPr>
            <w:tcW w:w="1176" w:type="dxa"/>
            <w:vAlign w:val="center"/>
          </w:tcPr>
          <w:p w14:paraId="5E74E1CE">
            <w:pPr>
              <w:widowControl w:val="0"/>
              <w:spacing w:line="360" w:lineRule="auto"/>
              <w:jc w:val="center"/>
              <w:textAlignment w:val="auto"/>
              <w:rPr>
                <w:szCs w:val="21"/>
              </w:rPr>
            </w:pPr>
          </w:p>
        </w:tc>
        <w:tc>
          <w:tcPr>
            <w:tcW w:w="1066" w:type="dxa"/>
            <w:vAlign w:val="center"/>
          </w:tcPr>
          <w:p w14:paraId="188EFAE4">
            <w:pPr>
              <w:widowControl w:val="0"/>
              <w:spacing w:line="360" w:lineRule="auto"/>
              <w:jc w:val="center"/>
              <w:textAlignment w:val="auto"/>
              <w:rPr>
                <w:szCs w:val="21"/>
              </w:rPr>
            </w:pPr>
          </w:p>
        </w:tc>
        <w:tc>
          <w:tcPr>
            <w:tcW w:w="852" w:type="dxa"/>
            <w:vAlign w:val="center"/>
          </w:tcPr>
          <w:p w14:paraId="7360954C">
            <w:pPr>
              <w:widowControl w:val="0"/>
              <w:spacing w:line="360" w:lineRule="auto"/>
              <w:jc w:val="center"/>
              <w:textAlignment w:val="auto"/>
              <w:rPr>
                <w:szCs w:val="21"/>
              </w:rPr>
            </w:pPr>
          </w:p>
        </w:tc>
        <w:tc>
          <w:tcPr>
            <w:tcW w:w="1063" w:type="dxa"/>
            <w:vAlign w:val="center"/>
          </w:tcPr>
          <w:p w14:paraId="2E980DB6">
            <w:pPr>
              <w:widowControl w:val="0"/>
              <w:spacing w:line="360" w:lineRule="auto"/>
              <w:jc w:val="center"/>
              <w:textAlignment w:val="auto"/>
              <w:rPr>
                <w:szCs w:val="21"/>
              </w:rPr>
            </w:pPr>
          </w:p>
        </w:tc>
      </w:tr>
      <w:tr w14:paraId="4BCC9F1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550" w:type="dxa"/>
            <w:gridSpan w:val="6"/>
            <w:tcBorders>
              <w:bottom w:val="single" w:color="auto" w:sz="8" w:space="0"/>
            </w:tcBorders>
            <w:vAlign w:val="center"/>
          </w:tcPr>
          <w:p w14:paraId="4AD10685">
            <w:pPr>
              <w:widowControl w:val="0"/>
              <w:jc w:val="center"/>
              <w:textAlignment w:val="auto"/>
              <w:rPr>
                <w:sz w:val="18"/>
                <w:szCs w:val="18"/>
              </w:rPr>
            </w:pPr>
            <w:r>
              <w:rPr>
                <w:rFonts w:hint="eastAsia"/>
                <w:szCs w:val="21"/>
              </w:rPr>
              <w:t>合</w:t>
            </w:r>
            <w:r>
              <w:rPr>
                <w:szCs w:val="21"/>
              </w:rPr>
              <w:t xml:space="preserve">  </w:t>
            </w:r>
            <w:r>
              <w:rPr>
                <w:rFonts w:hint="eastAsia"/>
                <w:szCs w:val="21"/>
              </w:rPr>
              <w:t>计</w:t>
            </w:r>
          </w:p>
        </w:tc>
        <w:tc>
          <w:tcPr>
            <w:tcW w:w="1063" w:type="dxa"/>
            <w:tcBorders>
              <w:bottom w:val="single" w:color="auto" w:sz="8" w:space="0"/>
            </w:tcBorders>
            <w:vAlign w:val="center"/>
          </w:tcPr>
          <w:p w14:paraId="069BB18A">
            <w:pPr>
              <w:widowControl w:val="0"/>
              <w:spacing w:line="360" w:lineRule="auto"/>
              <w:jc w:val="center"/>
              <w:textAlignment w:val="auto"/>
              <w:rPr>
                <w:rFonts w:eastAsia="黑体"/>
                <w:szCs w:val="21"/>
              </w:rPr>
            </w:pPr>
          </w:p>
        </w:tc>
      </w:tr>
    </w:tbl>
    <w:p w14:paraId="04F67878">
      <w:pPr>
        <w:widowControl w:val="0"/>
        <w:spacing w:line="240" w:lineRule="atLeast"/>
        <w:textAlignment w:val="auto"/>
        <w:rPr>
          <w:sz w:val="18"/>
          <w:szCs w:val="18"/>
        </w:rPr>
      </w:pPr>
      <w:r>
        <w:rPr>
          <w:rFonts w:hint="eastAsia"/>
          <w:sz w:val="18"/>
          <w:szCs w:val="18"/>
        </w:rPr>
        <w:t>注：此表项目名称、服务内容由招标人填写，编制招标控制价时，费率及金额由招标人按有关计价规定确定；投标时，费率及金额由投标人自主报价，计入投标总价中。</w:t>
      </w:r>
    </w:p>
    <w:p w14:paraId="1A619E5F">
      <w:pPr>
        <w:widowControl w:val="0"/>
        <w:tabs>
          <w:tab w:val="left" w:pos="6135"/>
        </w:tabs>
        <w:textAlignment w:val="auto"/>
        <w:rPr>
          <w:rFonts w:eastAsia="黑体"/>
        </w:rPr>
      </w:pPr>
    </w:p>
    <w:p w14:paraId="5167E2EB">
      <w:pPr>
        <w:widowControl w:val="0"/>
        <w:tabs>
          <w:tab w:val="left" w:pos="6135"/>
        </w:tabs>
        <w:jc w:val="right"/>
        <w:textAlignment w:val="auto"/>
        <w:rPr>
          <w:kern w:val="0"/>
          <w:sz w:val="18"/>
          <w:szCs w:val="18"/>
        </w:rPr>
      </w:pPr>
      <w:r>
        <w:rPr>
          <w:rFonts w:hint="eastAsia" w:eastAsia="黑体"/>
        </w:rPr>
        <w:t>表</w:t>
      </w:r>
      <w:r>
        <w:rPr>
          <w:rFonts w:eastAsia="黑体"/>
        </w:rPr>
        <w:t>-12-5</w:t>
      </w:r>
    </w:p>
    <w:p w14:paraId="00CA680E">
      <w:pPr>
        <w:widowControl w:val="0"/>
        <w:tabs>
          <w:tab w:val="left" w:pos="6135"/>
        </w:tabs>
        <w:jc w:val="center"/>
        <w:textAlignment w:val="auto"/>
        <w:rPr>
          <w:rFonts w:eastAsia="黑体"/>
          <w:sz w:val="32"/>
          <w:szCs w:val="32"/>
        </w:rPr>
      </w:pPr>
      <w:r>
        <w:rPr>
          <w:rFonts w:eastAsia="黑体"/>
          <w:sz w:val="32"/>
          <w:szCs w:val="32"/>
        </w:rPr>
        <w:t>H</w:t>
      </w:r>
      <w:r>
        <w:rPr>
          <w:rFonts w:hint="eastAsia" w:eastAsia="黑体"/>
          <w:sz w:val="32"/>
          <w:szCs w:val="32"/>
        </w:rPr>
        <w:t>税金项目计价表</w:t>
      </w:r>
    </w:p>
    <w:p w14:paraId="38EE9A20">
      <w:pPr>
        <w:widowControl w:val="0"/>
        <w:tabs>
          <w:tab w:val="left" w:pos="12120"/>
        </w:tabs>
        <w:spacing w:line="360" w:lineRule="auto"/>
        <w:ind w:left="105" w:hanging="105" w:hangingChars="50"/>
        <w:textAlignment w:val="auto"/>
        <w:rPr>
          <w:szCs w:val="21"/>
        </w:rPr>
      </w:pPr>
      <w:r>
        <w:rPr>
          <w:rFonts w:hint="eastAsia"/>
          <w:szCs w:val="21"/>
        </w:rPr>
        <w:t>工程名称：</w:t>
      </w:r>
      <w:r>
        <w:rPr>
          <w:szCs w:val="21"/>
        </w:rPr>
        <w:t xml:space="preserve">                             </w:t>
      </w:r>
      <w:r>
        <w:rPr>
          <w:rFonts w:hint="eastAsia"/>
          <w:szCs w:val="21"/>
        </w:rPr>
        <w:t>标段</w:t>
      </w:r>
      <w:r>
        <w:rPr>
          <w:szCs w:val="21"/>
        </w:rPr>
        <w:t xml:space="preserve"> </w:t>
      </w:r>
      <w:r>
        <w:rPr>
          <w:rFonts w:hint="eastAsia"/>
          <w:szCs w:val="21"/>
        </w:rPr>
        <w:t>：</w:t>
      </w:r>
      <w:r>
        <w:rPr>
          <w:szCs w:val="21"/>
        </w:rPr>
        <w:t xml:space="preserve">                    </w:t>
      </w:r>
      <w:r>
        <w:rPr>
          <w:rFonts w:hint="eastAsia"/>
          <w:szCs w:val="21"/>
        </w:rPr>
        <w:t>第</w:t>
      </w:r>
      <w:r>
        <w:rPr>
          <w:szCs w:val="21"/>
        </w:rPr>
        <w:t xml:space="preserve">  </w:t>
      </w:r>
      <w:r>
        <w:rPr>
          <w:rFonts w:hint="eastAsia"/>
          <w:szCs w:val="21"/>
        </w:rPr>
        <w:t>页</w:t>
      </w:r>
      <w:r>
        <w:rPr>
          <w:szCs w:val="21"/>
        </w:rPr>
        <w:t xml:space="preserve"> </w:t>
      </w:r>
      <w:r>
        <w:rPr>
          <w:rFonts w:hint="eastAsia"/>
          <w:szCs w:val="21"/>
        </w:rPr>
        <w:t>共</w:t>
      </w:r>
      <w:r>
        <w:rPr>
          <w:szCs w:val="21"/>
        </w:rPr>
        <w:t xml:space="preserve">  </w:t>
      </w:r>
      <w:r>
        <w:rPr>
          <w:rFonts w:hint="eastAsia"/>
          <w:szCs w:val="21"/>
        </w:rPr>
        <w:t>页</w:t>
      </w:r>
    </w:p>
    <w:tbl>
      <w:tblPr>
        <w:tblStyle w:val="45"/>
        <w:tblW w:w="8946"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41"/>
        <w:gridCol w:w="2352"/>
        <w:gridCol w:w="2379"/>
        <w:gridCol w:w="1106"/>
        <w:gridCol w:w="1108"/>
        <w:gridCol w:w="1260"/>
      </w:tblGrid>
      <w:tr w14:paraId="551F969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741" w:type="dxa"/>
            <w:tcBorders>
              <w:top w:val="single" w:color="auto" w:sz="8" w:space="0"/>
            </w:tcBorders>
            <w:vAlign w:val="center"/>
          </w:tcPr>
          <w:p w14:paraId="420842CB">
            <w:pPr>
              <w:widowControl w:val="0"/>
              <w:jc w:val="center"/>
              <w:textAlignment w:val="auto"/>
              <w:rPr>
                <w:szCs w:val="21"/>
              </w:rPr>
            </w:pPr>
            <w:r>
              <w:rPr>
                <w:rFonts w:hint="eastAsia"/>
                <w:szCs w:val="21"/>
              </w:rPr>
              <w:t>序号</w:t>
            </w:r>
          </w:p>
        </w:tc>
        <w:tc>
          <w:tcPr>
            <w:tcW w:w="2352" w:type="dxa"/>
            <w:tcBorders>
              <w:top w:val="single" w:color="auto" w:sz="8" w:space="0"/>
            </w:tcBorders>
            <w:vAlign w:val="center"/>
          </w:tcPr>
          <w:p w14:paraId="3A827A33">
            <w:pPr>
              <w:widowControl w:val="0"/>
              <w:jc w:val="center"/>
              <w:textAlignment w:val="auto"/>
              <w:rPr>
                <w:szCs w:val="21"/>
              </w:rPr>
            </w:pPr>
            <w:r>
              <w:rPr>
                <w:rFonts w:hint="eastAsia"/>
                <w:szCs w:val="21"/>
              </w:rPr>
              <w:t>项目名称</w:t>
            </w:r>
          </w:p>
        </w:tc>
        <w:tc>
          <w:tcPr>
            <w:tcW w:w="2379" w:type="dxa"/>
            <w:tcBorders>
              <w:top w:val="single" w:color="auto" w:sz="8" w:space="0"/>
            </w:tcBorders>
            <w:vAlign w:val="center"/>
          </w:tcPr>
          <w:p w14:paraId="0891F9B8">
            <w:pPr>
              <w:widowControl w:val="0"/>
              <w:jc w:val="center"/>
              <w:textAlignment w:val="auto"/>
              <w:rPr>
                <w:szCs w:val="21"/>
              </w:rPr>
            </w:pPr>
            <w:r>
              <w:rPr>
                <w:rFonts w:hint="eastAsia"/>
                <w:szCs w:val="21"/>
              </w:rPr>
              <w:t>计算基础</w:t>
            </w:r>
          </w:p>
        </w:tc>
        <w:tc>
          <w:tcPr>
            <w:tcW w:w="1106" w:type="dxa"/>
            <w:tcBorders>
              <w:top w:val="single" w:color="auto" w:sz="8" w:space="0"/>
            </w:tcBorders>
            <w:vAlign w:val="center"/>
          </w:tcPr>
          <w:p w14:paraId="17A5F35A">
            <w:pPr>
              <w:widowControl w:val="0"/>
              <w:jc w:val="center"/>
              <w:textAlignment w:val="auto"/>
              <w:rPr>
                <w:szCs w:val="21"/>
              </w:rPr>
            </w:pPr>
            <w:r>
              <w:rPr>
                <w:rFonts w:hint="eastAsia"/>
                <w:szCs w:val="21"/>
              </w:rPr>
              <w:t>计算基数</w:t>
            </w:r>
          </w:p>
        </w:tc>
        <w:tc>
          <w:tcPr>
            <w:tcW w:w="1108" w:type="dxa"/>
            <w:tcBorders>
              <w:top w:val="single" w:color="auto" w:sz="8" w:space="0"/>
            </w:tcBorders>
            <w:vAlign w:val="center"/>
          </w:tcPr>
          <w:p w14:paraId="625D123A">
            <w:pPr>
              <w:widowControl w:val="0"/>
              <w:jc w:val="center"/>
              <w:textAlignment w:val="auto"/>
              <w:rPr>
                <w:szCs w:val="21"/>
              </w:rPr>
            </w:pPr>
            <w:r>
              <w:rPr>
                <w:rFonts w:hint="eastAsia"/>
                <w:szCs w:val="21"/>
              </w:rPr>
              <w:t>计算费率（</w:t>
            </w:r>
            <w:r>
              <w:rPr>
                <w:szCs w:val="21"/>
              </w:rPr>
              <w:t>%</w:t>
            </w:r>
            <w:r>
              <w:rPr>
                <w:rFonts w:hint="eastAsia"/>
                <w:szCs w:val="21"/>
              </w:rPr>
              <w:t>）</w:t>
            </w:r>
          </w:p>
        </w:tc>
        <w:tc>
          <w:tcPr>
            <w:tcW w:w="1260" w:type="dxa"/>
            <w:tcBorders>
              <w:top w:val="single" w:color="auto" w:sz="8" w:space="0"/>
            </w:tcBorders>
            <w:vAlign w:val="center"/>
          </w:tcPr>
          <w:p w14:paraId="4AC714B3">
            <w:pPr>
              <w:widowControl w:val="0"/>
              <w:jc w:val="center"/>
              <w:textAlignment w:val="auto"/>
              <w:rPr>
                <w:szCs w:val="21"/>
              </w:rPr>
            </w:pPr>
            <w:r>
              <w:rPr>
                <w:rFonts w:hint="eastAsia"/>
                <w:szCs w:val="21"/>
              </w:rPr>
              <w:t>金额（元）</w:t>
            </w:r>
          </w:p>
        </w:tc>
      </w:tr>
      <w:tr w14:paraId="2A1D695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741" w:type="dxa"/>
            <w:vAlign w:val="center"/>
          </w:tcPr>
          <w:p w14:paraId="4B747024">
            <w:pPr>
              <w:widowControl w:val="0"/>
              <w:jc w:val="center"/>
              <w:textAlignment w:val="auto"/>
              <w:rPr>
                <w:szCs w:val="21"/>
              </w:rPr>
            </w:pPr>
            <w:r>
              <w:rPr>
                <w:szCs w:val="21"/>
              </w:rPr>
              <w:t>1</w:t>
            </w:r>
          </w:p>
        </w:tc>
        <w:tc>
          <w:tcPr>
            <w:tcW w:w="2352" w:type="dxa"/>
            <w:vAlign w:val="center"/>
          </w:tcPr>
          <w:p w14:paraId="3D56F8AE">
            <w:pPr>
              <w:widowControl w:val="0"/>
              <w:jc w:val="left"/>
              <w:textAlignment w:val="auto"/>
              <w:rPr>
                <w:szCs w:val="21"/>
              </w:rPr>
            </w:pPr>
            <w:r>
              <w:rPr>
                <w:rFonts w:hint="eastAsia"/>
                <w:szCs w:val="21"/>
              </w:rPr>
              <w:t>税金（扣除不列入计税范围的工程设备费）</w:t>
            </w:r>
          </w:p>
        </w:tc>
        <w:tc>
          <w:tcPr>
            <w:tcW w:w="2379" w:type="dxa"/>
            <w:vAlign w:val="center"/>
          </w:tcPr>
          <w:p w14:paraId="4C977E90">
            <w:pPr>
              <w:widowControl w:val="0"/>
              <w:jc w:val="center"/>
              <w:textAlignment w:val="auto"/>
              <w:rPr>
                <w:szCs w:val="21"/>
              </w:rPr>
            </w:pPr>
            <w:r>
              <w:rPr>
                <w:rFonts w:hint="eastAsia"/>
                <w:szCs w:val="21"/>
              </w:rPr>
              <w:t>分部分项工程费</w:t>
            </w:r>
            <w:r>
              <w:rPr>
                <w:szCs w:val="21"/>
              </w:rPr>
              <w:t>+</w:t>
            </w:r>
            <w:r>
              <w:rPr>
                <w:rFonts w:hint="eastAsia"/>
                <w:szCs w:val="21"/>
              </w:rPr>
              <w:t>施工技术措施项目费</w:t>
            </w:r>
            <w:r>
              <w:rPr>
                <w:szCs w:val="21"/>
              </w:rPr>
              <w:t>+</w:t>
            </w:r>
            <w:r>
              <w:rPr>
                <w:rFonts w:hint="eastAsia"/>
                <w:szCs w:val="21"/>
              </w:rPr>
              <w:t>施工组织措施项目费</w:t>
            </w:r>
            <w:r>
              <w:rPr>
                <w:szCs w:val="21"/>
              </w:rPr>
              <w:t>+</w:t>
            </w:r>
            <w:r>
              <w:rPr>
                <w:rFonts w:hint="eastAsia"/>
                <w:szCs w:val="21"/>
              </w:rPr>
              <w:t>其他项目费</w:t>
            </w:r>
            <w:r>
              <w:rPr>
                <w:szCs w:val="21"/>
              </w:rPr>
              <w:t>-</w:t>
            </w:r>
            <w:r>
              <w:rPr>
                <w:rFonts w:hint="eastAsia"/>
                <w:szCs w:val="21"/>
              </w:rPr>
              <w:t>不取费项市场价直接费</w:t>
            </w:r>
            <w:r>
              <w:rPr>
                <w:szCs w:val="21"/>
              </w:rPr>
              <w:t>-</w:t>
            </w:r>
            <w:r>
              <w:rPr>
                <w:rFonts w:hint="eastAsia"/>
                <w:szCs w:val="21"/>
              </w:rPr>
              <w:t>不取费项市场价主材费</w:t>
            </w:r>
            <w:r>
              <w:rPr>
                <w:szCs w:val="21"/>
              </w:rPr>
              <w:t>-</w:t>
            </w:r>
            <w:r>
              <w:rPr>
                <w:rFonts w:hint="eastAsia"/>
                <w:szCs w:val="21"/>
              </w:rPr>
              <w:t>不取费项市场价设备费</w:t>
            </w:r>
          </w:p>
        </w:tc>
        <w:tc>
          <w:tcPr>
            <w:tcW w:w="1106" w:type="dxa"/>
          </w:tcPr>
          <w:p w14:paraId="4B745474">
            <w:pPr>
              <w:widowControl w:val="0"/>
              <w:jc w:val="center"/>
              <w:textAlignment w:val="auto"/>
              <w:rPr>
                <w:szCs w:val="21"/>
              </w:rPr>
            </w:pPr>
          </w:p>
        </w:tc>
        <w:tc>
          <w:tcPr>
            <w:tcW w:w="1108" w:type="dxa"/>
            <w:vAlign w:val="center"/>
          </w:tcPr>
          <w:p w14:paraId="0F2E5A9C">
            <w:pPr>
              <w:widowControl w:val="0"/>
              <w:jc w:val="center"/>
              <w:textAlignment w:val="auto"/>
              <w:rPr>
                <w:szCs w:val="21"/>
              </w:rPr>
            </w:pPr>
          </w:p>
        </w:tc>
        <w:tc>
          <w:tcPr>
            <w:tcW w:w="1260" w:type="dxa"/>
            <w:vAlign w:val="center"/>
          </w:tcPr>
          <w:p w14:paraId="46F68D69">
            <w:pPr>
              <w:widowControl w:val="0"/>
              <w:jc w:val="center"/>
              <w:textAlignment w:val="auto"/>
              <w:rPr>
                <w:szCs w:val="21"/>
              </w:rPr>
            </w:pPr>
          </w:p>
        </w:tc>
      </w:tr>
      <w:tr w14:paraId="31106E3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741" w:type="dxa"/>
            <w:vAlign w:val="center"/>
          </w:tcPr>
          <w:p w14:paraId="0CB6DA18">
            <w:pPr>
              <w:widowControl w:val="0"/>
              <w:jc w:val="center"/>
              <w:textAlignment w:val="auto"/>
              <w:rPr>
                <w:szCs w:val="21"/>
              </w:rPr>
            </w:pPr>
          </w:p>
        </w:tc>
        <w:tc>
          <w:tcPr>
            <w:tcW w:w="2352" w:type="dxa"/>
            <w:vAlign w:val="center"/>
          </w:tcPr>
          <w:p w14:paraId="4B26C052">
            <w:pPr>
              <w:widowControl w:val="0"/>
              <w:textAlignment w:val="auto"/>
              <w:rPr>
                <w:szCs w:val="21"/>
              </w:rPr>
            </w:pPr>
          </w:p>
        </w:tc>
        <w:tc>
          <w:tcPr>
            <w:tcW w:w="2379" w:type="dxa"/>
            <w:vAlign w:val="center"/>
          </w:tcPr>
          <w:p w14:paraId="43EFC306">
            <w:pPr>
              <w:widowControl w:val="0"/>
              <w:textAlignment w:val="auto"/>
              <w:rPr>
                <w:szCs w:val="21"/>
              </w:rPr>
            </w:pPr>
          </w:p>
        </w:tc>
        <w:tc>
          <w:tcPr>
            <w:tcW w:w="1106" w:type="dxa"/>
          </w:tcPr>
          <w:p w14:paraId="02EA37AA">
            <w:pPr>
              <w:widowControl w:val="0"/>
              <w:jc w:val="center"/>
              <w:textAlignment w:val="auto"/>
              <w:rPr>
                <w:szCs w:val="21"/>
              </w:rPr>
            </w:pPr>
          </w:p>
        </w:tc>
        <w:tc>
          <w:tcPr>
            <w:tcW w:w="1108" w:type="dxa"/>
            <w:vAlign w:val="center"/>
          </w:tcPr>
          <w:p w14:paraId="6571697A">
            <w:pPr>
              <w:widowControl w:val="0"/>
              <w:jc w:val="center"/>
              <w:textAlignment w:val="auto"/>
              <w:rPr>
                <w:szCs w:val="21"/>
              </w:rPr>
            </w:pPr>
          </w:p>
        </w:tc>
        <w:tc>
          <w:tcPr>
            <w:tcW w:w="1260" w:type="dxa"/>
            <w:vAlign w:val="center"/>
          </w:tcPr>
          <w:p w14:paraId="06111E76">
            <w:pPr>
              <w:widowControl w:val="0"/>
              <w:jc w:val="center"/>
              <w:textAlignment w:val="auto"/>
              <w:rPr>
                <w:szCs w:val="21"/>
              </w:rPr>
            </w:pPr>
          </w:p>
        </w:tc>
      </w:tr>
      <w:tr w14:paraId="4F2B37F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741" w:type="dxa"/>
            <w:vAlign w:val="center"/>
          </w:tcPr>
          <w:p w14:paraId="76B37706">
            <w:pPr>
              <w:widowControl w:val="0"/>
              <w:jc w:val="center"/>
              <w:textAlignment w:val="auto"/>
              <w:rPr>
                <w:szCs w:val="21"/>
              </w:rPr>
            </w:pPr>
          </w:p>
        </w:tc>
        <w:tc>
          <w:tcPr>
            <w:tcW w:w="2352" w:type="dxa"/>
            <w:vAlign w:val="center"/>
          </w:tcPr>
          <w:p w14:paraId="52658032">
            <w:pPr>
              <w:widowControl w:val="0"/>
              <w:textAlignment w:val="auto"/>
              <w:rPr>
                <w:szCs w:val="21"/>
              </w:rPr>
            </w:pPr>
          </w:p>
        </w:tc>
        <w:tc>
          <w:tcPr>
            <w:tcW w:w="2379" w:type="dxa"/>
            <w:vAlign w:val="center"/>
          </w:tcPr>
          <w:p w14:paraId="388470F0">
            <w:pPr>
              <w:widowControl w:val="0"/>
              <w:textAlignment w:val="auto"/>
              <w:rPr>
                <w:szCs w:val="21"/>
              </w:rPr>
            </w:pPr>
          </w:p>
        </w:tc>
        <w:tc>
          <w:tcPr>
            <w:tcW w:w="1106" w:type="dxa"/>
          </w:tcPr>
          <w:p w14:paraId="2C1075B4">
            <w:pPr>
              <w:widowControl w:val="0"/>
              <w:jc w:val="center"/>
              <w:textAlignment w:val="auto"/>
              <w:rPr>
                <w:szCs w:val="21"/>
              </w:rPr>
            </w:pPr>
          </w:p>
        </w:tc>
        <w:tc>
          <w:tcPr>
            <w:tcW w:w="1108" w:type="dxa"/>
            <w:vAlign w:val="center"/>
          </w:tcPr>
          <w:p w14:paraId="5D31F024">
            <w:pPr>
              <w:widowControl w:val="0"/>
              <w:jc w:val="center"/>
              <w:textAlignment w:val="auto"/>
              <w:rPr>
                <w:szCs w:val="21"/>
              </w:rPr>
            </w:pPr>
          </w:p>
        </w:tc>
        <w:tc>
          <w:tcPr>
            <w:tcW w:w="1260" w:type="dxa"/>
            <w:vAlign w:val="center"/>
          </w:tcPr>
          <w:p w14:paraId="4B1CF291">
            <w:pPr>
              <w:widowControl w:val="0"/>
              <w:jc w:val="center"/>
              <w:textAlignment w:val="auto"/>
              <w:rPr>
                <w:szCs w:val="21"/>
              </w:rPr>
            </w:pPr>
          </w:p>
        </w:tc>
      </w:tr>
      <w:tr w14:paraId="7DA96DC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741" w:type="dxa"/>
            <w:vAlign w:val="center"/>
          </w:tcPr>
          <w:p w14:paraId="090AFB66">
            <w:pPr>
              <w:widowControl w:val="0"/>
              <w:jc w:val="center"/>
              <w:textAlignment w:val="auto"/>
              <w:rPr>
                <w:szCs w:val="21"/>
              </w:rPr>
            </w:pPr>
          </w:p>
        </w:tc>
        <w:tc>
          <w:tcPr>
            <w:tcW w:w="2352" w:type="dxa"/>
            <w:vAlign w:val="center"/>
          </w:tcPr>
          <w:p w14:paraId="13E047D7">
            <w:pPr>
              <w:widowControl w:val="0"/>
              <w:textAlignment w:val="auto"/>
              <w:rPr>
                <w:szCs w:val="21"/>
              </w:rPr>
            </w:pPr>
          </w:p>
        </w:tc>
        <w:tc>
          <w:tcPr>
            <w:tcW w:w="2379" w:type="dxa"/>
            <w:vAlign w:val="center"/>
          </w:tcPr>
          <w:p w14:paraId="63662B66">
            <w:pPr>
              <w:widowControl w:val="0"/>
              <w:textAlignment w:val="auto"/>
              <w:rPr>
                <w:szCs w:val="21"/>
              </w:rPr>
            </w:pPr>
          </w:p>
        </w:tc>
        <w:tc>
          <w:tcPr>
            <w:tcW w:w="1106" w:type="dxa"/>
          </w:tcPr>
          <w:p w14:paraId="5C1B9996">
            <w:pPr>
              <w:widowControl w:val="0"/>
              <w:jc w:val="center"/>
              <w:textAlignment w:val="auto"/>
              <w:rPr>
                <w:szCs w:val="21"/>
              </w:rPr>
            </w:pPr>
          </w:p>
        </w:tc>
        <w:tc>
          <w:tcPr>
            <w:tcW w:w="1108" w:type="dxa"/>
            <w:vAlign w:val="center"/>
          </w:tcPr>
          <w:p w14:paraId="12FAEDE4">
            <w:pPr>
              <w:widowControl w:val="0"/>
              <w:jc w:val="center"/>
              <w:textAlignment w:val="auto"/>
              <w:rPr>
                <w:szCs w:val="21"/>
              </w:rPr>
            </w:pPr>
          </w:p>
        </w:tc>
        <w:tc>
          <w:tcPr>
            <w:tcW w:w="1260" w:type="dxa"/>
            <w:vAlign w:val="center"/>
          </w:tcPr>
          <w:p w14:paraId="1139AE43">
            <w:pPr>
              <w:widowControl w:val="0"/>
              <w:jc w:val="center"/>
              <w:textAlignment w:val="auto"/>
              <w:rPr>
                <w:szCs w:val="21"/>
              </w:rPr>
            </w:pPr>
          </w:p>
        </w:tc>
      </w:tr>
      <w:tr w14:paraId="6211B46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741" w:type="dxa"/>
            <w:vAlign w:val="center"/>
          </w:tcPr>
          <w:p w14:paraId="0B71F581">
            <w:pPr>
              <w:widowControl w:val="0"/>
              <w:jc w:val="center"/>
              <w:textAlignment w:val="auto"/>
              <w:rPr>
                <w:szCs w:val="21"/>
              </w:rPr>
            </w:pPr>
          </w:p>
        </w:tc>
        <w:tc>
          <w:tcPr>
            <w:tcW w:w="2352" w:type="dxa"/>
            <w:vAlign w:val="center"/>
          </w:tcPr>
          <w:p w14:paraId="6B9D9A26">
            <w:pPr>
              <w:widowControl w:val="0"/>
              <w:textAlignment w:val="auto"/>
              <w:rPr>
                <w:szCs w:val="21"/>
              </w:rPr>
            </w:pPr>
          </w:p>
        </w:tc>
        <w:tc>
          <w:tcPr>
            <w:tcW w:w="2379" w:type="dxa"/>
            <w:vAlign w:val="center"/>
          </w:tcPr>
          <w:p w14:paraId="0CE8BCB1">
            <w:pPr>
              <w:widowControl w:val="0"/>
              <w:textAlignment w:val="auto"/>
              <w:rPr>
                <w:szCs w:val="21"/>
              </w:rPr>
            </w:pPr>
          </w:p>
        </w:tc>
        <w:tc>
          <w:tcPr>
            <w:tcW w:w="1106" w:type="dxa"/>
          </w:tcPr>
          <w:p w14:paraId="51555C04">
            <w:pPr>
              <w:widowControl w:val="0"/>
              <w:jc w:val="center"/>
              <w:textAlignment w:val="auto"/>
              <w:rPr>
                <w:szCs w:val="21"/>
              </w:rPr>
            </w:pPr>
          </w:p>
        </w:tc>
        <w:tc>
          <w:tcPr>
            <w:tcW w:w="1108" w:type="dxa"/>
            <w:vAlign w:val="center"/>
          </w:tcPr>
          <w:p w14:paraId="22BE2397">
            <w:pPr>
              <w:widowControl w:val="0"/>
              <w:jc w:val="center"/>
              <w:textAlignment w:val="auto"/>
              <w:rPr>
                <w:szCs w:val="21"/>
              </w:rPr>
            </w:pPr>
          </w:p>
        </w:tc>
        <w:tc>
          <w:tcPr>
            <w:tcW w:w="1260" w:type="dxa"/>
            <w:vAlign w:val="center"/>
          </w:tcPr>
          <w:p w14:paraId="664BD535">
            <w:pPr>
              <w:widowControl w:val="0"/>
              <w:jc w:val="center"/>
              <w:textAlignment w:val="auto"/>
              <w:rPr>
                <w:szCs w:val="21"/>
              </w:rPr>
            </w:pPr>
          </w:p>
        </w:tc>
      </w:tr>
      <w:tr w14:paraId="73800E0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741" w:type="dxa"/>
            <w:vAlign w:val="center"/>
          </w:tcPr>
          <w:p w14:paraId="6B3DC117">
            <w:pPr>
              <w:widowControl w:val="0"/>
              <w:jc w:val="center"/>
              <w:textAlignment w:val="auto"/>
              <w:rPr>
                <w:szCs w:val="21"/>
              </w:rPr>
            </w:pPr>
          </w:p>
        </w:tc>
        <w:tc>
          <w:tcPr>
            <w:tcW w:w="2352" w:type="dxa"/>
            <w:vAlign w:val="center"/>
          </w:tcPr>
          <w:p w14:paraId="6EAD7A2B">
            <w:pPr>
              <w:widowControl w:val="0"/>
              <w:textAlignment w:val="auto"/>
              <w:rPr>
                <w:szCs w:val="21"/>
              </w:rPr>
            </w:pPr>
          </w:p>
        </w:tc>
        <w:tc>
          <w:tcPr>
            <w:tcW w:w="2379" w:type="dxa"/>
            <w:vAlign w:val="center"/>
          </w:tcPr>
          <w:p w14:paraId="14029E1C">
            <w:pPr>
              <w:widowControl w:val="0"/>
              <w:textAlignment w:val="auto"/>
              <w:rPr>
                <w:szCs w:val="21"/>
              </w:rPr>
            </w:pPr>
          </w:p>
        </w:tc>
        <w:tc>
          <w:tcPr>
            <w:tcW w:w="1106" w:type="dxa"/>
          </w:tcPr>
          <w:p w14:paraId="4458C2C4">
            <w:pPr>
              <w:widowControl w:val="0"/>
              <w:jc w:val="center"/>
              <w:textAlignment w:val="auto"/>
              <w:rPr>
                <w:szCs w:val="21"/>
              </w:rPr>
            </w:pPr>
          </w:p>
        </w:tc>
        <w:tc>
          <w:tcPr>
            <w:tcW w:w="1108" w:type="dxa"/>
            <w:vAlign w:val="center"/>
          </w:tcPr>
          <w:p w14:paraId="2AFD1384">
            <w:pPr>
              <w:widowControl w:val="0"/>
              <w:jc w:val="center"/>
              <w:textAlignment w:val="auto"/>
              <w:rPr>
                <w:szCs w:val="21"/>
              </w:rPr>
            </w:pPr>
          </w:p>
        </w:tc>
        <w:tc>
          <w:tcPr>
            <w:tcW w:w="1260" w:type="dxa"/>
            <w:vAlign w:val="center"/>
          </w:tcPr>
          <w:p w14:paraId="2DB3E232">
            <w:pPr>
              <w:widowControl w:val="0"/>
              <w:jc w:val="center"/>
              <w:textAlignment w:val="auto"/>
              <w:rPr>
                <w:szCs w:val="21"/>
              </w:rPr>
            </w:pPr>
          </w:p>
        </w:tc>
      </w:tr>
      <w:tr w14:paraId="403CCB9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741" w:type="dxa"/>
            <w:vAlign w:val="center"/>
          </w:tcPr>
          <w:p w14:paraId="2628B1BF">
            <w:pPr>
              <w:widowControl w:val="0"/>
              <w:jc w:val="center"/>
              <w:textAlignment w:val="auto"/>
              <w:rPr>
                <w:szCs w:val="21"/>
              </w:rPr>
            </w:pPr>
          </w:p>
        </w:tc>
        <w:tc>
          <w:tcPr>
            <w:tcW w:w="2352" w:type="dxa"/>
            <w:vAlign w:val="center"/>
          </w:tcPr>
          <w:p w14:paraId="7B4FD3B8">
            <w:pPr>
              <w:widowControl w:val="0"/>
              <w:textAlignment w:val="auto"/>
              <w:rPr>
                <w:szCs w:val="21"/>
              </w:rPr>
            </w:pPr>
          </w:p>
        </w:tc>
        <w:tc>
          <w:tcPr>
            <w:tcW w:w="2379" w:type="dxa"/>
            <w:vAlign w:val="center"/>
          </w:tcPr>
          <w:p w14:paraId="1A1E74FE">
            <w:pPr>
              <w:widowControl w:val="0"/>
              <w:textAlignment w:val="auto"/>
              <w:rPr>
                <w:szCs w:val="21"/>
              </w:rPr>
            </w:pPr>
          </w:p>
        </w:tc>
        <w:tc>
          <w:tcPr>
            <w:tcW w:w="1106" w:type="dxa"/>
          </w:tcPr>
          <w:p w14:paraId="60CB36A2">
            <w:pPr>
              <w:widowControl w:val="0"/>
              <w:jc w:val="center"/>
              <w:textAlignment w:val="auto"/>
              <w:rPr>
                <w:szCs w:val="21"/>
              </w:rPr>
            </w:pPr>
          </w:p>
        </w:tc>
        <w:tc>
          <w:tcPr>
            <w:tcW w:w="1108" w:type="dxa"/>
            <w:vAlign w:val="center"/>
          </w:tcPr>
          <w:p w14:paraId="0D1F1698">
            <w:pPr>
              <w:widowControl w:val="0"/>
              <w:jc w:val="center"/>
              <w:textAlignment w:val="auto"/>
              <w:rPr>
                <w:szCs w:val="21"/>
              </w:rPr>
            </w:pPr>
          </w:p>
        </w:tc>
        <w:tc>
          <w:tcPr>
            <w:tcW w:w="1260" w:type="dxa"/>
            <w:vAlign w:val="center"/>
          </w:tcPr>
          <w:p w14:paraId="6F4E4CD8">
            <w:pPr>
              <w:widowControl w:val="0"/>
              <w:jc w:val="center"/>
              <w:textAlignment w:val="auto"/>
              <w:rPr>
                <w:szCs w:val="21"/>
              </w:rPr>
            </w:pPr>
          </w:p>
        </w:tc>
      </w:tr>
      <w:tr w14:paraId="7A74BB4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741" w:type="dxa"/>
            <w:vAlign w:val="center"/>
          </w:tcPr>
          <w:p w14:paraId="4E67BBBA">
            <w:pPr>
              <w:widowControl w:val="0"/>
              <w:jc w:val="center"/>
              <w:textAlignment w:val="auto"/>
              <w:rPr>
                <w:szCs w:val="21"/>
              </w:rPr>
            </w:pPr>
          </w:p>
        </w:tc>
        <w:tc>
          <w:tcPr>
            <w:tcW w:w="2352" w:type="dxa"/>
            <w:vAlign w:val="center"/>
          </w:tcPr>
          <w:p w14:paraId="44BBE779">
            <w:pPr>
              <w:widowControl w:val="0"/>
              <w:textAlignment w:val="auto"/>
              <w:rPr>
                <w:szCs w:val="21"/>
              </w:rPr>
            </w:pPr>
          </w:p>
        </w:tc>
        <w:tc>
          <w:tcPr>
            <w:tcW w:w="2379" w:type="dxa"/>
            <w:vAlign w:val="center"/>
          </w:tcPr>
          <w:p w14:paraId="780E39C7">
            <w:pPr>
              <w:widowControl w:val="0"/>
              <w:textAlignment w:val="auto"/>
              <w:rPr>
                <w:szCs w:val="21"/>
              </w:rPr>
            </w:pPr>
          </w:p>
        </w:tc>
        <w:tc>
          <w:tcPr>
            <w:tcW w:w="1106" w:type="dxa"/>
          </w:tcPr>
          <w:p w14:paraId="040C4361">
            <w:pPr>
              <w:widowControl w:val="0"/>
              <w:jc w:val="center"/>
              <w:textAlignment w:val="auto"/>
              <w:rPr>
                <w:szCs w:val="21"/>
              </w:rPr>
            </w:pPr>
          </w:p>
        </w:tc>
        <w:tc>
          <w:tcPr>
            <w:tcW w:w="1108" w:type="dxa"/>
            <w:vAlign w:val="center"/>
          </w:tcPr>
          <w:p w14:paraId="68AAB7E6">
            <w:pPr>
              <w:widowControl w:val="0"/>
              <w:jc w:val="center"/>
              <w:textAlignment w:val="auto"/>
              <w:rPr>
                <w:szCs w:val="21"/>
              </w:rPr>
            </w:pPr>
          </w:p>
        </w:tc>
        <w:tc>
          <w:tcPr>
            <w:tcW w:w="1260" w:type="dxa"/>
            <w:vAlign w:val="center"/>
          </w:tcPr>
          <w:p w14:paraId="38B4F6C6">
            <w:pPr>
              <w:widowControl w:val="0"/>
              <w:jc w:val="center"/>
              <w:textAlignment w:val="auto"/>
              <w:rPr>
                <w:szCs w:val="21"/>
              </w:rPr>
            </w:pPr>
          </w:p>
        </w:tc>
      </w:tr>
      <w:tr w14:paraId="3504DC8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741" w:type="dxa"/>
            <w:vAlign w:val="center"/>
          </w:tcPr>
          <w:p w14:paraId="58B239D1">
            <w:pPr>
              <w:widowControl w:val="0"/>
              <w:jc w:val="center"/>
              <w:textAlignment w:val="auto"/>
              <w:rPr>
                <w:szCs w:val="21"/>
              </w:rPr>
            </w:pPr>
          </w:p>
        </w:tc>
        <w:tc>
          <w:tcPr>
            <w:tcW w:w="2352" w:type="dxa"/>
            <w:vAlign w:val="center"/>
          </w:tcPr>
          <w:p w14:paraId="033D35F0">
            <w:pPr>
              <w:widowControl w:val="0"/>
              <w:textAlignment w:val="auto"/>
              <w:rPr>
                <w:szCs w:val="21"/>
              </w:rPr>
            </w:pPr>
          </w:p>
        </w:tc>
        <w:tc>
          <w:tcPr>
            <w:tcW w:w="2379" w:type="dxa"/>
            <w:vAlign w:val="center"/>
          </w:tcPr>
          <w:p w14:paraId="0D359AC5">
            <w:pPr>
              <w:widowControl w:val="0"/>
              <w:textAlignment w:val="auto"/>
              <w:rPr>
                <w:sz w:val="18"/>
                <w:szCs w:val="18"/>
              </w:rPr>
            </w:pPr>
          </w:p>
        </w:tc>
        <w:tc>
          <w:tcPr>
            <w:tcW w:w="1106" w:type="dxa"/>
          </w:tcPr>
          <w:p w14:paraId="4781D0D4">
            <w:pPr>
              <w:widowControl w:val="0"/>
              <w:jc w:val="center"/>
              <w:textAlignment w:val="auto"/>
              <w:rPr>
                <w:szCs w:val="21"/>
              </w:rPr>
            </w:pPr>
          </w:p>
        </w:tc>
        <w:tc>
          <w:tcPr>
            <w:tcW w:w="1108" w:type="dxa"/>
            <w:vAlign w:val="center"/>
          </w:tcPr>
          <w:p w14:paraId="1C937354">
            <w:pPr>
              <w:widowControl w:val="0"/>
              <w:jc w:val="center"/>
              <w:textAlignment w:val="auto"/>
              <w:rPr>
                <w:szCs w:val="21"/>
              </w:rPr>
            </w:pPr>
          </w:p>
        </w:tc>
        <w:tc>
          <w:tcPr>
            <w:tcW w:w="1260" w:type="dxa"/>
            <w:vAlign w:val="center"/>
          </w:tcPr>
          <w:p w14:paraId="48D03FE9">
            <w:pPr>
              <w:widowControl w:val="0"/>
              <w:jc w:val="center"/>
              <w:textAlignment w:val="auto"/>
              <w:rPr>
                <w:szCs w:val="21"/>
              </w:rPr>
            </w:pPr>
          </w:p>
        </w:tc>
      </w:tr>
      <w:tr w14:paraId="1F3EC8E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741" w:type="dxa"/>
            <w:vAlign w:val="center"/>
          </w:tcPr>
          <w:p w14:paraId="1BD1E465">
            <w:pPr>
              <w:widowControl w:val="0"/>
              <w:jc w:val="center"/>
              <w:textAlignment w:val="auto"/>
              <w:rPr>
                <w:szCs w:val="21"/>
              </w:rPr>
            </w:pPr>
          </w:p>
        </w:tc>
        <w:tc>
          <w:tcPr>
            <w:tcW w:w="2352" w:type="dxa"/>
            <w:vAlign w:val="center"/>
          </w:tcPr>
          <w:p w14:paraId="074CB969">
            <w:pPr>
              <w:widowControl w:val="0"/>
              <w:jc w:val="left"/>
              <w:textAlignment w:val="auto"/>
              <w:rPr>
                <w:szCs w:val="21"/>
              </w:rPr>
            </w:pPr>
          </w:p>
        </w:tc>
        <w:tc>
          <w:tcPr>
            <w:tcW w:w="2379" w:type="dxa"/>
            <w:vAlign w:val="center"/>
          </w:tcPr>
          <w:p w14:paraId="7AD2C6CB">
            <w:pPr>
              <w:widowControl w:val="0"/>
              <w:jc w:val="center"/>
              <w:textAlignment w:val="auto"/>
              <w:rPr>
                <w:sz w:val="18"/>
                <w:szCs w:val="18"/>
              </w:rPr>
            </w:pPr>
          </w:p>
        </w:tc>
        <w:tc>
          <w:tcPr>
            <w:tcW w:w="1106" w:type="dxa"/>
          </w:tcPr>
          <w:p w14:paraId="2825B7B3">
            <w:pPr>
              <w:widowControl w:val="0"/>
              <w:jc w:val="center"/>
              <w:textAlignment w:val="auto"/>
              <w:rPr>
                <w:szCs w:val="21"/>
              </w:rPr>
            </w:pPr>
          </w:p>
        </w:tc>
        <w:tc>
          <w:tcPr>
            <w:tcW w:w="1108" w:type="dxa"/>
            <w:vAlign w:val="center"/>
          </w:tcPr>
          <w:p w14:paraId="76834D3A">
            <w:pPr>
              <w:widowControl w:val="0"/>
              <w:jc w:val="center"/>
              <w:textAlignment w:val="auto"/>
              <w:rPr>
                <w:szCs w:val="21"/>
              </w:rPr>
            </w:pPr>
          </w:p>
        </w:tc>
        <w:tc>
          <w:tcPr>
            <w:tcW w:w="1260" w:type="dxa"/>
            <w:vAlign w:val="center"/>
          </w:tcPr>
          <w:p w14:paraId="3137DA0F">
            <w:pPr>
              <w:widowControl w:val="0"/>
              <w:jc w:val="center"/>
              <w:textAlignment w:val="auto"/>
              <w:rPr>
                <w:szCs w:val="21"/>
              </w:rPr>
            </w:pPr>
          </w:p>
        </w:tc>
      </w:tr>
      <w:tr w14:paraId="4728ADF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741" w:type="dxa"/>
            <w:vAlign w:val="center"/>
          </w:tcPr>
          <w:p w14:paraId="0A825A8F">
            <w:pPr>
              <w:widowControl w:val="0"/>
              <w:jc w:val="center"/>
              <w:textAlignment w:val="auto"/>
              <w:rPr>
                <w:szCs w:val="21"/>
              </w:rPr>
            </w:pPr>
          </w:p>
        </w:tc>
        <w:tc>
          <w:tcPr>
            <w:tcW w:w="2352" w:type="dxa"/>
            <w:vAlign w:val="center"/>
          </w:tcPr>
          <w:p w14:paraId="7DBF85B2">
            <w:pPr>
              <w:widowControl w:val="0"/>
              <w:jc w:val="center"/>
              <w:textAlignment w:val="auto"/>
              <w:rPr>
                <w:szCs w:val="21"/>
              </w:rPr>
            </w:pPr>
          </w:p>
        </w:tc>
        <w:tc>
          <w:tcPr>
            <w:tcW w:w="2379" w:type="dxa"/>
            <w:vAlign w:val="center"/>
          </w:tcPr>
          <w:p w14:paraId="4CC73EAC">
            <w:pPr>
              <w:widowControl w:val="0"/>
              <w:jc w:val="center"/>
              <w:textAlignment w:val="auto"/>
              <w:rPr>
                <w:szCs w:val="21"/>
              </w:rPr>
            </w:pPr>
          </w:p>
        </w:tc>
        <w:tc>
          <w:tcPr>
            <w:tcW w:w="1106" w:type="dxa"/>
          </w:tcPr>
          <w:p w14:paraId="7B2F8568">
            <w:pPr>
              <w:widowControl w:val="0"/>
              <w:jc w:val="center"/>
              <w:textAlignment w:val="auto"/>
              <w:rPr>
                <w:szCs w:val="21"/>
              </w:rPr>
            </w:pPr>
          </w:p>
        </w:tc>
        <w:tc>
          <w:tcPr>
            <w:tcW w:w="1108" w:type="dxa"/>
            <w:vAlign w:val="center"/>
          </w:tcPr>
          <w:p w14:paraId="388170AD">
            <w:pPr>
              <w:widowControl w:val="0"/>
              <w:jc w:val="center"/>
              <w:textAlignment w:val="auto"/>
              <w:rPr>
                <w:szCs w:val="21"/>
              </w:rPr>
            </w:pPr>
          </w:p>
        </w:tc>
        <w:tc>
          <w:tcPr>
            <w:tcW w:w="1260" w:type="dxa"/>
            <w:vAlign w:val="center"/>
          </w:tcPr>
          <w:p w14:paraId="7775929D">
            <w:pPr>
              <w:widowControl w:val="0"/>
              <w:jc w:val="center"/>
              <w:textAlignment w:val="auto"/>
              <w:rPr>
                <w:szCs w:val="21"/>
              </w:rPr>
            </w:pPr>
          </w:p>
        </w:tc>
      </w:tr>
      <w:tr w14:paraId="42975E3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741" w:type="dxa"/>
            <w:vAlign w:val="center"/>
          </w:tcPr>
          <w:p w14:paraId="4DC6A5D1">
            <w:pPr>
              <w:widowControl w:val="0"/>
              <w:jc w:val="center"/>
              <w:textAlignment w:val="auto"/>
              <w:rPr>
                <w:szCs w:val="21"/>
              </w:rPr>
            </w:pPr>
          </w:p>
        </w:tc>
        <w:tc>
          <w:tcPr>
            <w:tcW w:w="2352" w:type="dxa"/>
            <w:vAlign w:val="center"/>
          </w:tcPr>
          <w:p w14:paraId="24777380">
            <w:pPr>
              <w:widowControl w:val="0"/>
              <w:jc w:val="center"/>
              <w:textAlignment w:val="auto"/>
              <w:rPr>
                <w:szCs w:val="21"/>
              </w:rPr>
            </w:pPr>
          </w:p>
        </w:tc>
        <w:tc>
          <w:tcPr>
            <w:tcW w:w="2379" w:type="dxa"/>
            <w:vAlign w:val="center"/>
          </w:tcPr>
          <w:p w14:paraId="59D32170">
            <w:pPr>
              <w:widowControl w:val="0"/>
              <w:jc w:val="center"/>
              <w:textAlignment w:val="auto"/>
              <w:rPr>
                <w:szCs w:val="21"/>
              </w:rPr>
            </w:pPr>
          </w:p>
        </w:tc>
        <w:tc>
          <w:tcPr>
            <w:tcW w:w="1106" w:type="dxa"/>
          </w:tcPr>
          <w:p w14:paraId="278A13B5">
            <w:pPr>
              <w:widowControl w:val="0"/>
              <w:jc w:val="center"/>
              <w:textAlignment w:val="auto"/>
              <w:rPr>
                <w:szCs w:val="21"/>
              </w:rPr>
            </w:pPr>
          </w:p>
        </w:tc>
        <w:tc>
          <w:tcPr>
            <w:tcW w:w="1108" w:type="dxa"/>
            <w:vAlign w:val="center"/>
          </w:tcPr>
          <w:p w14:paraId="024A3235">
            <w:pPr>
              <w:widowControl w:val="0"/>
              <w:jc w:val="center"/>
              <w:textAlignment w:val="auto"/>
              <w:rPr>
                <w:szCs w:val="21"/>
              </w:rPr>
            </w:pPr>
          </w:p>
        </w:tc>
        <w:tc>
          <w:tcPr>
            <w:tcW w:w="1260" w:type="dxa"/>
            <w:vAlign w:val="center"/>
          </w:tcPr>
          <w:p w14:paraId="7AA98AEB">
            <w:pPr>
              <w:widowControl w:val="0"/>
              <w:jc w:val="center"/>
              <w:textAlignment w:val="auto"/>
              <w:rPr>
                <w:szCs w:val="21"/>
              </w:rPr>
            </w:pPr>
          </w:p>
        </w:tc>
      </w:tr>
      <w:tr w14:paraId="14FEAD7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741" w:type="dxa"/>
            <w:vAlign w:val="center"/>
          </w:tcPr>
          <w:p w14:paraId="35F7F2E3">
            <w:pPr>
              <w:widowControl w:val="0"/>
              <w:jc w:val="center"/>
              <w:textAlignment w:val="auto"/>
              <w:rPr>
                <w:szCs w:val="21"/>
              </w:rPr>
            </w:pPr>
          </w:p>
        </w:tc>
        <w:tc>
          <w:tcPr>
            <w:tcW w:w="2352" w:type="dxa"/>
            <w:vAlign w:val="center"/>
          </w:tcPr>
          <w:p w14:paraId="501DD0B7">
            <w:pPr>
              <w:widowControl w:val="0"/>
              <w:jc w:val="center"/>
              <w:textAlignment w:val="auto"/>
              <w:rPr>
                <w:szCs w:val="21"/>
              </w:rPr>
            </w:pPr>
          </w:p>
        </w:tc>
        <w:tc>
          <w:tcPr>
            <w:tcW w:w="2379" w:type="dxa"/>
            <w:vAlign w:val="center"/>
          </w:tcPr>
          <w:p w14:paraId="1BC84B34">
            <w:pPr>
              <w:widowControl w:val="0"/>
              <w:jc w:val="center"/>
              <w:textAlignment w:val="auto"/>
              <w:rPr>
                <w:szCs w:val="21"/>
              </w:rPr>
            </w:pPr>
          </w:p>
        </w:tc>
        <w:tc>
          <w:tcPr>
            <w:tcW w:w="1106" w:type="dxa"/>
          </w:tcPr>
          <w:p w14:paraId="10EB95A6">
            <w:pPr>
              <w:widowControl w:val="0"/>
              <w:jc w:val="center"/>
              <w:textAlignment w:val="auto"/>
              <w:rPr>
                <w:szCs w:val="21"/>
              </w:rPr>
            </w:pPr>
          </w:p>
        </w:tc>
        <w:tc>
          <w:tcPr>
            <w:tcW w:w="1108" w:type="dxa"/>
            <w:vAlign w:val="center"/>
          </w:tcPr>
          <w:p w14:paraId="3BCCE482">
            <w:pPr>
              <w:widowControl w:val="0"/>
              <w:jc w:val="center"/>
              <w:textAlignment w:val="auto"/>
              <w:rPr>
                <w:szCs w:val="21"/>
              </w:rPr>
            </w:pPr>
          </w:p>
        </w:tc>
        <w:tc>
          <w:tcPr>
            <w:tcW w:w="1260" w:type="dxa"/>
            <w:vAlign w:val="center"/>
          </w:tcPr>
          <w:p w14:paraId="078FBC78">
            <w:pPr>
              <w:widowControl w:val="0"/>
              <w:jc w:val="center"/>
              <w:textAlignment w:val="auto"/>
              <w:rPr>
                <w:szCs w:val="21"/>
              </w:rPr>
            </w:pPr>
          </w:p>
        </w:tc>
      </w:tr>
      <w:tr w14:paraId="7F10988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741" w:type="dxa"/>
            <w:vAlign w:val="center"/>
          </w:tcPr>
          <w:p w14:paraId="77786779">
            <w:pPr>
              <w:widowControl w:val="0"/>
              <w:jc w:val="center"/>
              <w:textAlignment w:val="auto"/>
              <w:rPr>
                <w:szCs w:val="21"/>
              </w:rPr>
            </w:pPr>
          </w:p>
        </w:tc>
        <w:tc>
          <w:tcPr>
            <w:tcW w:w="2352" w:type="dxa"/>
            <w:vAlign w:val="center"/>
          </w:tcPr>
          <w:p w14:paraId="44CB8375">
            <w:pPr>
              <w:widowControl w:val="0"/>
              <w:jc w:val="center"/>
              <w:textAlignment w:val="auto"/>
              <w:rPr>
                <w:szCs w:val="21"/>
              </w:rPr>
            </w:pPr>
          </w:p>
        </w:tc>
        <w:tc>
          <w:tcPr>
            <w:tcW w:w="2379" w:type="dxa"/>
            <w:vAlign w:val="center"/>
          </w:tcPr>
          <w:p w14:paraId="64AD3EEA">
            <w:pPr>
              <w:widowControl w:val="0"/>
              <w:jc w:val="center"/>
              <w:textAlignment w:val="auto"/>
              <w:rPr>
                <w:szCs w:val="21"/>
              </w:rPr>
            </w:pPr>
          </w:p>
        </w:tc>
        <w:tc>
          <w:tcPr>
            <w:tcW w:w="1106" w:type="dxa"/>
          </w:tcPr>
          <w:p w14:paraId="1166B4FF">
            <w:pPr>
              <w:widowControl w:val="0"/>
              <w:jc w:val="center"/>
              <w:textAlignment w:val="auto"/>
              <w:rPr>
                <w:szCs w:val="21"/>
              </w:rPr>
            </w:pPr>
          </w:p>
        </w:tc>
        <w:tc>
          <w:tcPr>
            <w:tcW w:w="1108" w:type="dxa"/>
            <w:vAlign w:val="center"/>
          </w:tcPr>
          <w:p w14:paraId="0F5FFF69">
            <w:pPr>
              <w:widowControl w:val="0"/>
              <w:jc w:val="center"/>
              <w:textAlignment w:val="auto"/>
              <w:rPr>
                <w:szCs w:val="21"/>
              </w:rPr>
            </w:pPr>
          </w:p>
        </w:tc>
        <w:tc>
          <w:tcPr>
            <w:tcW w:w="1260" w:type="dxa"/>
            <w:vAlign w:val="center"/>
          </w:tcPr>
          <w:p w14:paraId="6C64FF0A">
            <w:pPr>
              <w:widowControl w:val="0"/>
              <w:jc w:val="center"/>
              <w:textAlignment w:val="auto"/>
              <w:rPr>
                <w:szCs w:val="21"/>
              </w:rPr>
            </w:pPr>
          </w:p>
        </w:tc>
      </w:tr>
      <w:tr w14:paraId="5BEDD5F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741" w:type="dxa"/>
            <w:vAlign w:val="center"/>
          </w:tcPr>
          <w:p w14:paraId="4564AE1E">
            <w:pPr>
              <w:widowControl w:val="0"/>
              <w:jc w:val="center"/>
              <w:textAlignment w:val="auto"/>
              <w:rPr>
                <w:szCs w:val="21"/>
              </w:rPr>
            </w:pPr>
          </w:p>
        </w:tc>
        <w:tc>
          <w:tcPr>
            <w:tcW w:w="2352" w:type="dxa"/>
            <w:vAlign w:val="center"/>
          </w:tcPr>
          <w:p w14:paraId="45FC29FF">
            <w:pPr>
              <w:widowControl w:val="0"/>
              <w:jc w:val="center"/>
              <w:textAlignment w:val="auto"/>
              <w:rPr>
                <w:szCs w:val="21"/>
              </w:rPr>
            </w:pPr>
          </w:p>
        </w:tc>
        <w:tc>
          <w:tcPr>
            <w:tcW w:w="2379" w:type="dxa"/>
            <w:vAlign w:val="center"/>
          </w:tcPr>
          <w:p w14:paraId="228889BA">
            <w:pPr>
              <w:widowControl w:val="0"/>
              <w:jc w:val="center"/>
              <w:textAlignment w:val="auto"/>
              <w:rPr>
                <w:szCs w:val="21"/>
              </w:rPr>
            </w:pPr>
          </w:p>
        </w:tc>
        <w:tc>
          <w:tcPr>
            <w:tcW w:w="1106" w:type="dxa"/>
          </w:tcPr>
          <w:p w14:paraId="0F26A759">
            <w:pPr>
              <w:widowControl w:val="0"/>
              <w:jc w:val="center"/>
              <w:textAlignment w:val="auto"/>
              <w:rPr>
                <w:szCs w:val="21"/>
              </w:rPr>
            </w:pPr>
          </w:p>
        </w:tc>
        <w:tc>
          <w:tcPr>
            <w:tcW w:w="1108" w:type="dxa"/>
            <w:vAlign w:val="center"/>
          </w:tcPr>
          <w:p w14:paraId="39C92038">
            <w:pPr>
              <w:widowControl w:val="0"/>
              <w:jc w:val="center"/>
              <w:textAlignment w:val="auto"/>
              <w:rPr>
                <w:szCs w:val="21"/>
              </w:rPr>
            </w:pPr>
          </w:p>
        </w:tc>
        <w:tc>
          <w:tcPr>
            <w:tcW w:w="1260" w:type="dxa"/>
            <w:vAlign w:val="center"/>
          </w:tcPr>
          <w:p w14:paraId="60B6A387">
            <w:pPr>
              <w:widowControl w:val="0"/>
              <w:jc w:val="center"/>
              <w:textAlignment w:val="auto"/>
              <w:rPr>
                <w:szCs w:val="21"/>
              </w:rPr>
            </w:pPr>
          </w:p>
        </w:tc>
      </w:tr>
      <w:tr w14:paraId="6119ED9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741" w:type="dxa"/>
            <w:vAlign w:val="center"/>
          </w:tcPr>
          <w:p w14:paraId="33400299">
            <w:pPr>
              <w:widowControl w:val="0"/>
              <w:jc w:val="center"/>
              <w:textAlignment w:val="auto"/>
              <w:rPr>
                <w:szCs w:val="21"/>
              </w:rPr>
            </w:pPr>
          </w:p>
        </w:tc>
        <w:tc>
          <w:tcPr>
            <w:tcW w:w="2352" w:type="dxa"/>
            <w:vAlign w:val="center"/>
          </w:tcPr>
          <w:p w14:paraId="01CBF76C">
            <w:pPr>
              <w:widowControl w:val="0"/>
              <w:jc w:val="center"/>
              <w:textAlignment w:val="auto"/>
              <w:rPr>
                <w:szCs w:val="21"/>
              </w:rPr>
            </w:pPr>
          </w:p>
        </w:tc>
        <w:tc>
          <w:tcPr>
            <w:tcW w:w="2379" w:type="dxa"/>
            <w:vAlign w:val="center"/>
          </w:tcPr>
          <w:p w14:paraId="2B77C194">
            <w:pPr>
              <w:widowControl w:val="0"/>
              <w:jc w:val="center"/>
              <w:textAlignment w:val="auto"/>
              <w:rPr>
                <w:szCs w:val="21"/>
              </w:rPr>
            </w:pPr>
          </w:p>
        </w:tc>
        <w:tc>
          <w:tcPr>
            <w:tcW w:w="1106" w:type="dxa"/>
          </w:tcPr>
          <w:p w14:paraId="5D499404">
            <w:pPr>
              <w:widowControl w:val="0"/>
              <w:jc w:val="center"/>
              <w:textAlignment w:val="auto"/>
              <w:rPr>
                <w:szCs w:val="21"/>
              </w:rPr>
            </w:pPr>
          </w:p>
        </w:tc>
        <w:tc>
          <w:tcPr>
            <w:tcW w:w="1108" w:type="dxa"/>
            <w:vAlign w:val="center"/>
          </w:tcPr>
          <w:p w14:paraId="0E11366E">
            <w:pPr>
              <w:widowControl w:val="0"/>
              <w:jc w:val="center"/>
              <w:textAlignment w:val="auto"/>
              <w:rPr>
                <w:szCs w:val="21"/>
              </w:rPr>
            </w:pPr>
          </w:p>
        </w:tc>
        <w:tc>
          <w:tcPr>
            <w:tcW w:w="1260" w:type="dxa"/>
            <w:vAlign w:val="center"/>
          </w:tcPr>
          <w:p w14:paraId="3948BAE1">
            <w:pPr>
              <w:widowControl w:val="0"/>
              <w:jc w:val="center"/>
              <w:textAlignment w:val="auto"/>
              <w:rPr>
                <w:szCs w:val="21"/>
              </w:rPr>
            </w:pPr>
          </w:p>
        </w:tc>
      </w:tr>
      <w:tr w14:paraId="715C533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741" w:type="dxa"/>
            <w:vAlign w:val="center"/>
          </w:tcPr>
          <w:p w14:paraId="48FE6B64">
            <w:pPr>
              <w:widowControl w:val="0"/>
              <w:jc w:val="center"/>
              <w:textAlignment w:val="auto"/>
              <w:rPr>
                <w:szCs w:val="21"/>
              </w:rPr>
            </w:pPr>
          </w:p>
        </w:tc>
        <w:tc>
          <w:tcPr>
            <w:tcW w:w="2352" w:type="dxa"/>
            <w:vAlign w:val="center"/>
          </w:tcPr>
          <w:p w14:paraId="4DFBEFDE">
            <w:pPr>
              <w:widowControl w:val="0"/>
              <w:jc w:val="center"/>
              <w:textAlignment w:val="auto"/>
              <w:rPr>
                <w:szCs w:val="21"/>
              </w:rPr>
            </w:pPr>
          </w:p>
        </w:tc>
        <w:tc>
          <w:tcPr>
            <w:tcW w:w="2379" w:type="dxa"/>
            <w:vAlign w:val="center"/>
          </w:tcPr>
          <w:p w14:paraId="02432D58">
            <w:pPr>
              <w:widowControl w:val="0"/>
              <w:jc w:val="center"/>
              <w:textAlignment w:val="auto"/>
              <w:rPr>
                <w:szCs w:val="21"/>
              </w:rPr>
            </w:pPr>
          </w:p>
        </w:tc>
        <w:tc>
          <w:tcPr>
            <w:tcW w:w="1106" w:type="dxa"/>
          </w:tcPr>
          <w:p w14:paraId="6FECA712">
            <w:pPr>
              <w:widowControl w:val="0"/>
              <w:jc w:val="center"/>
              <w:textAlignment w:val="auto"/>
              <w:rPr>
                <w:szCs w:val="21"/>
              </w:rPr>
            </w:pPr>
          </w:p>
        </w:tc>
        <w:tc>
          <w:tcPr>
            <w:tcW w:w="1108" w:type="dxa"/>
            <w:vAlign w:val="center"/>
          </w:tcPr>
          <w:p w14:paraId="0664A65E">
            <w:pPr>
              <w:widowControl w:val="0"/>
              <w:jc w:val="center"/>
              <w:textAlignment w:val="auto"/>
              <w:rPr>
                <w:szCs w:val="21"/>
              </w:rPr>
            </w:pPr>
          </w:p>
        </w:tc>
        <w:tc>
          <w:tcPr>
            <w:tcW w:w="1260" w:type="dxa"/>
            <w:vAlign w:val="center"/>
          </w:tcPr>
          <w:p w14:paraId="36781185">
            <w:pPr>
              <w:widowControl w:val="0"/>
              <w:jc w:val="center"/>
              <w:textAlignment w:val="auto"/>
              <w:rPr>
                <w:szCs w:val="21"/>
              </w:rPr>
            </w:pPr>
          </w:p>
        </w:tc>
      </w:tr>
      <w:tr w14:paraId="6151A69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741" w:type="dxa"/>
            <w:tcBorders>
              <w:bottom w:val="single" w:color="auto" w:sz="8" w:space="0"/>
            </w:tcBorders>
            <w:vAlign w:val="center"/>
          </w:tcPr>
          <w:p w14:paraId="284ADA6B">
            <w:pPr>
              <w:widowControl w:val="0"/>
              <w:jc w:val="center"/>
              <w:textAlignment w:val="auto"/>
              <w:rPr>
                <w:szCs w:val="21"/>
              </w:rPr>
            </w:pPr>
          </w:p>
        </w:tc>
        <w:tc>
          <w:tcPr>
            <w:tcW w:w="2352" w:type="dxa"/>
            <w:tcBorders>
              <w:bottom w:val="single" w:color="auto" w:sz="8" w:space="0"/>
            </w:tcBorders>
            <w:vAlign w:val="center"/>
          </w:tcPr>
          <w:p w14:paraId="30AD029D">
            <w:pPr>
              <w:widowControl w:val="0"/>
              <w:jc w:val="center"/>
              <w:textAlignment w:val="auto"/>
              <w:rPr>
                <w:szCs w:val="21"/>
              </w:rPr>
            </w:pPr>
          </w:p>
        </w:tc>
        <w:tc>
          <w:tcPr>
            <w:tcW w:w="2379" w:type="dxa"/>
            <w:tcBorders>
              <w:bottom w:val="single" w:color="auto" w:sz="8" w:space="0"/>
            </w:tcBorders>
            <w:vAlign w:val="center"/>
          </w:tcPr>
          <w:p w14:paraId="724C49D3">
            <w:pPr>
              <w:widowControl w:val="0"/>
              <w:jc w:val="center"/>
              <w:textAlignment w:val="auto"/>
              <w:rPr>
                <w:szCs w:val="21"/>
              </w:rPr>
            </w:pPr>
          </w:p>
        </w:tc>
        <w:tc>
          <w:tcPr>
            <w:tcW w:w="1106" w:type="dxa"/>
            <w:tcBorders>
              <w:bottom w:val="single" w:color="auto" w:sz="8" w:space="0"/>
            </w:tcBorders>
          </w:tcPr>
          <w:p w14:paraId="16DDE9C3">
            <w:pPr>
              <w:widowControl w:val="0"/>
              <w:jc w:val="center"/>
              <w:textAlignment w:val="auto"/>
              <w:rPr>
                <w:szCs w:val="21"/>
              </w:rPr>
            </w:pPr>
          </w:p>
        </w:tc>
        <w:tc>
          <w:tcPr>
            <w:tcW w:w="1108" w:type="dxa"/>
            <w:tcBorders>
              <w:bottom w:val="single" w:color="auto" w:sz="8" w:space="0"/>
            </w:tcBorders>
            <w:vAlign w:val="center"/>
          </w:tcPr>
          <w:p w14:paraId="4EFE6616">
            <w:pPr>
              <w:widowControl w:val="0"/>
              <w:jc w:val="center"/>
              <w:textAlignment w:val="auto"/>
              <w:rPr>
                <w:szCs w:val="21"/>
              </w:rPr>
            </w:pPr>
          </w:p>
        </w:tc>
        <w:tc>
          <w:tcPr>
            <w:tcW w:w="1260" w:type="dxa"/>
            <w:tcBorders>
              <w:bottom w:val="single" w:color="auto" w:sz="8" w:space="0"/>
            </w:tcBorders>
            <w:vAlign w:val="center"/>
          </w:tcPr>
          <w:p w14:paraId="3AB0A5E3">
            <w:pPr>
              <w:widowControl w:val="0"/>
              <w:jc w:val="center"/>
              <w:textAlignment w:val="auto"/>
              <w:rPr>
                <w:szCs w:val="21"/>
              </w:rPr>
            </w:pPr>
          </w:p>
        </w:tc>
      </w:tr>
    </w:tbl>
    <w:p w14:paraId="28EAE269">
      <w:pPr>
        <w:widowControl w:val="0"/>
        <w:spacing w:line="240" w:lineRule="atLeast"/>
        <w:ind w:right="360"/>
        <w:textAlignment w:val="auto"/>
        <w:rPr>
          <w:rFonts w:ascii="宋体"/>
          <w:sz w:val="18"/>
          <w:szCs w:val="18"/>
        </w:rPr>
      </w:pPr>
      <w:r>
        <w:rPr>
          <w:rFonts w:hint="eastAsia" w:ascii="宋体" w:hAnsi="宋体"/>
          <w:sz w:val="18"/>
          <w:szCs w:val="18"/>
        </w:rPr>
        <w:t>编制人（造价人员）：</w:t>
      </w:r>
      <w:r>
        <w:rPr>
          <w:rFonts w:ascii="宋体" w:hAnsi="宋体"/>
          <w:sz w:val="18"/>
          <w:szCs w:val="18"/>
        </w:rPr>
        <w:t xml:space="preserve">                                     </w:t>
      </w:r>
      <w:r>
        <w:rPr>
          <w:rFonts w:hint="eastAsia" w:ascii="宋体" w:hAnsi="宋体"/>
          <w:sz w:val="18"/>
          <w:szCs w:val="18"/>
        </w:rPr>
        <w:t>复核人（造价工程师）：</w:t>
      </w:r>
    </w:p>
    <w:p w14:paraId="4AF382D6">
      <w:pPr>
        <w:widowControl w:val="0"/>
        <w:spacing w:before="312" w:beforeLines="100" w:line="240" w:lineRule="atLeast"/>
        <w:jc w:val="right"/>
        <w:textAlignment w:val="auto"/>
        <w:rPr>
          <w:sz w:val="30"/>
          <w:szCs w:val="21"/>
        </w:rPr>
      </w:pPr>
      <w:r>
        <w:rPr>
          <w:rFonts w:hint="eastAsia" w:eastAsia="黑体"/>
        </w:rPr>
        <w:t>表</w:t>
      </w:r>
      <w:r>
        <w:rPr>
          <w:rFonts w:eastAsia="黑体"/>
        </w:rPr>
        <w:t>-13</w:t>
      </w:r>
    </w:p>
    <w:p w14:paraId="6F10F62F">
      <w:pPr>
        <w:pStyle w:val="19"/>
      </w:pPr>
    </w:p>
    <w:p w14:paraId="380F26B2">
      <w:pPr>
        <w:widowControl w:val="0"/>
        <w:tabs>
          <w:tab w:val="left" w:pos="6135"/>
        </w:tabs>
        <w:spacing w:before="312" w:beforeLines="100"/>
        <w:jc w:val="center"/>
        <w:textAlignment w:val="auto"/>
        <w:rPr>
          <w:rFonts w:eastAsia="黑体"/>
          <w:sz w:val="32"/>
          <w:szCs w:val="32"/>
        </w:rPr>
      </w:pPr>
      <w:r>
        <w:rPr>
          <w:rFonts w:eastAsia="黑体"/>
          <w:sz w:val="32"/>
          <w:szCs w:val="32"/>
        </w:rPr>
        <w:t>L.1</w:t>
      </w:r>
      <w:r>
        <w:rPr>
          <w:rFonts w:hint="eastAsia" w:eastAsia="黑体"/>
          <w:sz w:val="32"/>
          <w:szCs w:val="32"/>
        </w:rPr>
        <w:t>发包人提供材料和工程设备一览表</w:t>
      </w:r>
    </w:p>
    <w:p w14:paraId="01814C2C">
      <w:pPr>
        <w:widowControl w:val="0"/>
        <w:tabs>
          <w:tab w:val="left" w:pos="12120"/>
        </w:tabs>
        <w:spacing w:line="360" w:lineRule="auto"/>
        <w:ind w:left="105" w:hanging="105" w:hangingChars="50"/>
        <w:textAlignment w:val="auto"/>
        <w:rPr>
          <w:szCs w:val="21"/>
        </w:rPr>
      </w:pPr>
    </w:p>
    <w:p w14:paraId="4B621552">
      <w:pPr>
        <w:widowControl w:val="0"/>
        <w:tabs>
          <w:tab w:val="left" w:pos="12120"/>
        </w:tabs>
        <w:spacing w:line="360" w:lineRule="auto"/>
        <w:ind w:left="105" w:hanging="105" w:hangingChars="50"/>
        <w:textAlignment w:val="auto"/>
        <w:rPr>
          <w:szCs w:val="21"/>
        </w:rPr>
      </w:pPr>
      <w:r>
        <w:rPr>
          <w:rFonts w:hint="eastAsia"/>
          <w:szCs w:val="21"/>
        </w:rPr>
        <w:t>工程名称：</w:t>
      </w:r>
      <w:r>
        <w:rPr>
          <w:szCs w:val="21"/>
        </w:rPr>
        <w:t xml:space="preserve">                             </w:t>
      </w:r>
      <w:r>
        <w:rPr>
          <w:rFonts w:hint="eastAsia"/>
          <w:szCs w:val="21"/>
        </w:rPr>
        <w:t>标段</w:t>
      </w:r>
      <w:r>
        <w:rPr>
          <w:szCs w:val="21"/>
        </w:rPr>
        <w:t xml:space="preserve"> </w:t>
      </w:r>
      <w:r>
        <w:rPr>
          <w:rFonts w:hint="eastAsia"/>
          <w:szCs w:val="21"/>
        </w:rPr>
        <w:t>：</w:t>
      </w:r>
      <w:r>
        <w:rPr>
          <w:szCs w:val="21"/>
        </w:rPr>
        <w:t xml:space="preserve">                    </w:t>
      </w:r>
      <w:r>
        <w:rPr>
          <w:rFonts w:hint="eastAsia"/>
          <w:szCs w:val="21"/>
        </w:rPr>
        <w:t>第</w:t>
      </w:r>
      <w:r>
        <w:rPr>
          <w:szCs w:val="21"/>
        </w:rPr>
        <w:t xml:space="preserve">  </w:t>
      </w:r>
      <w:r>
        <w:rPr>
          <w:rFonts w:hint="eastAsia"/>
          <w:szCs w:val="21"/>
        </w:rPr>
        <w:t>页</w:t>
      </w:r>
      <w:r>
        <w:rPr>
          <w:szCs w:val="21"/>
        </w:rPr>
        <w:t xml:space="preserve"> </w:t>
      </w:r>
      <w:r>
        <w:rPr>
          <w:rFonts w:hint="eastAsia"/>
          <w:szCs w:val="21"/>
        </w:rPr>
        <w:t>共</w:t>
      </w:r>
      <w:r>
        <w:rPr>
          <w:szCs w:val="21"/>
        </w:rPr>
        <w:t xml:space="preserve">  </w:t>
      </w:r>
      <w:r>
        <w:rPr>
          <w:rFonts w:hint="eastAsia"/>
          <w:szCs w:val="21"/>
        </w:rPr>
        <w:t>页</w:t>
      </w:r>
    </w:p>
    <w:tbl>
      <w:tblPr>
        <w:tblStyle w:val="4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37"/>
        <w:gridCol w:w="1496"/>
        <w:gridCol w:w="1059"/>
        <w:gridCol w:w="1059"/>
        <w:gridCol w:w="1092"/>
        <w:gridCol w:w="1059"/>
        <w:gridCol w:w="1060"/>
        <w:gridCol w:w="1060"/>
      </w:tblGrid>
      <w:tr w14:paraId="07ACC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9" w:type="dxa"/>
            <w:vAlign w:val="center"/>
          </w:tcPr>
          <w:p w14:paraId="725701A6">
            <w:pPr>
              <w:widowControl w:val="0"/>
              <w:jc w:val="center"/>
              <w:textAlignment w:val="auto"/>
              <w:rPr>
                <w:kern w:val="0"/>
                <w:sz w:val="20"/>
                <w:szCs w:val="21"/>
              </w:rPr>
            </w:pPr>
            <w:r>
              <w:rPr>
                <w:rFonts w:hint="eastAsia"/>
                <w:kern w:val="0"/>
                <w:sz w:val="20"/>
                <w:szCs w:val="21"/>
              </w:rPr>
              <w:t>序号</w:t>
            </w:r>
          </w:p>
        </w:tc>
        <w:tc>
          <w:tcPr>
            <w:tcW w:w="1577" w:type="dxa"/>
            <w:vAlign w:val="center"/>
          </w:tcPr>
          <w:p w14:paraId="1F1A55B2">
            <w:pPr>
              <w:widowControl w:val="0"/>
              <w:jc w:val="center"/>
              <w:textAlignment w:val="auto"/>
              <w:rPr>
                <w:kern w:val="0"/>
                <w:sz w:val="20"/>
                <w:szCs w:val="21"/>
              </w:rPr>
            </w:pPr>
            <w:r>
              <w:rPr>
                <w:rFonts w:hint="eastAsia"/>
                <w:kern w:val="0"/>
                <w:sz w:val="20"/>
                <w:szCs w:val="21"/>
              </w:rPr>
              <w:t>材料（工程设备）名称、规格、型号</w:t>
            </w:r>
          </w:p>
        </w:tc>
        <w:tc>
          <w:tcPr>
            <w:tcW w:w="1118" w:type="dxa"/>
            <w:vAlign w:val="center"/>
          </w:tcPr>
          <w:p w14:paraId="17244C87">
            <w:pPr>
              <w:widowControl w:val="0"/>
              <w:jc w:val="center"/>
              <w:textAlignment w:val="auto"/>
              <w:rPr>
                <w:kern w:val="0"/>
                <w:sz w:val="20"/>
                <w:szCs w:val="21"/>
              </w:rPr>
            </w:pPr>
            <w:r>
              <w:rPr>
                <w:rFonts w:hint="eastAsia"/>
                <w:kern w:val="0"/>
                <w:sz w:val="20"/>
                <w:szCs w:val="21"/>
              </w:rPr>
              <w:t>单位</w:t>
            </w:r>
          </w:p>
        </w:tc>
        <w:tc>
          <w:tcPr>
            <w:tcW w:w="1118" w:type="dxa"/>
            <w:vAlign w:val="center"/>
          </w:tcPr>
          <w:p w14:paraId="767C714E">
            <w:pPr>
              <w:widowControl w:val="0"/>
              <w:jc w:val="center"/>
              <w:textAlignment w:val="auto"/>
              <w:rPr>
                <w:kern w:val="0"/>
                <w:sz w:val="20"/>
                <w:szCs w:val="21"/>
              </w:rPr>
            </w:pPr>
            <w:r>
              <w:rPr>
                <w:rFonts w:hint="eastAsia"/>
                <w:kern w:val="0"/>
                <w:sz w:val="20"/>
                <w:szCs w:val="21"/>
              </w:rPr>
              <w:t>数量</w:t>
            </w:r>
          </w:p>
        </w:tc>
        <w:tc>
          <w:tcPr>
            <w:tcW w:w="1118" w:type="dxa"/>
            <w:vAlign w:val="center"/>
          </w:tcPr>
          <w:p w14:paraId="6BD347C1">
            <w:pPr>
              <w:widowControl w:val="0"/>
              <w:jc w:val="center"/>
              <w:textAlignment w:val="auto"/>
              <w:rPr>
                <w:kern w:val="0"/>
                <w:sz w:val="20"/>
                <w:szCs w:val="21"/>
              </w:rPr>
            </w:pPr>
            <w:r>
              <w:rPr>
                <w:rFonts w:hint="eastAsia"/>
                <w:kern w:val="0"/>
                <w:sz w:val="20"/>
                <w:szCs w:val="21"/>
              </w:rPr>
              <w:t>单价（元）</w:t>
            </w:r>
          </w:p>
        </w:tc>
        <w:tc>
          <w:tcPr>
            <w:tcW w:w="1118" w:type="dxa"/>
            <w:vAlign w:val="center"/>
          </w:tcPr>
          <w:p w14:paraId="6CFB4572">
            <w:pPr>
              <w:widowControl w:val="0"/>
              <w:jc w:val="center"/>
              <w:textAlignment w:val="auto"/>
              <w:rPr>
                <w:kern w:val="0"/>
                <w:sz w:val="20"/>
                <w:szCs w:val="21"/>
              </w:rPr>
            </w:pPr>
            <w:r>
              <w:rPr>
                <w:rFonts w:hint="eastAsia"/>
                <w:kern w:val="0"/>
                <w:sz w:val="20"/>
                <w:szCs w:val="21"/>
              </w:rPr>
              <w:t>交货方式</w:t>
            </w:r>
          </w:p>
        </w:tc>
        <w:tc>
          <w:tcPr>
            <w:tcW w:w="1119" w:type="dxa"/>
            <w:vAlign w:val="center"/>
          </w:tcPr>
          <w:p w14:paraId="50DBC4DC">
            <w:pPr>
              <w:widowControl w:val="0"/>
              <w:jc w:val="center"/>
              <w:textAlignment w:val="auto"/>
              <w:rPr>
                <w:kern w:val="0"/>
                <w:sz w:val="20"/>
                <w:szCs w:val="21"/>
              </w:rPr>
            </w:pPr>
            <w:r>
              <w:rPr>
                <w:rFonts w:hint="eastAsia"/>
                <w:kern w:val="0"/>
                <w:sz w:val="20"/>
                <w:szCs w:val="21"/>
              </w:rPr>
              <w:t>送达地点</w:t>
            </w:r>
          </w:p>
        </w:tc>
        <w:tc>
          <w:tcPr>
            <w:tcW w:w="1119" w:type="dxa"/>
            <w:vAlign w:val="center"/>
          </w:tcPr>
          <w:p w14:paraId="43D5767A">
            <w:pPr>
              <w:widowControl w:val="0"/>
              <w:jc w:val="center"/>
              <w:textAlignment w:val="auto"/>
              <w:rPr>
                <w:kern w:val="0"/>
                <w:sz w:val="20"/>
                <w:szCs w:val="21"/>
              </w:rPr>
            </w:pPr>
            <w:r>
              <w:rPr>
                <w:rFonts w:hint="eastAsia"/>
                <w:kern w:val="0"/>
                <w:sz w:val="20"/>
                <w:szCs w:val="21"/>
              </w:rPr>
              <w:t>备注</w:t>
            </w:r>
          </w:p>
        </w:tc>
      </w:tr>
      <w:tr w14:paraId="7BEF84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9" w:type="dxa"/>
          </w:tcPr>
          <w:p w14:paraId="09EF7AD3">
            <w:pPr>
              <w:widowControl w:val="0"/>
              <w:jc w:val="center"/>
              <w:textAlignment w:val="auto"/>
              <w:rPr>
                <w:kern w:val="0"/>
                <w:sz w:val="44"/>
                <w:szCs w:val="44"/>
              </w:rPr>
            </w:pPr>
          </w:p>
        </w:tc>
        <w:tc>
          <w:tcPr>
            <w:tcW w:w="1577" w:type="dxa"/>
          </w:tcPr>
          <w:p w14:paraId="69769592">
            <w:pPr>
              <w:widowControl w:val="0"/>
              <w:jc w:val="center"/>
              <w:textAlignment w:val="auto"/>
              <w:rPr>
                <w:kern w:val="0"/>
                <w:sz w:val="44"/>
                <w:szCs w:val="44"/>
              </w:rPr>
            </w:pPr>
          </w:p>
        </w:tc>
        <w:tc>
          <w:tcPr>
            <w:tcW w:w="1118" w:type="dxa"/>
          </w:tcPr>
          <w:p w14:paraId="075EB806">
            <w:pPr>
              <w:widowControl w:val="0"/>
              <w:jc w:val="center"/>
              <w:textAlignment w:val="auto"/>
              <w:rPr>
                <w:kern w:val="0"/>
                <w:sz w:val="44"/>
                <w:szCs w:val="44"/>
              </w:rPr>
            </w:pPr>
          </w:p>
        </w:tc>
        <w:tc>
          <w:tcPr>
            <w:tcW w:w="1118" w:type="dxa"/>
          </w:tcPr>
          <w:p w14:paraId="4FBFA442">
            <w:pPr>
              <w:widowControl w:val="0"/>
              <w:jc w:val="center"/>
              <w:textAlignment w:val="auto"/>
              <w:rPr>
                <w:kern w:val="0"/>
                <w:sz w:val="44"/>
                <w:szCs w:val="44"/>
              </w:rPr>
            </w:pPr>
          </w:p>
        </w:tc>
        <w:tc>
          <w:tcPr>
            <w:tcW w:w="1118" w:type="dxa"/>
          </w:tcPr>
          <w:p w14:paraId="32EC0C85">
            <w:pPr>
              <w:widowControl w:val="0"/>
              <w:jc w:val="center"/>
              <w:textAlignment w:val="auto"/>
              <w:rPr>
                <w:kern w:val="0"/>
                <w:sz w:val="44"/>
                <w:szCs w:val="44"/>
              </w:rPr>
            </w:pPr>
          </w:p>
        </w:tc>
        <w:tc>
          <w:tcPr>
            <w:tcW w:w="1118" w:type="dxa"/>
          </w:tcPr>
          <w:p w14:paraId="3C515470">
            <w:pPr>
              <w:widowControl w:val="0"/>
              <w:jc w:val="center"/>
              <w:textAlignment w:val="auto"/>
              <w:rPr>
                <w:kern w:val="0"/>
                <w:sz w:val="44"/>
                <w:szCs w:val="44"/>
              </w:rPr>
            </w:pPr>
          </w:p>
        </w:tc>
        <w:tc>
          <w:tcPr>
            <w:tcW w:w="1119" w:type="dxa"/>
          </w:tcPr>
          <w:p w14:paraId="04F815BE">
            <w:pPr>
              <w:widowControl w:val="0"/>
              <w:jc w:val="center"/>
              <w:textAlignment w:val="auto"/>
              <w:rPr>
                <w:kern w:val="0"/>
                <w:sz w:val="44"/>
                <w:szCs w:val="44"/>
              </w:rPr>
            </w:pPr>
          </w:p>
        </w:tc>
        <w:tc>
          <w:tcPr>
            <w:tcW w:w="1119" w:type="dxa"/>
          </w:tcPr>
          <w:p w14:paraId="53884758">
            <w:pPr>
              <w:widowControl w:val="0"/>
              <w:jc w:val="center"/>
              <w:textAlignment w:val="auto"/>
              <w:rPr>
                <w:kern w:val="0"/>
                <w:sz w:val="44"/>
                <w:szCs w:val="44"/>
              </w:rPr>
            </w:pPr>
          </w:p>
        </w:tc>
      </w:tr>
      <w:tr w14:paraId="234C98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9" w:type="dxa"/>
          </w:tcPr>
          <w:p w14:paraId="1288CA6B">
            <w:pPr>
              <w:widowControl w:val="0"/>
              <w:jc w:val="center"/>
              <w:textAlignment w:val="auto"/>
              <w:rPr>
                <w:kern w:val="0"/>
                <w:sz w:val="44"/>
                <w:szCs w:val="44"/>
              </w:rPr>
            </w:pPr>
          </w:p>
        </w:tc>
        <w:tc>
          <w:tcPr>
            <w:tcW w:w="1577" w:type="dxa"/>
          </w:tcPr>
          <w:p w14:paraId="26E496CC">
            <w:pPr>
              <w:widowControl w:val="0"/>
              <w:jc w:val="center"/>
              <w:textAlignment w:val="auto"/>
              <w:rPr>
                <w:kern w:val="0"/>
                <w:sz w:val="44"/>
                <w:szCs w:val="44"/>
              </w:rPr>
            </w:pPr>
          </w:p>
        </w:tc>
        <w:tc>
          <w:tcPr>
            <w:tcW w:w="1118" w:type="dxa"/>
          </w:tcPr>
          <w:p w14:paraId="6183269D">
            <w:pPr>
              <w:widowControl w:val="0"/>
              <w:jc w:val="center"/>
              <w:textAlignment w:val="auto"/>
              <w:rPr>
                <w:kern w:val="0"/>
                <w:sz w:val="44"/>
                <w:szCs w:val="44"/>
              </w:rPr>
            </w:pPr>
          </w:p>
        </w:tc>
        <w:tc>
          <w:tcPr>
            <w:tcW w:w="1118" w:type="dxa"/>
          </w:tcPr>
          <w:p w14:paraId="0A7371C0">
            <w:pPr>
              <w:widowControl w:val="0"/>
              <w:jc w:val="center"/>
              <w:textAlignment w:val="auto"/>
              <w:rPr>
                <w:kern w:val="0"/>
                <w:sz w:val="44"/>
                <w:szCs w:val="44"/>
              </w:rPr>
            </w:pPr>
          </w:p>
        </w:tc>
        <w:tc>
          <w:tcPr>
            <w:tcW w:w="1118" w:type="dxa"/>
          </w:tcPr>
          <w:p w14:paraId="2C238D74">
            <w:pPr>
              <w:widowControl w:val="0"/>
              <w:jc w:val="center"/>
              <w:textAlignment w:val="auto"/>
              <w:rPr>
                <w:kern w:val="0"/>
                <w:sz w:val="44"/>
                <w:szCs w:val="44"/>
              </w:rPr>
            </w:pPr>
          </w:p>
        </w:tc>
        <w:tc>
          <w:tcPr>
            <w:tcW w:w="1118" w:type="dxa"/>
          </w:tcPr>
          <w:p w14:paraId="10189834">
            <w:pPr>
              <w:widowControl w:val="0"/>
              <w:jc w:val="center"/>
              <w:textAlignment w:val="auto"/>
              <w:rPr>
                <w:kern w:val="0"/>
                <w:sz w:val="44"/>
                <w:szCs w:val="44"/>
              </w:rPr>
            </w:pPr>
          </w:p>
        </w:tc>
        <w:tc>
          <w:tcPr>
            <w:tcW w:w="1119" w:type="dxa"/>
          </w:tcPr>
          <w:p w14:paraId="7F4DE470">
            <w:pPr>
              <w:widowControl w:val="0"/>
              <w:jc w:val="center"/>
              <w:textAlignment w:val="auto"/>
              <w:rPr>
                <w:kern w:val="0"/>
                <w:sz w:val="44"/>
                <w:szCs w:val="44"/>
              </w:rPr>
            </w:pPr>
          </w:p>
        </w:tc>
        <w:tc>
          <w:tcPr>
            <w:tcW w:w="1119" w:type="dxa"/>
          </w:tcPr>
          <w:p w14:paraId="76A71EE6">
            <w:pPr>
              <w:widowControl w:val="0"/>
              <w:jc w:val="center"/>
              <w:textAlignment w:val="auto"/>
              <w:rPr>
                <w:kern w:val="0"/>
                <w:sz w:val="44"/>
                <w:szCs w:val="44"/>
              </w:rPr>
            </w:pPr>
          </w:p>
        </w:tc>
      </w:tr>
      <w:tr w14:paraId="1D78AC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9" w:type="dxa"/>
          </w:tcPr>
          <w:p w14:paraId="66A6134F">
            <w:pPr>
              <w:widowControl w:val="0"/>
              <w:jc w:val="center"/>
              <w:textAlignment w:val="auto"/>
              <w:rPr>
                <w:kern w:val="0"/>
                <w:sz w:val="44"/>
                <w:szCs w:val="44"/>
              </w:rPr>
            </w:pPr>
          </w:p>
        </w:tc>
        <w:tc>
          <w:tcPr>
            <w:tcW w:w="1577" w:type="dxa"/>
          </w:tcPr>
          <w:p w14:paraId="658917E6">
            <w:pPr>
              <w:widowControl w:val="0"/>
              <w:jc w:val="center"/>
              <w:textAlignment w:val="auto"/>
              <w:rPr>
                <w:kern w:val="0"/>
                <w:sz w:val="44"/>
                <w:szCs w:val="44"/>
              </w:rPr>
            </w:pPr>
          </w:p>
        </w:tc>
        <w:tc>
          <w:tcPr>
            <w:tcW w:w="1118" w:type="dxa"/>
          </w:tcPr>
          <w:p w14:paraId="5C63A879">
            <w:pPr>
              <w:widowControl w:val="0"/>
              <w:jc w:val="center"/>
              <w:textAlignment w:val="auto"/>
              <w:rPr>
                <w:kern w:val="0"/>
                <w:sz w:val="44"/>
                <w:szCs w:val="44"/>
              </w:rPr>
            </w:pPr>
          </w:p>
        </w:tc>
        <w:tc>
          <w:tcPr>
            <w:tcW w:w="1118" w:type="dxa"/>
          </w:tcPr>
          <w:p w14:paraId="6DDCC9B6">
            <w:pPr>
              <w:widowControl w:val="0"/>
              <w:jc w:val="center"/>
              <w:textAlignment w:val="auto"/>
              <w:rPr>
                <w:kern w:val="0"/>
                <w:sz w:val="44"/>
                <w:szCs w:val="44"/>
              </w:rPr>
            </w:pPr>
          </w:p>
        </w:tc>
        <w:tc>
          <w:tcPr>
            <w:tcW w:w="1118" w:type="dxa"/>
          </w:tcPr>
          <w:p w14:paraId="6B27243D">
            <w:pPr>
              <w:widowControl w:val="0"/>
              <w:jc w:val="center"/>
              <w:textAlignment w:val="auto"/>
              <w:rPr>
                <w:kern w:val="0"/>
                <w:sz w:val="44"/>
                <w:szCs w:val="44"/>
              </w:rPr>
            </w:pPr>
          </w:p>
        </w:tc>
        <w:tc>
          <w:tcPr>
            <w:tcW w:w="1118" w:type="dxa"/>
          </w:tcPr>
          <w:p w14:paraId="48C711C1">
            <w:pPr>
              <w:widowControl w:val="0"/>
              <w:jc w:val="center"/>
              <w:textAlignment w:val="auto"/>
              <w:rPr>
                <w:kern w:val="0"/>
                <w:sz w:val="44"/>
                <w:szCs w:val="44"/>
              </w:rPr>
            </w:pPr>
          </w:p>
        </w:tc>
        <w:tc>
          <w:tcPr>
            <w:tcW w:w="1119" w:type="dxa"/>
          </w:tcPr>
          <w:p w14:paraId="69D207C8">
            <w:pPr>
              <w:widowControl w:val="0"/>
              <w:jc w:val="center"/>
              <w:textAlignment w:val="auto"/>
              <w:rPr>
                <w:kern w:val="0"/>
                <w:sz w:val="44"/>
                <w:szCs w:val="44"/>
              </w:rPr>
            </w:pPr>
          </w:p>
        </w:tc>
        <w:tc>
          <w:tcPr>
            <w:tcW w:w="1119" w:type="dxa"/>
          </w:tcPr>
          <w:p w14:paraId="50B7DBC8">
            <w:pPr>
              <w:widowControl w:val="0"/>
              <w:jc w:val="center"/>
              <w:textAlignment w:val="auto"/>
              <w:rPr>
                <w:kern w:val="0"/>
                <w:sz w:val="44"/>
                <w:szCs w:val="44"/>
              </w:rPr>
            </w:pPr>
          </w:p>
        </w:tc>
      </w:tr>
      <w:tr w14:paraId="338E4E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9" w:type="dxa"/>
          </w:tcPr>
          <w:p w14:paraId="1B3CF903">
            <w:pPr>
              <w:widowControl w:val="0"/>
              <w:jc w:val="center"/>
              <w:textAlignment w:val="auto"/>
              <w:rPr>
                <w:kern w:val="0"/>
                <w:sz w:val="44"/>
                <w:szCs w:val="44"/>
              </w:rPr>
            </w:pPr>
          </w:p>
        </w:tc>
        <w:tc>
          <w:tcPr>
            <w:tcW w:w="1577" w:type="dxa"/>
          </w:tcPr>
          <w:p w14:paraId="0E110206">
            <w:pPr>
              <w:widowControl w:val="0"/>
              <w:jc w:val="center"/>
              <w:textAlignment w:val="auto"/>
              <w:rPr>
                <w:kern w:val="0"/>
                <w:sz w:val="44"/>
                <w:szCs w:val="44"/>
              </w:rPr>
            </w:pPr>
          </w:p>
        </w:tc>
        <w:tc>
          <w:tcPr>
            <w:tcW w:w="1118" w:type="dxa"/>
          </w:tcPr>
          <w:p w14:paraId="307F3E04">
            <w:pPr>
              <w:widowControl w:val="0"/>
              <w:jc w:val="center"/>
              <w:textAlignment w:val="auto"/>
              <w:rPr>
                <w:kern w:val="0"/>
                <w:sz w:val="44"/>
                <w:szCs w:val="44"/>
              </w:rPr>
            </w:pPr>
          </w:p>
        </w:tc>
        <w:tc>
          <w:tcPr>
            <w:tcW w:w="1118" w:type="dxa"/>
          </w:tcPr>
          <w:p w14:paraId="132DC8CB">
            <w:pPr>
              <w:widowControl w:val="0"/>
              <w:jc w:val="center"/>
              <w:textAlignment w:val="auto"/>
              <w:rPr>
                <w:kern w:val="0"/>
                <w:sz w:val="44"/>
                <w:szCs w:val="44"/>
              </w:rPr>
            </w:pPr>
          </w:p>
        </w:tc>
        <w:tc>
          <w:tcPr>
            <w:tcW w:w="1118" w:type="dxa"/>
          </w:tcPr>
          <w:p w14:paraId="6CF12BC6">
            <w:pPr>
              <w:widowControl w:val="0"/>
              <w:jc w:val="center"/>
              <w:textAlignment w:val="auto"/>
              <w:rPr>
                <w:kern w:val="0"/>
                <w:sz w:val="44"/>
                <w:szCs w:val="44"/>
              </w:rPr>
            </w:pPr>
          </w:p>
        </w:tc>
        <w:tc>
          <w:tcPr>
            <w:tcW w:w="1118" w:type="dxa"/>
          </w:tcPr>
          <w:p w14:paraId="7369ABDD">
            <w:pPr>
              <w:widowControl w:val="0"/>
              <w:jc w:val="center"/>
              <w:textAlignment w:val="auto"/>
              <w:rPr>
                <w:kern w:val="0"/>
                <w:sz w:val="44"/>
                <w:szCs w:val="44"/>
              </w:rPr>
            </w:pPr>
          </w:p>
        </w:tc>
        <w:tc>
          <w:tcPr>
            <w:tcW w:w="1119" w:type="dxa"/>
          </w:tcPr>
          <w:p w14:paraId="5E0FBEA2">
            <w:pPr>
              <w:widowControl w:val="0"/>
              <w:jc w:val="center"/>
              <w:textAlignment w:val="auto"/>
              <w:rPr>
                <w:kern w:val="0"/>
                <w:sz w:val="44"/>
                <w:szCs w:val="44"/>
              </w:rPr>
            </w:pPr>
          </w:p>
        </w:tc>
        <w:tc>
          <w:tcPr>
            <w:tcW w:w="1119" w:type="dxa"/>
          </w:tcPr>
          <w:p w14:paraId="100D5EDF">
            <w:pPr>
              <w:widowControl w:val="0"/>
              <w:jc w:val="center"/>
              <w:textAlignment w:val="auto"/>
              <w:rPr>
                <w:kern w:val="0"/>
                <w:sz w:val="44"/>
                <w:szCs w:val="44"/>
              </w:rPr>
            </w:pPr>
          </w:p>
        </w:tc>
      </w:tr>
      <w:tr w14:paraId="787025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9" w:type="dxa"/>
          </w:tcPr>
          <w:p w14:paraId="07DB2F05">
            <w:pPr>
              <w:widowControl w:val="0"/>
              <w:jc w:val="center"/>
              <w:textAlignment w:val="auto"/>
              <w:rPr>
                <w:kern w:val="0"/>
                <w:sz w:val="44"/>
                <w:szCs w:val="44"/>
              </w:rPr>
            </w:pPr>
          </w:p>
        </w:tc>
        <w:tc>
          <w:tcPr>
            <w:tcW w:w="1577" w:type="dxa"/>
          </w:tcPr>
          <w:p w14:paraId="3EB7B970">
            <w:pPr>
              <w:widowControl w:val="0"/>
              <w:jc w:val="center"/>
              <w:textAlignment w:val="auto"/>
              <w:rPr>
                <w:kern w:val="0"/>
                <w:sz w:val="44"/>
                <w:szCs w:val="44"/>
              </w:rPr>
            </w:pPr>
          </w:p>
        </w:tc>
        <w:tc>
          <w:tcPr>
            <w:tcW w:w="1118" w:type="dxa"/>
          </w:tcPr>
          <w:p w14:paraId="59AC7E48">
            <w:pPr>
              <w:widowControl w:val="0"/>
              <w:jc w:val="center"/>
              <w:textAlignment w:val="auto"/>
              <w:rPr>
                <w:kern w:val="0"/>
                <w:sz w:val="44"/>
                <w:szCs w:val="44"/>
              </w:rPr>
            </w:pPr>
          </w:p>
        </w:tc>
        <w:tc>
          <w:tcPr>
            <w:tcW w:w="1118" w:type="dxa"/>
          </w:tcPr>
          <w:p w14:paraId="68972C0C">
            <w:pPr>
              <w:widowControl w:val="0"/>
              <w:jc w:val="center"/>
              <w:textAlignment w:val="auto"/>
              <w:rPr>
                <w:kern w:val="0"/>
                <w:sz w:val="44"/>
                <w:szCs w:val="44"/>
              </w:rPr>
            </w:pPr>
          </w:p>
        </w:tc>
        <w:tc>
          <w:tcPr>
            <w:tcW w:w="1118" w:type="dxa"/>
          </w:tcPr>
          <w:p w14:paraId="11B4DB9C">
            <w:pPr>
              <w:widowControl w:val="0"/>
              <w:jc w:val="center"/>
              <w:textAlignment w:val="auto"/>
              <w:rPr>
                <w:kern w:val="0"/>
                <w:sz w:val="44"/>
                <w:szCs w:val="44"/>
              </w:rPr>
            </w:pPr>
          </w:p>
        </w:tc>
        <w:tc>
          <w:tcPr>
            <w:tcW w:w="1118" w:type="dxa"/>
          </w:tcPr>
          <w:p w14:paraId="0005C6E0">
            <w:pPr>
              <w:widowControl w:val="0"/>
              <w:jc w:val="center"/>
              <w:textAlignment w:val="auto"/>
              <w:rPr>
                <w:kern w:val="0"/>
                <w:sz w:val="44"/>
                <w:szCs w:val="44"/>
              </w:rPr>
            </w:pPr>
          </w:p>
        </w:tc>
        <w:tc>
          <w:tcPr>
            <w:tcW w:w="1119" w:type="dxa"/>
          </w:tcPr>
          <w:p w14:paraId="72648022">
            <w:pPr>
              <w:widowControl w:val="0"/>
              <w:jc w:val="center"/>
              <w:textAlignment w:val="auto"/>
              <w:rPr>
                <w:kern w:val="0"/>
                <w:sz w:val="44"/>
                <w:szCs w:val="44"/>
              </w:rPr>
            </w:pPr>
          </w:p>
        </w:tc>
        <w:tc>
          <w:tcPr>
            <w:tcW w:w="1119" w:type="dxa"/>
          </w:tcPr>
          <w:p w14:paraId="5D00A78B">
            <w:pPr>
              <w:widowControl w:val="0"/>
              <w:jc w:val="center"/>
              <w:textAlignment w:val="auto"/>
              <w:rPr>
                <w:kern w:val="0"/>
                <w:sz w:val="44"/>
                <w:szCs w:val="44"/>
              </w:rPr>
            </w:pPr>
          </w:p>
        </w:tc>
      </w:tr>
      <w:tr w14:paraId="692114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9" w:type="dxa"/>
          </w:tcPr>
          <w:p w14:paraId="52D13893">
            <w:pPr>
              <w:widowControl w:val="0"/>
              <w:jc w:val="center"/>
              <w:textAlignment w:val="auto"/>
              <w:rPr>
                <w:kern w:val="0"/>
                <w:sz w:val="44"/>
                <w:szCs w:val="44"/>
              </w:rPr>
            </w:pPr>
          </w:p>
        </w:tc>
        <w:tc>
          <w:tcPr>
            <w:tcW w:w="1577" w:type="dxa"/>
          </w:tcPr>
          <w:p w14:paraId="72509503">
            <w:pPr>
              <w:widowControl w:val="0"/>
              <w:jc w:val="center"/>
              <w:textAlignment w:val="auto"/>
              <w:rPr>
                <w:kern w:val="0"/>
                <w:sz w:val="44"/>
                <w:szCs w:val="44"/>
              </w:rPr>
            </w:pPr>
          </w:p>
        </w:tc>
        <w:tc>
          <w:tcPr>
            <w:tcW w:w="1118" w:type="dxa"/>
          </w:tcPr>
          <w:p w14:paraId="6B1C9B29">
            <w:pPr>
              <w:widowControl w:val="0"/>
              <w:jc w:val="center"/>
              <w:textAlignment w:val="auto"/>
              <w:rPr>
                <w:kern w:val="0"/>
                <w:sz w:val="44"/>
                <w:szCs w:val="44"/>
              </w:rPr>
            </w:pPr>
          </w:p>
        </w:tc>
        <w:tc>
          <w:tcPr>
            <w:tcW w:w="1118" w:type="dxa"/>
          </w:tcPr>
          <w:p w14:paraId="3FE08C28">
            <w:pPr>
              <w:widowControl w:val="0"/>
              <w:jc w:val="center"/>
              <w:textAlignment w:val="auto"/>
              <w:rPr>
                <w:kern w:val="0"/>
                <w:sz w:val="44"/>
                <w:szCs w:val="44"/>
              </w:rPr>
            </w:pPr>
          </w:p>
        </w:tc>
        <w:tc>
          <w:tcPr>
            <w:tcW w:w="1118" w:type="dxa"/>
          </w:tcPr>
          <w:p w14:paraId="184B798D">
            <w:pPr>
              <w:widowControl w:val="0"/>
              <w:jc w:val="center"/>
              <w:textAlignment w:val="auto"/>
              <w:rPr>
                <w:kern w:val="0"/>
                <w:sz w:val="44"/>
                <w:szCs w:val="44"/>
              </w:rPr>
            </w:pPr>
          </w:p>
        </w:tc>
        <w:tc>
          <w:tcPr>
            <w:tcW w:w="1118" w:type="dxa"/>
          </w:tcPr>
          <w:p w14:paraId="78AC0E5D">
            <w:pPr>
              <w:widowControl w:val="0"/>
              <w:jc w:val="center"/>
              <w:textAlignment w:val="auto"/>
              <w:rPr>
                <w:kern w:val="0"/>
                <w:sz w:val="44"/>
                <w:szCs w:val="44"/>
              </w:rPr>
            </w:pPr>
          </w:p>
        </w:tc>
        <w:tc>
          <w:tcPr>
            <w:tcW w:w="1119" w:type="dxa"/>
          </w:tcPr>
          <w:p w14:paraId="5C9D5A38">
            <w:pPr>
              <w:widowControl w:val="0"/>
              <w:jc w:val="center"/>
              <w:textAlignment w:val="auto"/>
              <w:rPr>
                <w:kern w:val="0"/>
                <w:sz w:val="44"/>
                <w:szCs w:val="44"/>
              </w:rPr>
            </w:pPr>
          </w:p>
        </w:tc>
        <w:tc>
          <w:tcPr>
            <w:tcW w:w="1119" w:type="dxa"/>
          </w:tcPr>
          <w:p w14:paraId="5752CC95">
            <w:pPr>
              <w:widowControl w:val="0"/>
              <w:jc w:val="center"/>
              <w:textAlignment w:val="auto"/>
              <w:rPr>
                <w:kern w:val="0"/>
                <w:sz w:val="44"/>
                <w:szCs w:val="44"/>
              </w:rPr>
            </w:pPr>
          </w:p>
        </w:tc>
      </w:tr>
      <w:tr w14:paraId="0E272C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9" w:type="dxa"/>
          </w:tcPr>
          <w:p w14:paraId="0DA0C02C">
            <w:pPr>
              <w:widowControl w:val="0"/>
              <w:jc w:val="center"/>
              <w:textAlignment w:val="auto"/>
              <w:rPr>
                <w:kern w:val="0"/>
                <w:sz w:val="44"/>
                <w:szCs w:val="44"/>
              </w:rPr>
            </w:pPr>
          </w:p>
        </w:tc>
        <w:tc>
          <w:tcPr>
            <w:tcW w:w="1577" w:type="dxa"/>
          </w:tcPr>
          <w:p w14:paraId="34CEAAE6">
            <w:pPr>
              <w:widowControl w:val="0"/>
              <w:jc w:val="center"/>
              <w:textAlignment w:val="auto"/>
              <w:rPr>
                <w:kern w:val="0"/>
                <w:sz w:val="44"/>
                <w:szCs w:val="44"/>
              </w:rPr>
            </w:pPr>
          </w:p>
        </w:tc>
        <w:tc>
          <w:tcPr>
            <w:tcW w:w="1118" w:type="dxa"/>
          </w:tcPr>
          <w:p w14:paraId="40F92B32">
            <w:pPr>
              <w:widowControl w:val="0"/>
              <w:jc w:val="center"/>
              <w:textAlignment w:val="auto"/>
              <w:rPr>
                <w:kern w:val="0"/>
                <w:sz w:val="44"/>
                <w:szCs w:val="44"/>
              </w:rPr>
            </w:pPr>
          </w:p>
        </w:tc>
        <w:tc>
          <w:tcPr>
            <w:tcW w:w="1118" w:type="dxa"/>
          </w:tcPr>
          <w:p w14:paraId="4E671C7A">
            <w:pPr>
              <w:widowControl w:val="0"/>
              <w:jc w:val="center"/>
              <w:textAlignment w:val="auto"/>
              <w:rPr>
                <w:kern w:val="0"/>
                <w:sz w:val="44"/>
                <w:szCs w:val="44"/>
              </w:rPr>
            </w:pPr>
          </w:p>
        </w:tc>
        <w:tc>
          <w:tcPr>
            <w:tcW w:w="1118" w:type="dxa"/>
          </w:tcPr>
          <w:p w14:paraId="0D2246F3">
            <w:pPr>
              <w:widowControl w:val="0"/>
              <w:jc w:val="center"/>
              <w:textAlignment w:val="auto"/>
              <w:rPr>
                <w:kern w:val="0"/>
                <w:sz w:val="44"/>
                <w:szCs w:val="44"/>
              </w:rPr>
            </w:pPr>
          </w:p>
        </w:tc>
        <w:tc>
          <w:tcPr>
            <w:tcW w:w="1118" w:type="dxa"/>
          </w:tcPr>
          <w:p w14:paraId="75BF92B3">
            <w:pPr>
              <w:widowControl w:val="0"/>
              <w:jc w:val="center"/>
              <w:textAlignment w:val="auto"/>
              <w:rPr>
                <w:kern w:val="0"/>
                <w:sz w:val="44"/>
                <w:szCs w:val="44"/>
              </w:rPr>
            </w:pPr>
          </w:p>
        </w:tc>
        <w:tc>
          <w:tcPr>
            <w:tcW w:w="1119" w:type="dxa"/>
          </w:tcPr>
          <w:p w14:paraId="262123AE">
            <w:pPr>
              <w:widowControl w:val="0"/>
              <w:jc w:val="center"/>
              <w:textAlignment w:val="auto"/>
              <w:rPr>
                <w:kern w:val="0"/>
                <w:sz w:val="44"/>
                <w:szCs w:val="44"/>
              </w:rPr>
            </w:pPr>
          </w:p>
        </w:tc>
        <w:tc>
          <w:tcPr>
            <w:tcW w:w="1119" w:type="dxa"/>
          </w:tcPr>
          <w:p w14:paraId="3C174CCE">
            <w:pPr>
              <w:widowControl w:val="0"/>
              <w:jc w:val="center"/>
              <w:textAlignment w:val="auto"/>
              <w:rPr>
                <w:kern w:val="0"/>
                <w:sz w:val="44"/>
                <w:szCs w:val="44"/>
              </w:rPr>
            </w:pPr>
          </w:p>
        </w:tc>
      </w:tr>
      <w:tr w14:paraId="35ED37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9" w:type="dxa"/>
          </w:tcPr>
          <w:p w14:paraId="2F4BE0C2">
            <w:pPr>
              <w:widowControl w:val="0"/>
              <w:jc w:val="center"/>
              <w:textAlignment w:val="auto"/>
              <w:rPr>
                <w:kern w:val="0"/>
                <w:sz w:val="44"/>
                <w:szCs w:val="44"/>
              </w:rPr>
            </w:pPr>
          </w:p>
        </w:tc>
        <w:tc>
          <w:tcPr>
            <w:tcW w:w="1577" w:type="dxa"/>
          </w:tcPr>
          <w:p w14:paraId="6250F8FB">
            <w:pPr>
              <w:widowControl w:val="0"/>
              <w:jc w:val="center"/>
              <w:textAlignment w:val="auto"/>
              <w:rPr>
                <w:kern w:val="0"/>
                <w:sz w:val="44"/>
                <w:szCs w:val="44"/>
              </w:rPr>
            </w:pPr>
          </w:p>
        </w:tc>
        <w:tc>
          <w:tcPr>
            <w:tcW w:w="1118" w:type="dxa"/>
          </w:tcPr>
          <w:p w14:paraId="1DF02F10">
            <w:pPr>
              <w:widowControl w:val="0"/>
              <w:jc w:val="center"/>
              <w:textAlignment w:val="auto"/>
              <w:rPr>
                <w:kern w:val="0"/>
                <w:sz w:val="44"/>
                <w:szCs w:val="44"/>
              </w:rPr>
            </w:pPr>
          </w:p>
        </w:tc>
        <w:tc>
          <w:tcPr>
            <w:tcW w:w="1118" w:type="dxa"/>
          </w:tcPr>
          <w:p w14:paraId="3E6F5069">
            <w:pPr>
              <w:widowControl w:val="0"/>
              <w:jc w:val="center"/>
              <w:textAlignment w:val="auto"/>
              <w:rPr>
                <w:kern w:val="0"/>
                <w:sz w:val="44"/>
                <w:szCs w:val="44"/>
              </w:rPr>
            </w:pPr>
          </w:p>
        </w:tc>
        <w:tc>
          <w:tcPr>
            <w:tcW w:w="1118" w:type="dxa"/>
          </w:tcPr>
          <w:p w14:paraId="7B966377">
            <w:pPr>
              <w:widowControl w:val="0"/>
              <w:jc w:val="center"/>
              <w:textAlignment w:val="auto"/>
              <w:rPr>
                <w:kern w:val="0"/>
                <w:sz w:val="44"/>
                <w:szCs w:val="44"/>
              </w:rPr>
            </w:pPr>
          </w:p>
        </w:tc>
        <w:tc>
          <w:tcPr>
            <w:tcW w:w="1118" w:type="dxa"/>
          </w:tcPr>
          <w:p w14:paraId="3793291D">
            <w:pPr>
              <w:widowControl w:val="0"/>
              <w:jc w:val="center"/>
              <w:textAlignment w:val="auto"/>
              <w:rPr>
                <w:kern w:val="0"/>
                <w:sz w:val="44"/>
                <w:szCs w:val="44"/>
              </w:rPr>
            </w:pPr>
          </w:p>
        </w:tc>
        <w:tc>
          <w:tcPr>
            <w:tcW w:w="1119" w:type="dxa"/>
          </w:tcPr>
          <w:p w14:paraId="051E18D6">
            <w:pPr>
              <w:widowControl w:val="0"/>
              <w:jc w:val="center"/>
              <w:textAlignment w:val="auto"/>
              <w:rPr>
                <w:kern w:val="0"/>
                <w:sz w:val="44"/>
                <w:szCs w:val="44"/>
              </w:rPr>
            </w:pPr>
          </w:p>
        </w:tc>
        <w:tc>
          <w:tcPr>
            <w:tcW w:w="1119" w:type="dxa"/>
          </w:tcPr>
          <w:p w14:paraId="48D002CC">
            <w:pPr>
              <w:widowControl w:val="0"/>
              <w:jc w:val="center"/>
              <w:textAlignment w:val="auto"/>
              <w:rPr>
                <w:kern w:val="0"/>
                <w:sz w:val="44"/>
                <w:szCs w:val="44"/>
              </w:rPr>
            </w:pPr>
          </w:p>
        </w:tc>
      </w:tr>
      <w:tr w14:paraId="711BD9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9" w:type="dxa"/>
          </w:tcPr>
          <w:p w14:paraId="72AC26EA">
            <w:pPr>
              <w:widowControl w:val="0"/>
              <w:jc w:val="center"/>
              <w:textAlignment w:val="auto"/>
              <w:rPr>
                <w:kern w:val="0"/>
                <w:sz w:val="44"/>
                <w:szCs w:val="44"/>
              </w:rPr>
            </w:pPr>
          </w:p>
        </w:tc>
        <w:tc>
          <w:tcPr>
            <w:tcW w:w="1577" w:type="dxa"/>
          </w:tcPr>
          <w:p w14:paraId="39D7FD7B">
            <w:pPr>
              <w:widowControl w:val="0"/>
              <w:jc w:val="center"/>
              <w:textAlignment w:val="auto"/>
              <w:rPr>
                <w:kern w:val="0"/>
                <w:sz w:val="44"/>
                <w:szCs w:val="44"/>
              </w:rPr>
            </w:pPr>
          </w:p>
        </w:tc>
        <w:tc>
          <w:tcPr>
            <w:tcW w:w="1118" w:type="dxa"/>
          </w:tcPr>
          <w:p w14:paraId="1EB74F6F">
            <w:pPr>
              <w:widowControl w:val="0"/>
              <w:jc w:val="center"/>
              <w:textAlignment w:val="auto"/>
              <w:rPr>
                <w:kern w:val="0"/>
                <w:sz w:val="44"/>
                <w:szCs w:val="44"/>
              </w:rPr>
            </w:pPr>
          </w:p>
        </w:tc>
        <w:tc>
          <w:tcPr>
            <w:tcW w:w="1118" w:type="dxa"/>
          </w:tcPr>
          <w:p w14:paraId="001377F8">
            <w:pPr>
              <w:widowControl w:val="0"/>
              <w:jc w:val="center"/>
              <w:textAlignment w:val="auto"/>
              <w:rPr>
                <w:kern w:val="0"/>
                <w:sz w:val="44"/>
                <w:szCs w:val="44"/>
              </w:rPr>
            </w:pPr>
          </w:p>
        </w:tc>
        <w:tc>
          <w:tcPr>
            <w:tcW w:w="1118" w:type="dxa"/>
          </w:tcPr>
          <w:p w14:paraId="0A2271C6">
            <w:pPr>
              <w:widowControl w:val="0"/>
              <w:jc w:val="center"/>
              <w:textAlignment w:val="auto"/>
              <w:rPr>
                <w:kern w:val="0"/>
                <w:sz w:val="44"/>
                <w:szCs w:val="44"/>
              </w:rPr>
            </w:pPr>
          </w:p>
        </w:tc>
        <w:tc>
          <w:tcPr>
            <w:tcW w:w="1118" w:type="dxa"/>
          </w:tcPr>
          <w:p w14:paraId="731A6FB6">
            <w:pPr>
              <w:widowControl w:val="0"/>
              <w:jc w:val="center"/>
              <w:textAlignment w:val="auto"/>
              <w:rPr>
                <w:kern w:val="0"/>
                <w:sz w:val="44"/>
                <w:szCs w:val="44"/>
              </w:rPr>
            </w:pPr>
          </w:p>
        </w:tc>
        <w:tc>
          <w:tcPr>
            <w:tcW w:w="1119" w:type="dxa"/>
          </w:tcPr>
          <w:p w14:paraId="64A6714B">
            <w:pPr>
              <w:widowControl w:val="0"/>
              <w:jc w:val="center"/>
              <w:textAlignment w:val="auto"/>
              <w:rPr>
                <w:kern w:val="0"/>
                <w:sz w:val="44"/>
                <w:szCs w:val="44"/>
              </w:rPr>
            </w:pPr>
          </w:p>
        </w:tc>
        <w:tc>
          <w:tcPr>
            <w:tcW w:w="1119" w:type="dxa"/>
          </w:tcPr>
          <w:p w14:paraId="336811E4">
            <w:pPr>
              <w:widowControl w:val="0"/>
              <w:jc w:val="center"/>
              <w:textAlignment w:val="auto"/>
              <w:rPr>
                <w:kern w:val="0"/>
                <w:sz w:val="44"/>
                <w:szCs w:val="44"/>
              </w:rPr>
            </w:pPr>
          </w:p>
        </w:tc>
      </w:tr>
      <w:tr w14:paraId="7F4804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9" w:type="dxa"/>
          </w:tcPr>
          <w:p w14:paraId="6C75EA2C">
            <w:pPr>
              <w:widowControl w:val="0"/>
              <w:jc w:val="center"/>
              <w:textAlignment w:val="auto"/>
              <w:rPr>
                <w:kern w:val="0"/>
                <w:sz w:val="44"/>
                <w:szCs w:val="44"/>
              </w:rPr>
            </w:pPr>
          </w:p>
        </w:tc>
        <w:tc>
          <w:tcPr>
            <w:tcW w:w="1577" w:type="dxa"/>
          </w:tcPr>
          <w:p w14:paraId="5DA5C244">
            <w:pPr>
              <w:widowControl w:val="0"/>
              <w:jc w:val="center"/>
              <w:textAlignment w:val="auto"/>
              <w:rPr>
                <w:kern w:val="0"/>
                <w:sz w:val="44"/>
                <w:szCs w:val="44"/>
              </w:rPr>
            </w:pPr>
          </w:p>
        </w:tc>
        <w:tc>
          <w:tcPr>
            <w:tcW w:w="1118" w:type="dxa"/>
          </w:tcPr>
          <w:p w14:paraId="76046A5A">
            <w:pPr>
              <w:widowControl w:val="0"/>
              <w:jc w:val="center"/>
              <w:textAlignment w:val="auto"/>
              <w:rPr>
                <w:kern w:val="0"/>
                <w:sz w:val="44"/>
                <w:szCs w:val="44"/>
              </w:rPr>
            </w:pPr>
          </w:p>
        </w:tc>
        <w:tc>
          <w:tcPr>
            <w:tcW w:w="1118" w:type="dxa"/>
          </w:tcPr>
          <w:p w14:paraId="76D59CDE">
            <w:pPr>
              <w:widowControl w:val="0"/>
              <w:jc w:val="center"/>
              <w:textAlignment w:val="auto"/>
              <w:rPr>
                <w:kern w:val="0"/>
                <w:sz w:val="44"/>
                <w:szCs w:val="44"/>
              </w:rPr>
            </w:pPr>
          </w:p>
        </w:tc>
        <w:tc>
          <w:tcPr>
            <w:tcW w:w="1118" w:type="dxa"/>
          </w:tcPr>
          <w:p w14:paraId="53739CEE">
            <w:pPr>
              <w:widowControl w:val="0"/>
              <w:jc w:val="center"/>
              <w:textAlignment w:val="auto"/>
              <w:rPr>
                <w:kern w:val="0"/>
                <w:sz w:val="44"/>
                <w:szCs w:val="44"/>
              </w:rPr>
            </w:pPr>
          </w:p>
        </w:tc>
        <w:tc>
          <w:tcPr>
            <w:tcW w:w="1118" w:type="dxa"/>
          </w:tcPr>
          <w:p w14:paraId="6BD07771">
            <w:pPr>
              <w:widowControl w:val="0"/>
              <w:jc w:val="center"/>
              <w:textAlignment w:val="auto"/>
              <w:rPr>
                <w:kern w:val="0"/>
                <w:sz w:val="44"/>
                <w:szCs w:val="44"/>
              </w:rPr>
            </w:pPr>
          </w:p>
        </w:tc>
        <w:tc>
          <w:tcPr>
            <w:tcW w:w="1119" w:type="dxa"/>
          </w:tcPr>
          <w:p w14:paraId="6D6EA032">
            <w:pPr>
              <w:widowControl w:val="0"/>
              <w:jc w:val="center"/>
              <w:textAlignment w:val="auto"/>
              <w:rPr>
                <w:kern w:val="0"/>
                <w:sz w:val="44"/>
                <w:szCs w:val="44"/>
              </w:rPr>
            </w:pPr>
          </w:p>
        </w:tc>
        <w:tc>
          <w:tcPr>
            <w:tcW w:w="1119" w:type="dxa"/>
          </w:tcPr>
          <w:p w14:paraId="2B1A0DA6">
            <w:pPr>
              <w:widowControl w:val="0"/>
              <w:jc w:val="center"/>
              <w:textAlignment w:val="auto"/>
              <w:rPr>
                <w:kern w:val="0"/>
                <w:sz w:val="44"/>
                <w:szCs w:val="44"/>
              </w:rPr>
            </w:pPr>
          </w:p>
        </w:tc>
      </w:tr>
      <w:tr w14:paraId="7E57D0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9" w:type="dxa"/>
          </w:tcPr>
          <w:p w14:paraId="46BC4C4D">
            <w:pPr>
              <w:widowControl w:val="0"/>
              <w:jc w:val="center"/>
              <w:textAlignment w:val="auto"/>
              <w:rPr>
                <w:kern w:val="0"/>
                <w:sz w:val="44"/>
                <w:szCs w:val="44"/>
              </w:rPr>
            </w:pPr>
          </w:p>
        </w:tc>
        <w:tc>
          <w:tcPr>
            <w:tcW w:w="1577" w:type="dxa"/>
          </w:tcPr>
          <w:p w14:paraId="4D380F67">
            <w:pPr>
              <w:widowControl w:val="0"/>
              <w:jc w:val="center"/>
              <w:textAlignment w:val="auto"/>
              <w:rPr>
                <w:kern w:val="0"/>
                <w:sz w:val="44"/>
                <w:szCs w:val="44"/>
              </w:rPr>
            </w:pPr>
          </w:p>
        </w:tc>
        <w:tc>
          <w:tcPr>
            <w:tcW w:w="1118" w:type="dxa"/>
          </w:tcPr>
          <w:p w14:paraId="0259AE03">
            <w:pPr>
              <w:widowControl w:val="0"/>
              <w:jc w:val="center"/>
              <w:textAlignment w:val="auto"/>
              <w:rPr>
                <w:kern w:val="0"/>
                <w:sz w:val="44"/>
                <w:szCs w:val="44"/>
              </w:rPr>
            </w:pPr>
          </w:p>
        </w:tc>
        <w:tc>
          <w:tcPr>
            <w:tcW w:w="1118" w:type="dxa"/>
          </w:tcPr>
          <w:p w14:paraId="72F51F0E">
            <w:pPr>
              <w:widowControl w:val="0"/>
              <w:jc w:val="center"/>
              <w:textAlignment w:val="auto"/>
              <w:rPr>
                <w:kern w:val="0"/>
                <w:sz w:val="44"/>
                <w:szCs w:val="44"/>
              </w:rPr>
            </w:pPr>
          </w:p>
        </w:tc>
        <w:tc>
          <w:tcPr>
            <w:tcW w:w="1118" w:type="dxa"/>
          </w:tcPr>
          <w:p w14:paraId="413E312C">
            <w:pPr>
              <w:widowControl w:val="0"/>
              <w:jc w:val="center"/>
              <w:textAlignment w:val="auto"/>
              <w:rPr>
                <w:kern w:val="0"/>
                <w:sz w:val="44"/>
                <w:szCs w:val="44"/>
              </w:rPr>
            </w:pPr>
          </w:p>
        </w:tc>
        <w:tc>
          <w:tcPr>
            <w:tcW w:w="1118" w:type="dxa"/>
          </w:tcPr>
          <w:p w14:paraId="7C241359">
            <w:pPr>
              <w:widowControl w:val="0"/>
              <w:jc w:val="center"/>
              <w:textAlignment w:val="auto"/>
              <w:rPr>
                <w:kern w:val="0"/>
                <w:sz w:val="44"/>
                <w:szCs w:val="44"/>
              </w:rPr>
            </w:pPr>
          </w:p>
        </w:tc>
        <w:tc>
          <w:tcPr>
            <w:tcW w:w="1119" w:type="dxa"/>
          </w:tcPr>
          <w:p w14:paraId="7874FE00">
            <w:pPr>
              <w:widowControl w:val="0"/>
              <w:jc w:val="center"/>
              <w:textAlignment w:val="auto"/>
              <w:rPr>
                <w:kern w:val="0"/>
                <w:sz w:val="44"/>
                <w:szCs w:val="44"/>
              </w:rPr>
            </w:pPr>
          </w:p>
        </w:tc>
        <w:tc>
          <w:tcPr>
            <w:tcW w:w="1119" w:type="dxa"/>
          </w:tcPr>
          <w:p w14:paraId="0172F5B4">
            <w:pPr>
              <w:widowControl w:val="0"/>
              <w:jc w:val="center"/>
              <w:textAlignment w:val="auto"/>
              <w:rPr>
                <w:kern w:val="0"/>
                <w:sz w:val="44"/>
                <w:szCs w:val="44"/>
              </w:rPr>
            </w:pPr>
          </w:p>
        </w:tc>
      </w:tr>
      <w:tr w14:paraId="5AD074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9" w:type="dxa"/>
          </w:tcPr>
          <w:p w14:paraId="6E6A7810">
            <w:pPr>
              <w:widowControl w:val="0"/>
              <w:jc w:val="center"/>
              <w:textAlignment w:val="auto"/>
              <w:rPr>
                <w:kern w:val="0"/>
                <w:sz w:val="44"/>
                <w:szCs w:val="44"/>
              </w:rPr>
            </w:pPr>
          </w:p>
        </w:tc>
        <w:tc>
          <w:tcPr>
            <w:tcW w:w="1577" w:type="dxa"/>
          </w:tcPr>
          <w:p w14:paraId="1DE2423F">
            <w:pPr>
              <w:widowControl w:val="0"/>
              <w:jc w:val="center"/>
              <w:textAlignment w:val="auto"/>
              <w:rPr>
                <w:kern w:val="0"/>
                <w:sz w:val="44"/>
                <w:szCs w:val="44"/>
              </w:rPr>
            </w:pPr>
          </w:p>
        </w:tc>
        <w:tc>
          <w:tcPr>
            <w:tcW w:w="1118" w:type="dxa"/>
          </w:tcPr>
          <w:p w14:paraId="4606058C">
            <w:pPr>
              <w:widowControl w:val="0"/>
              <w:jc w:val="center"/>
              <w:textAlignment w:val="auto"/>
              <w:rPr>
                <w:kern w:val="0"/>
                <w:sz w:val="44"/>
                <w:szCs w:val="44"/>
              </w:rPr>
            </w:pPr>
          </w:p>
        </w:tc>
        <w:tc>
          <w:tcPr>
            <w:tcW w:w="1118" w:type="dxa"/>
          </w:tcPr>
          <w:p w14:paraId="358FF3CC">
            <w:pPr>
              <w:widowControl w:val="0"/>
              <w:jc w:val="center"/>
              <w:textAlignment w:val="auto"/>
              <w:rPr>
                <w:kern w:val="0"/>
                <w:sz w:val="44"/>
                <w:szCs w:val="44"/>
              </w:rPr>
            </w:pPr>
          </w:p>
        </w:tc>
        <w:tc>
          <w:tcPr>
            <w:tcW w:w="1118" w:type="dxa"/>
          </w:tcPr>
          <w:p w14:paraId="61382546">
            <w:pPr>
              <w:widowControl w:val="0"/>
              <w:jc w:val="center"/>
              <w:textAlignment w:val="auto"/>
              <w:rPr>
                <w:kern w:val="0"/>
                <w:sz w:val="44"/>
                <w:szCs w:val="44"/>
              </w:rPr>
            </w:pPr>
          </w:p>
        </w:tc>
        <w:tc>
          <w:tcPr>
            <w:tcW w:w="1118" w:type="dxa"/>
          </w:tcPr>
          <w:p w14:paraId="7092FF65">
            <w:pPr>
              <w:widowControl w:val="0"/>
              <w:jc w:val="center"/>
              <w:textAlignment w:val="auto"/>
              <w:rPr>
                <w:kern w:val="0"/>
                <w:sz w:val="44"/>
                <w:szCs w:val="44"/>
              </w:rPr>
            </w:pPr>
          </w:p>
        </w:tc>
        <w:tc>
          <w:tcPr>
            <w:tcW w:w="1119" w:type="dxa"/>
          </w:tcPr>
          <w:p w14:paraId="1A7D2FC5">
            <w:pPr>
              <w:widowControl w:val="0"/>
              <w:jc w:val="center"/>
              <w:textAlignment w:val="auto"/>
              <w:rPr>
                <w:kern w:val="0"/>
                <w:sz w:val="44"/>
                <w:szCs w:val="44"/>
              </w:rPr>
            </w:pPr>
          </w:p>
        </w:tc>
        <w:tc>
          <w:tcPr>
            <w:tcW w:w="1119" w:type="dxa"/>
          </w:tcPr>
          <w:p w14:paraId="64829E29">
            <w:pPr>
              <w:widowControl w:val="0"/>
              <w:jc w:val="center"/>
              <w:textAlignment w:val="auto"/>
              <w:rPr>
                <w:kern w:val="0"/>
                <w:sz w:val="44"/>
                <w:szCs w:val="44"/>
              </w:rPr>
            </w:pPr>
          </w:p>
        </w:tc>
      </w:tr>
      <w:tr w14:paraId="389976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9" w:type="dxa"/>
          </w:tcPr>
          <w:p w14:paraId="50ABFE73">
            <w:pPr>
              <w:widowControl w:val="0"/>
              <w:jc w:val="center"/>
              <w:textAlignment w:val="auto"/>
              <w:rPr>
                <w:kern w:val="0"/>
                <w:sz w:val="44"/>
                <w:szCs w:val="44"/>
              </w:rPr>
            </w:pPr>
          </w:p>
        </w:tc>
        <w:tc>
          <w:tcPr>
            <w:tcW w:w="1577" w:type="dxa"/>
          </w:tcPr>
          <w:p w14:paraId="7E6C2CE7">
            <w:pPr>
              <w:widowControl w:val="0"/>
              <w:jc w:val="center"/>
              <w:textAlignment w:val="auto"/>
              <w:rPr>
                <w:kern w:val="0"/>
                <w:sz w:val="44"/>
                <w:szCs w:val="44"/>
              </w:rPr>
            </w:pPr>
          </w:p>
        </w:tc>
        <w:tc>
          <w:tcPr>
            <w:tcW w:w="1118" w:type="dxa"/>
          </w:tcPr>
          <w:p w14:paraId="2B257283">
            <w:pPr>
              <w:widowControl w:val="0"/>
              <w:jc w:val="center"/>
              <w:textAlignment w:val="auto"/>
              <w:rPr>
                <w:kern w:val="0"/>
                <w:sz w:val="44"/>
                <w:szCs w:val="44"/>
              </w:rPr>
            </w:pPr>
          </w:p>
        </w:tc>
        <w:tc>
          <w:tcPr>
            <w:tcW w:w="1118" w:type="dxa"/>
          </w:tcPr>
          <w:p w14:paraId="375C9BC9">
            <w:pPr>
              <w:widowControl w:val="0"/>
              <w:jc w:val="center"/>
              <w:textAlignment w:val="auto"/>
              <w:rPr>
                <w:kern w:val="0"/>
                <w:sz w:val="44"/>
                <w:szCs w:val="44"/>
              </w:rPr>
            </w:pPr>
          </w:p>
        </w:tc>
        <w:tc>
          <w:tcPr>
            <w:tcW w:w="1118" w:type="dxa"/>
          </w:tcPr>
          <w:p w14:paraId="40C1D39C">
            <w:pPr>
              <w:widowControl w:val="0"/>
              <w:jc w:val="center"/>
              <w:textAlignment w:val="auto"/>
              <w:rPr>
                <w:kern w:val="0"/>
                <w:sz w:val="44"/>
                <w:szCs w:val="44"/>
              </w:rPr>
            </w:pPr>
          </w:p>
        </w:tc>
        <w:tc>
          <w:tcPr>
            <w:tcW w:w="1118" w:type="dxa"/>
          </w:tcPr>
          <w:p w14:paraId="1A0F1D42">
            <w:pPr>
              <w:widowControl w:val="0"/>
              <w:jc w:val="center"/>
              <w:textAlignment w:val="auto"/>
              <w:rPr>
                <w:kern w:val="0"/>
                <w:sz w:val="44"/>
                <w:szCs w:val="44"/>
              </w:rPr>
            </w:pPr>
          </w:p>
        </w:tc>
        <w:tc>
          <w:tcPr>
            <w:tcW w:w="1119" w:type="dxa"/>
          </w:tcPr>
          <w:p w14:paraId="651F35A8">
            <w:pPr>
              <w:widowControl w:val="0"/>
              <w:jc w:val="center"/>
              <w:textAlignment w:val="auto"/>
              <w:rPr>
                <w:kern w:val="0"/>
                <w:sz w:val="44"/>
                <w:szCs w:val="44"/>
              </w:rPr>
            </w:pPr>
          </w:p>
        </w:tc>
        <w:tc>
          <w:tcPr>
            <w:tcW w:w="1119" w:type="dxa"/>
          </w:tcPr>
          <w:p w14:paraId="6B12E637">
            <w:pPr>
              <w:widowControl w:val="0"/>
              <w:jc w:val="center"/>
              <w:textAlignment w:val="auto"/>
              <w:rPr>
                <w:kern w:val="0"/>
                <w:sz w:val="44"/>
                <w:szCs w:val="44"/>
              </w:rPr>
            </w:pPr>
          </w:p>
        </w:tc>
      </w:tr>
      <w:tr w14:paraId="2C851C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9" w:type="dxa"/>
          </w:tcPr>
          <w:p w14:paraId="3F007D74">
            <w:pPr>
              <w:widowControl w:val="0"/>
              <w:jc w:val="center"/>
              <w:textAlignment w:val="auto"/>
              <w:rPr>
                <w:kern w:val="0"/>
                <w:sz w:val="44"/>
                <w:szCs w:val="44"/>
              </w:rPr>
            </w:pPr>
          </w:p>
        </w:tc>
        <w:tc>
          <w:tcPr>
            <w:tcW w:w="1577" w:type="dxa"/>
          </w:tcPr>
          <w:p w14:paraId="0AC7C204">
            <w:pPr>
              <w:widowControl w:val="0"/>
              <w:jc w:val="center"/>
              <w:textAlignment w:val="auto"/>
              <w:rPr>
                <w:kern w:val="0"/>
                <w:sz w:val="44"/>
                <w:szCs w:val="44"/>
              </w:rPr>
            </w:pPr>
          </w:p>
        </w:tc>
        <w:tc>
          <w:tcPr>
            <w:tcW w:w="1118" w:type="dxa"/>
          </w:tcPr>
          <w:p w14:paraId="6B7448DB">
            <w:pPr>
              <w:widowControl w:val="0"/>
              <w:jc w:val="center"/>
              <w:textAlignment w:val="auto"/>
              <w:rPr>
                <w:kern w:val="0"/>
                <w:sz w:val="44"/>
                <w:szCs w:val="44"/>
              </w:rPr>
            </w:pPr>
          </w:p>
        </w:tc>
        <w:tc>
          <w:tcPr>
            <w:tcW w:w="1118" w:type="dxa"/>
          </w:tcPr>
          <w:p w14:paraId="4D313323">
            <w:pPr>
              <w:widowControl w:val="0"/>
              <w:jc w:val="center"/>
              <w:textAlignment w:val="auto"/>
              <w:rPr>
                <w:kern w:val="0"/>
                <w:sz w:val="44"/>
                <w:szCs w:val="44"/>
              </w:rPr>
            </w:pPr>
          </w:p>
        </w:tc>
        <w:tc>
          <w:tcPr>
            <w:tcW w:w="1118" w:type="dxa"/>
          </w:tcPr>
          <w:p w14:paraId="424CCE33">
            <w:pPr>
              <w:widowControl w:val="0"/>
              <w:jc w:val="center"/>
              <w:textAlignment w:val="auto"/>
              <w:rPr>
                <w:kern w:val="0"/>
                <w:sz w:val="44"/>
                <w:szCs w:val="44"/>
              </w:rPr>
            </w:pPr>
          </w:p>
        </w:tc>
        <w:tc>
          <w:tcPr>
            <w:tcW w:w="1118" w:type="dxa"/>
          </w:tcPr>
          <w:p w14:paraId="08E8760A">
            <w:pPr>
              <w:widowControl w:val="0"/>
              <w:jc w:val="center"/>
              <w:textAlignment w:val="auto"/>
              <w:rPr>
                <w:kern w:val="0"/>
                <w:sz w:val="44"/>
                <w:szCs w:val="44"/>
              </w:rPr>
            </w:pPr>
          </w:p>
        </w:tc>
        <w:tc>
          <w:tcPr>
            <w:tcW w:w="1119" w:type="dxa"/>
          </w:tcPr>
          <w:p w14:paraId="673C41E2">
            <w:pPr>
              <w:widowControl w:val="0"/>
              <w:jc w:val="center"/>
              <w:textAlignment w:val="auto"/>
              <w:rPr>
                <w:kern w:val="0"/>
                <w:sz w:val="44"/>
                <w:szCs w:val="44"/>
              </w:rPr>
            </w:pPr>
          </w:p>
        </w:tc>
        <w:tc>
          <w:tcPr>
            <w:tcW w:w="1119" w:type="dxa"/>
          </w:tcPr>
          <w:p w14:paraId="54BD6CC1">
            <w:pPr>
              <w:widowControl w:val="0"/>
              <w:jc w:val="center"/>
              <w:textAlignment w:val="auto"/>
              <w:rPr>
                <w:kern w:val="0"/>
                <w:sz w:val="44"/>
                <w:szCs w:val="44"/>
              </w:rPr>
            </w:pPr>
          </w:p>
        </w:tc>
      </w:tr>
      <w:tr w14:paraId="7FF0F8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9" w:type="dxa"/>
          </w:tcPr>
          <w:p w14:paraId="7D6D5DDB">
            <w:pPr>
              <w:widowControl w:val="0"/>
              <w:jc w:val="center"/>
              <w:textAlignment w:val="auto"/>
              <w:rPr>
                <w:kern w:val="0"/>
                <w:sz w:val="44"/>
                <w:szCs w:val="44"/>
              </w:rPr>
            </w:pPr>
          </w:p>
        </w:tc>
        <w:tc>
          <w:tcPr>
            <w:tcW w:w="1577" w:type="dxa"/>
          </w:tcPr>
          <w:p w14:paraId="1CA0C50F">
            <w:pPr>
              <w:widowControl w:val="0"/>
              <w:jc w:val="center"/>
              <w:textAlignment w:val="auto"/>
              <w:rPr>
                <w:kern w:val="0"/>
                <w:sz w:val="44"/>
                <w:szCs w:val="44"/>
              </w:rPr>
            </w:pPr>
          </w:p>
        </w:tc>
        <w:tc>
          <w:tcPr>
            <w:tcW w:w="1118" w:type="dxa"/>
          </w:tcPr>
          <w:p w14:paraId="3F4C79C9">
            <w:pPr>
              <w:widowControl w:val="0"/>
              <w:jc w:val="center"/>
              <w:textAlignment w:val="auto"/>
              <w:rPr>
                <w:kern w:val="0"/>
                <w:sz w:val="44"/>
                <w:szCs w:val="44"/>
              </w:rPr>
            </w:pPr>
          </w:p>
        </w:tc>
        <w:tc>
          <w:tcPr>
            <w:tcW w:w="1118" w:type="dxa"/>
          </w:tcPr>
          <w:p w14:paraId="352D4B4D">
            <w:pPr>
              <w:widowControl w:val="0"/>
              <w:jc w:val="center"/>
              <w:textAlignment w:val="auto"/>
              <w:rPr>
                <w:kern w:val="0"/>
                <w:sz w:val="44"/>
                <w:szCs w:val="44"/>
              </w:rPr>
            </w:pPr>
          </w:p>
        </w:tc>
        <w:tc>
          <w:tcPr>
            <w:tcW w:w="1118" w:type="dxa"/>
          </w:tcPr>
          <w:p w14:paraId="63F37A0C">
            <w:pPr>
              <w:widowControl w:val="0"/>
              <w:jc w:val="center"/>
              <w:textAlignment w:val="auto"/>
              <w:rPr>
                <w:kern w:val="0"/>
                <w:sz w:val="44"/>
                <w:szCs w:val="44"/>
              </w:rPr>
            </w:pPr>
          </w:p>
        </w:tc>
        <w:tc>
          <w:tcPr>
            <w:tcW w:w="1118" w:type="dxa"/>
          </w:tcPr>
          <w:p w14:paraId="75116A3D">
            <w:pPr>
              <w:widowControl w:val="0"/>
              <w:jc w:val="center"/>
              <w:textAlignment w:val="auto"/>
              <w:rPr>
                <w:kern w:val="0"/>
                <w:sz w:val="44"/>
                <w:szCs w:val="44"/>
              </w:rPr>
            </w:pPr>
          </w:p>
        </w:tc>
        <w:tc>
          <w:tcPr>
            <w:tcW w:w="1119" w:type="dxa"/>
          </w:tcPr>
          <w:p w14:paraId="65C91855">
            <w:pPr>
              <w:widowControl w:val="0"/>
              <w:jc w:val="center"/>
              <w:textAlignment w:val="auto"/>
              <w:rPr>
                <w:kern w:val="0"/>
                <w:sz w:val="44"/>
                <w:szCs w:val="44"/>
              </w:rPr>
            </w:pPr>
          </w:p>
        </w:tc>
        <w:tc>
          <w:tcPr>
            <w:tcW w:w="1119" w:type="dxa"/>
          </w:tcPr>
          <w:p w14:paraId="217E60A9">
            <w:pPr>
              <w:widowControl w:val="0"/>
              <w:jc w:val="center"/>
              <w:textAlignment w:val="auto"/>
              <w:rPr>
                <w:kern w:val="0"/>
                <w:sz w:val="44"/>
                <w:szCs w:val="44"/>
              </w:rPr>
            </w:pPr>
          </w:p>
        </w:tc>
      </w:tr>
      <w:tr w14:paraId="7DC323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9" w:type="dxa"/>
          </w:tcPr>
          <w:p w14:paraId="37E3D35E">
            <w:pPr>
              <w:widowControl w:val="0"/>
              <w:jc w:val="center"/>
              <w:textAlignment w:val="auto"/>
              <w:rPr>
                <w:kern w:val="0"/>
                <w:sz w:val="44"/>
                <w:szCs w:val="44"/>
              </w:rPr>
            </w:pPr>
          </w:p>
        </w:tc>
        <w:tc>
          <w:tcPr>
            <w:tcW w:w="1577" w:type="dxa"/>
          </w:tcPr>
          <w:p w14:paraId="270E67BA">
            <w:pPr>
              <w:widowControl w:val="0"/>
              <w:jc w:val="center"/>
              <w:textAlignment w:val="auto"/>
              <w:rPr>
                <w:kern w:val="0"/>
                <w:sz w:val="44"/>
                <w:szCs w:val="44"/>
              </w:rPr>
            </w:pPr>
          </w:p>
        </w:tc>
        <w:tc>
          <w:tcPr>
            <w:tcW w:w="1118" w:type="dxa"/>
          </w:tcPr>
          <w:p w14:paraId="6F222B65">
            <w:pPr>
              <w:widowControl w:val="0"/>
              <w:jc w:val="center"/>
              <w:textAlignment w:val="auto"/>
              <w:rPr>
                <w:kern w:val="0"/>
                <w:sz w:val="44"/>
                <w:szCs w:val="44"/>
              </w:rPr>
            </w:pPr>
          </w:p>
        </w:tc>
        <w:tc>
          <w:tcPr>
            <w:tcW w:w="1118" w:type="dxa"/>
          </w:tcPr>
          <w:p w14:paraId="10C24782">
            <w:pPr>
              <w:widowControl w:val="0"/>
              <w:jc w:val="center"/>
              <w:textAlignment w:val="auto"/>
              <w:rPr>
                <w:kern w:val="0"/>
                <w:sz w:val="44"/>
                <w:szCs w:val="44"/>
              </w:rPr>
            </w:pPr>
          </w:p>
        </w:tc>
        <w:tc>
          <w:tcPr>
            <w:tcW w:w="1118" w:type="dxa"/>
          </w:tcPr>
          <w:p w14:paraId="32A24D64">
            <w:pPr>
              <w:widowControl w:val="0"/>
              <w:jc w:val="center"/>
              <w:textAlignment w:val="auto"/>
              <w:rPr>
                <w:kern w:val="0"/>
                <w:sz w:val="44"/>
                <w:szCs w:val="44"/>
              </w:rPr>
            </w:pPr>
          </w:p>
        </w:tc>
        <w:tc>
          <w:tcPr>
            <w:tcW w:w="1118" w:type="dxa"/>
          </w:tcPr>
          <w:p w14:paraId="0753D24F">
            <w:pPr>
              <w:widowControl w:val="0"/>
              <w:jc w:val="center"/>
              <w:textAlignment w:val="auto"/>
              <w:rPr>
                <w:kern w:val="0"/>
                <w:sz w:val="44"/>
                <w:szCs w:val="44"/>
              </w:rPr>
            </w:pPr>
          </w:p>
        </w:tc>
        <w:tc>
          <w:tcPr>
            <w:tcW w:w="1119" w:type="dxa"/>
          </w:tcPr>
          <w:p w14:paraId="57E13080">
            <w:pPr>
              <w:widowControl w:val="0"/>
              <w:jc w:val="center"/>
              <w:textAlignment w:val="auto"/>
              <w:rPr>
                <w:kern w:val="0"/>
                <w:sz w:val="44"/>
                <w:szCs w:val="44"/>
              </w:rPr>
            </w:pPr>
          </w:p>
        </w:tc>
        <w:tc>
          <w:tcPr>
            <w:tcW w:w="1119" w:type="dxa"/>
          </w:tcPr>
          <w:p w14:paraId="5B97F46D">
            <w:pPr>
              <w:widowControl w:val="0"/>
              <w:jc w:val="center"/>
              <w:textAlignment w:val="auto"/>
              <w:rPr>
                <w:kern w:val="0"/>
                <w:sz w:val="44"/>
                <w:szCs w:val="44"/>
              </w:rPr>
            </w:pPr>
          </w:p>
        </w:tc>
      </w:tr>
      <w:tr w14:paraId="69A5E4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9" w:type="dxa"/>
          </w:tcPr>
          <w:p w14:paraId="37DA6808">
            <w:pPr>
              <w:widowControl w:val="0"/>
              <w:jc w:val="center"/>
              <w:textAlignment w:val="auto"/>
              <w:rPr>
                <w:kern w:val="0"/>
                <w:sz w:val="44"/>
                <w:szCs w:val="44"/>
              </w:rPr>
            </w:pPr>
          </w:p>
        </w:tc>
        <w:tc>
          <w:tcPr>
            <w:tcW w:w="1577" w:type="dxa"/>
          </w:tcPr>
          <w:p w14:paraId="57C40FF0">
            <w:pPr>
              <w:widowControl w:val="0"/>
              <w:jc w:val="center"/>
              <w:textAlignment w:val="auto"/>
              <w:rPr>
                <w:kern w:val="0"/>
                <w:sz w:val="44"/>
                <w:szCs w:val="44"/>
              </w:rPr>
            </w:pPr>
          </w:p>
        </w:tc>
        <w:tc>
          <w:tcPr>
            <w:tcW w:w="1118" w:type="dxa"/>
          </w:tcPr>
          <w:p w14:paraId="19A84E16">
            <w:pPr>
              <w:widowControl w:val="0"/>
              <w:jc w:val="center"/>
              <w:textAlignment w:val="auto"/>
              <w:rPr>
                <w:kern w:val="0"/>
                <w:sz w:val="44"/>
                <w:szCs w:val="44"/>
              </w:rPr>
            </w:pPr>
          </w:p>
        </w:tc>
        <w:tc>
          <w:tcPr>
            <w:tcW w:w="1118" w:type="dxa"/>
          </w:tcPr>
          <w:p w14:paraId="4DA40338">
            <w:pPr>
              <w:widowControl w:val="0"/>
              <w:jc w:val="center"/>
              <w:textAlignment w:val="auto"/>
              <w:rPr>
                <w:kern w:val="0"/>
                <w:sz w:val="44"/>
                <w:szCs w:val="44"/>
              </w:rPr>
            </w:pPr>
          </w:p>
        </w:tc>
        <w:tc>
          <w:tcPr>
            <w:tcW w:w="1118" w:type="dxa"/>
          </w:tcPr>
          <w:p w14:paraId="12B04DAF">
            <w:pPr>
              <w:widowControl w:val="0"/>
              <w:jc w:val="center"/>
              <w:textAlignment w:val="auto"/>
              <w:rPr>
                <w:kern w:val="0"/>
                <w:sz w:val="44"/>
                <w:szCs w:val="44"/>
              </w:rPr>
            </w:pPr>
          </w:p>
        </w:tc>
        <w:tc>
          <w:tcPr>
            <w:tcW w:w="1118" w:type="dxa"/>
          </w:tcPr>
          <w:p w14:paraId="3AE4CD03">
            <w:pPr>
              <w:widowControl w:val="0"/>
              <w:jc w:val="center"/>
              <w:textAlignment w:val="auto"/>
              <w:rPr>
                <w:kern w:val="0"/>
                <w:sz w:val="44"/>
                <w:szCs w:val="44"/>
              </w:rPr>
            </w:pPr>
          </w:p>
        </w:tc>
        <w:tc>
          <w:tcPr>
            <w:tcW w:w="1119" w:type="dxa"/>
          </w:tcPr>
          <w:p w14:paraId="769E976B">
            <w:pPr>
              <w:widowControl w:val="0"/>
              <w:jc w:val="center"/>
              <w:textAlignment w:val="auto"/>
              <w:rPr>
                <w:kern w:val="0"/>
                <w:sz w:val="44"/>
                <w:szCs w:val="44"/>
              </w:rPr>
            </w:pPr>
          </w:p>
        </w:tc>
        <w:tc>
          <w:tcPr>
            <w:tcW w:w="1119" w:type="dxa"/>
          </w:tcPr>
          <w:p w14:paraId="3120592E">
            <w:pPr>
              <w:widowControl w:val="0"/>
              <w:jc w:val="center"/>
              <w:textAlignment w:val="auto"/>
              <w:rPr>
                <w:kern w:val="0"/>
                <w:sz w:val="44"/>
                <w:szCs w:val="44"/>
              </w:rPr>
            </w:pPr>
          </w:p>
        </w:tc>
      </w:tr>
    </w:tbl>
    <w:p w14:paraId="160E8B40">
      <w:pPr>
        <w:widowControl w:val="0"/>
        <w:tabs>
          <w:tab w:val="left" w:pos="6135"/>
        </w:tabs>
        <w:textAlignment w:val="auto"/>
        <w:rPr>
          <w:sz w:val="18"/>
          <w:szCs w:val="18"/>
        </w:rPr>
      </w:pPr>
      <w:r>
        <w:rPr>
          <w:rFonts w:hint="eastAsia"/>
          <w:sz w:val="18"/>
          <w:szCs w:val="18"/>
        </w:rPr>
        <w:t>注：</w:t>
      </w:r>
      <w:r>
        <w:rPr>
          <w:sz w:val="18"/>
          <w:szCs w:val="18"/>
        </w:rPr>
        <w:t>1</w:t>
      </w:r>
      <w:r>
        <w:rPr>
          <w:rFonts w:hint="eastAsia"/>
          <w:sz w:val="18"/>
          <w:szCs w:val="18"/>
        </w:rPr>
        <w:t>、此表由招标人填写，供投标人在投标报价、确定总承包服务时参考。</w:t>
      </w:r>
    </w:p>
    <w:p w14:paraId="4C9294A0">
      <w:pPr>
        <w:widowControl w:val="0"/>
        <w:tabs>
          <w:tab w:val="left" w:pos="6135"/>
        </w:tabs>
        <w:textAlignment w:val="auto"/>
        <w:rPr>
          <w:sz w:val="18"/>
          <w:szCs w:val="18"/>
        </w:rPr>
      </w:pPr>
    </w:p>
    <w:p w14:paraId="66285C38">
      <w:pPr>
        <w:pStyle w:val="19"/>
      </w:pPr>
    </w:p>
    <w:p w14:paraId="777282C8">
      <w:pPr>
        <w:pStyle w:val="19"/>
      </w:pPr>
    </w:p>
    <w:p w14:paraId="2D9E85BE">
      <w:pPr>
        <w:widowControl w:val="0"/>
        <w:tabs>
          <w:tab w:val="left" w:pos="6135"/>
        </w:tabs>
        <w:jc w:val="right"/>
        <w:textAlignment w:val="auto"/>
        <w:rPr>
          <w:rFonts w:eastAsia="黑体"/>
        </w:rPr>
      </w:pPr>
      <w:r>
        <w:rPr>
          <w:rFonts w:hint="eastAsia" w:eastAsia="黑体"/>
        </w:rPr>
        <w:t>表</w:t>
      </w:r>
      <w:r>
        <w:rPr>
          <w:rFonts w:eastAsia="黑体"/>
        </w:rPr>
        <w:t>-20</w:t>
      </w:r>
    </w:p>
    <w:p w14:paraId="317E853C">
      <w:pPr>
        <w:pStyle w:val="19"/>
      </w:pPr>
    </w:p>
    <w:p w14:paraId="342AC2FB">
      <w:pPr>
        <w:spacing w:line="360" w:lineRule="auto"/>
        <w:jc w:val="center"/>
        <w:rPr>
          <w:rFonts w:ascii="黑体" w:hAnsi="宋体" w:eastAsia="黑体"/>
          <w:sz w:val="36"/>
          <w:szCs w:val="36"/>
        </w:rPr>
      </w:pPr>
      <w:r>
        <w:rPr>
          <w:rFonts w:hint="eastAsia" w:ascii="黑体" w:hAnsi="宋体" w:eastAsia="黑体"/>
          <w:sz w:val="36"/>
          <w:szCs w:val="36"/>
        </w:rPr>
        <w:t>附录</w:t>
      </w:r>
      <w:r>
        <w:rPr>
          <w:rFonts w:ascii="黑体" w:hAnsi="宋体" w:eastAsia="黑体"/>
          <w:sz w:val="36"/>
          <w:szCs w:val="36"/>
        </w:rPr>
        <w:t xml:space="preserve">M  </w:t>
      </w:r>
      <w:r>
        <w:rPr>
          <w:rFonts w:hint="eastAsia" w:ascii="黑体" w:hAnsi="宋体" w:eastAsia="黑体"/>
          <w:sz w:val="36"/>
          <w:szCs w:val="36"/>
        </w:rPr>
        <w:t>理论成本核算基础数据表</w:t>
      </w:r>
    </w:p>
    <w:p w14:paraId="3F2A879E">
      <w:pPr>
        <w:spacing w:line="360" w:lineRule="auto"/>
        <w:jc w:val="center"/>
        <w:rPr>
          <w:rFonts w:ascii="黑体" w:hAnsi="宋体" w:eastAsia="黑体"/>
          <w:sz w:val="36"/>
          <w:szCs w:val="36"/>
        </w:rPr>
      </w:pPr>
    </w:p>
    <w:p w14:paraId="6BDC0AEF">
      <w:pPr>
        <w:spacing w:line="360" w:lineRule="auto"/>
        <w:jc w:val="center"/>
        <w:rPr>
          <w:rFonts w:eastAsia="黑体"/>
          <w:sz w:val="32"/>
          <w:szCs w:val="32"/>
        </w:rPr>
      </w:pPr>
      <w:r>
        <w:rPr>
          <w:rFonts w:eastAsia="黑体"/>
          <w:sz w:val="32"/>
          <w:szCs w:val="32"/>
        </w:rPr>
        <w:t>M.1</w:t>
      </w:r>
      <w:r>
        <w:rPr>
          <w:rFonts w:hint="eastAsia" w:eastAsia="黑体"/>
          <w:sz w:val="32"/>
          <w:szCs w:val="32"/>
        </w:rPr>
        <w:t>招标控制价理论成本核算基础数据表（</w:t>
      </w:r>
      <w:r>
        <w:rPr>
          <w:rFonts w:eastAsia="黑体"/>
          <w:sz w:val="32"/>
          <w:szCs w:val="32"/>
        </w:rPr>
        <w:t>2</w:t>
      </w:r>
      <w:r>
        <w:rPr>
          <w:rFonts w:hint="eastAsia" w:eastAsia="黑体"/>
          <w:sz w:val="32"/>
          <w:szCs w:val="32"/>
        </w:rPr>
        <w:t>组）</w:t>
      </w:r>
    </w:p>
    <w:p w14:paraId="225FEF3B">
      <w:pPr>
        <w:pStyle w:val="19"/>
      </w:pPr>
    </w:p>
    <w:p w14:paraId="1696F1ED">
      <w:pPr>
        <w:tabs>
          <w:tab w:val="left" w:pos="12120"/>
        </w:tabs>
        <w:spacing w:line="360" w:lineRule="auto"/>
        <w:rPr>
          <w:rFonts w:ascii="宋体"/>
          <w:szCs w:val="21"/>
        </w:rPr>
      </w:pPr>
      <w:r>
        <w:rPr>
          <w:rFonts w:hint="eastAsia" w:ascii="宋体" w:hAnsi="宋体"/>
          <w:szCs w:val="21"/>
        </w:rPr>
        <w:t>工程名称：</w:t>
      </w:r>
      <w:r>
        <w:rPr>
          <w:rFonts w:ascii="宋体" w:hAnsi="宋体"/>
          <w:szCs w:val="21"/>
        </w:rPr>
        <w:t xml:space="preserve">                                                    </w:t>
      </w:r>
      <w:r>
        <w:rPr>
          <w:rFonts w:hint="eastAsia" w:ascii="宋体" w:hAnsi="宋体"/>
          <w:szCs w:val="21"/>
        </w:rPr>
        <w:t>标段：</w:t>
      </w:r>
      <w:r>
        <w:rPr>
          <w:rFonts w:ascii="宋体" w:hAnsi="宋体"/>
          <w:szCs w:val="21"/>
        </w:rPr>
        <w:t xml:space="preserve">              </w:t>
      </w:r>
    </w:p>
    <w:tbl>
      <w:tblPr>
        <w:tblStyle w:val="4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76"/>
        <w:gridCol w:w="4536"/>
        <w:gridCol w:w="1923"/>
      </w:tblGrid>
      <w:tr w14:paraId="3CE61B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8835" w:type="dxa"/>
            <w:gridSpan w:val="3"/>
            <w:vAlign w:val="center"/>
          </w:tcPr>
          <w:p w14:paraId="780AB793">
            <w:pPr>
              <w:jc w:val="center"/>
              <w:rPr>
                <w:rFonts w:ascii="宋体"/>
                <w:sz w:val="28"/>
                <w:szCs w:val="28"/>
              </w:rPr>
            </w:pPr>
            <w:r>
              <w:rPr>
                <w:rFonts w:hint="eastAsia" w:ascii="宋体" w:hAnsi="宋体"/>
                <w:sz w:val="28"/>
                <w:szCs w:val="28"/>
              </w:rPr>
              <w:t>分部分项工程中（元）</w:t>
            </w:r>
          </w:p>
        </w:tc>
      </w:tr>
      <w:tr w14:paraId="5DA456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2376" w:type="dxa"/>
            <w:vAlign w:val="center"/>
          </w:tcPr>
          <w:p w14:paraId="7403AFE6">
            <w:pPr>
              <w:jc w:val="center"/>
              <w:rPr>
                <w:rFonts w:ascii="宋体"/>
                <w:sz w:val="28"/>
                <w:szCs w:val="28"/>
              </w:rPr>
            </w:pPr>
            <w:r>
              <w:rPr>
                <w:rFonts w:hint="eastAsia" w:ascii="宋体" w:hAnsi="宋体"/>
                <w:sz w:val="28"/>
                <w:szCs w:val="28"/>
              </w:rPr>
              <w:t>人工费</w:t>
            </w:r>
          </w:p>
        </w:tc>
        <w:tc>
          <w:tcPr>
            <w:tcW w:w="4536" w:type="dxa"/>
            <w:vAlign w:val="center"/>
          </w:tcPr>
          <w:p w14:paraId="22698849">
            <w:pPr>
              <w:jc w:val="center"/>
              <w:rPr>
                <w:rFonts w:ascii="宋体"/>
                <w:sz w:val="28"/>
                <w:szCs w:val="28"/>
              </w:rPr>
            </w:pPr>
          </w:p>
        </w:tc>
        <w:tc>
          <w:tcPr>
            <w:tcW w:w="1923" w:type="dxa"/>
            <w:vAlign w:val="center"/>
          </w:tcPr>
          <w:p w14:paraId="3B705F9F">
            <w:pPr>
              <w:jc w:val="center"/>
              <w:rPr>
                <w:rFonts w:ascii="宋体"/>
                <w:sz w:val="28"/>
                <w:szCs w:val="28"/>
              </w:rPr>
            </w:pPr>
            <w:r>
              <w:rPr>
                <w:rFonts w:hint="eastAsia" w:ascii="宋体" w:hAnsi="宋体"/>
                <w:sz w:val="28"/>
                <w:szCs w:val="28"/>
              </w:rPr>
              <w:t>包括政策性</w:t>
            </w:r>
          </w:p>
          <w:p w14:paraId="570F1D81">
            <w:pPr>
              <w:jc w:val="center"/>
              <w:rPr>
                <w:rFonts w:ascii="宋体"/>
                <w:sz w:val="28"/>
                <w:szCs w:val="28"/>
              </w:rPr>
            </w:pPr>
            <w:r>
              <w:rPr>
                <w:rFonts w:hint="eastAsia" w:ascii="宋体" w:hAnsi="宋体"/>
                <w:sz w:val="28"/>
                <w:szCs w:val="28"/>
              </w:rPr>
              <w:t>人工调整</w:t>
            </w:r>
          </w:p>
        </w:tc>
      </w:tr>
      <w:tr w14:paraId="14950E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2376" w:type="dxa"/>
            <w:vAlign w:val="center"/>
          </w:tcPr>
          <w:p w14:paraId="19F31A49">
            <w:pPr>
              <w:jc w:val="center"/>
              <w:rPr>
                <w:rFonts w:ascii="宋体"/>
                <w:sz w:val="28"/>
                <w:szCs w:val="28"/>
              </w:rPr>
            </w:pPr>
            <w:r>
              <w:rPr>
                <w:rFonts w:hint="eastAsia" w:ascii="宋体" w:hAnsi="宋体"/>
                <w:sz w:val="28"/>
                <w:szCs w:val="28"/>
              </w:rPr>
              <w:t>材料费</w:t>
            </w:r>
          </w:p>
        </w:tc>
        <w:tc>
          <w:tcPr>
            <w:tcW w:w="4536" w:type="dxa"/>
            <w:vAlign w:val="center"/>
          </w:tcPr>
          <w:p w14:paraId="0727ADDD">
            <w:pPr>
              <w:jc w:val="center"/>
              <w:rPr>
                <w:rFonts w:ascii="宋体"/>
                <w:sz w:val="28"/>
                <w:szCs w:val="28"/>
              </w:rPr>
            </w:pPr>
          </w:p>
        </w:tc>
        <w:tc>
          <w:tcPr>
            <w:tcW w:w="1923" w:type="dxa"/>
            <w:vAlign w:val="center"/>
          </w:tcPr>
          <w:p w14:paraId="03525DE0">
            <w:pPr>
              <w:jc w:val="center"/>
              <w:rPr>
                <w:rFonts w:ascii="宋体"/>
                <w:sz w:val="28"/>
                <w:szCs w:val="28"/>
              </w:rPr>
            </w:pPr>
            <w:r>
              <w:rPr>
                <w:rFonts w:hint="eastAsia" w:ascii="宋体" w:hAnsi="宋体"/>
                <w:sz w:val="28"/>
                <w:szCs w:val="28"/>
              </w:rPr>
              <w:t>包括主材费</w:t>
            </w:r>
          </w:p>
        </w:tc>
      </w:tr>
      <w:tr w14:paraId="2F0386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2376" w:type="dxa"/>
            <w:vAlign w:val="center"/>
          </w:tcPr>
          <w:p w14:paraId="4A38FA9B">
            <w:pPr>
              <w:jc w:val="center"/>
              <w:rPr>
                <w:rFonts w:ascii="宋体"/>
                <w:sz w:val="28"/>
                <w:szCs w:val="28"/>
              </w:rPr>
            </w:pPr>
            <w:r>
              <w:rPr>
                <w:rFonts w:hint="eastAsia" w:ascii="宋体" w:hAnsi="宋体"/>
                <w:sz w:val="28"/>
                <w:szCs w:val="28"/>
              </w:rPr>
              <w:t>机械费</w:t>
            </w:r>
          </w:p>
        </w:tc>
        <w:tc>
          <w:tcPr>
            <w:tcW w:w="4536" w:type="dxa"/>
            <w:vAlign w:val="center"/>
          </w:tcPr>
          <w:p w14:paraId="540D9759">
            <w:pPr>
              <w:jc w:val="center"/>
              <w:rPr>
                <w:rFonts w:ascii="宋体"/>
                <w:sz w:val="28"/>
                <w:szCs w:val="28"/>
              </w:rPr>
            </w:pPr>
          </w:p>
        </w:tc>
        <w:tc>
          <w:tcPr>
            <w:tcW w:w="1923" w:type="dxa"/>
            <w:vAlign w:val="center"/>
          </w:tcPr>
          <w:p w14:paraId="1B61444E">
            <w:pPr>
              <w:jc w:val="center"/>
              <w:rPr>
                <w:rFonts w:ascii="宋体"/>
                <w:sz w:val="28"/>
                <w:szCs w:val="28"/>
              </w:rPr>
            </w:pPr>
          </w:p>
        </w:tc>
      </w:tr>
      <w:tr w14:paraId="4BE212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2376" w:type="dxa"/>
            <w:vAlign w:val="center"/>
          </w:tcPr>
          <w:p w14:paraId="1346AFC0">
            <w:pPr>
              <w:jc w:val="center"/>
              <w:rPr>
                <w:rFonts w:ascii="宋体"/>
                <w:sz w:val="28"/>
                <w:szCs w:val="28"/>
              </w:rPr>
            </w:pPr>
            <w:r>
              <w:rPr>
                <w:rFonts w:hint="eastAsia" w:ascii="宋体" w:hAnsi="宋体"/>
                <w:sz w:val="28"/>
                <w:szCs w:val="28"/>
              </w:rPr>
              <w:t>合计</w:t>
            </w:r>
          </w:p>
        </w:tc>
        <w:tc>
          <w:tcPr>
            <w:tcW w:w="4536" w:type="dxa"/>
            <w:vAlign w:val="center"/>
          </w:tcPr>
          <w:p w14:paraId="2D5009A5">
            <w:pPr>
              <w:jc w:val="center"/>
              <w:rPr>
                <w:rFonts w:ascii="宋体"/>
                <w:sz w:val="28"/>
                <w:szCs w:val="28"/>
              </w:rPr>
            </w:pPr>
          </w:p>
        </w:tc>
        <w:tc>
          <w:tcPr>
            <w:tcW w:w="1923" w:type="dxa"/>
            <w:vAlign w:val="center"/>
          </w:tcPr>
          <w:p w14:paraId="0891F211">
            <w:pPr>
              <w:jc w:val="center"/>
              <w:rPr>
                <w:rFonts w:ascii="宋体"/>
                <w:sz w:val="28"/>
                <w:szCs w:val="28"/>
              </w:rPr>
            </w:pPr>
          </w:p>
        </w:tc>
      </w:tr>
    </w:tbl>
    <w:p w14:paraId="30AFAE0D">
      <w:pPr>
        <w:pStyle w:val="19"/>
        <w:rPr>
          <w:sz w:val="28"/>
          <w:szCs w:val="28"/>
        </w:rPr>
      </w:pPr>
    </w:p>
    <w:tbl>
      <w:tblPr>
        <w:tblStyle w:val="45"/>
        <w:tblW w:w="883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76"/>
        <w:gridCol w:w="4536"/>
        <w:gridCol w:w="1923"/>
      </w:tblGrid>
      <w:tr w14:paraId="61AE13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8835" w:type="dxa"/>
            <w:gridSpan w:val="3"/>
            <w:vAlign w:val="center"/>
          </w:tcPr>
          <w:p w14:paraId="29DAC389">
            <w:pPr>
              <w:jc w:val="center"/>
              <w:rPr>
                <w:rFonts w:ascii="宋体"/>
                <w:sz w:val="28"/>
                <w:szCs w:val="28"/>
              </w:rPr>
            </w:pPr>
            <w:r>
              <w:rPr>
                <w:rFonts w:hint="eastAsia" w:ascii="宋体" w:hAnsi="宋体"/>
                <w:sz w:val="28"/>
                <w:szCs w:val="28"/>
              </w:rPr>
              <w:t>措施项目工程中（元）</w:t>
            </w:r>
          </w:p>
        </w:tc>
      </w:tr>
      <w:tr w14:paraId="6876FF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2376" w:type="dxa"/>
            <w:vAlign w:val="center"/>
          </w:tcPr>
          <w:p w14:paraId="70C357AB">
            <w:pPr>
              <w:jc w:val="center"/>
              <w:rPr>
                <w:rFonts w:ascii="宋体"/>
                <w:sz w:val="28"/>
                <w:szCs w:val="28"/>
              </w:rPr>
            </w:pPr>
            <w:r>
              <w:rPr>
                <w:rFonts w:hint="eastAsia" w:ascii="宋体" w:hAnsi="宋体"/>
                <w:sz w:val="28"/>
                <w:szCs w:val="28"/>
              </w:rPr>
              <w:t>人工费</w:t>
            </w:r>
          </w:p>
        </w:tc>
        <w:tc>
          <w:tcPr>
            <w:tcW w:w="4536" w:type="dxa"/>
            <w:vAlign w:val="center"/>
          </w:tcPr>
          <w:p w14:paraId="66CCF93F">
            <w:pPr>
              <w:jc w:val="center"/>
              <w:rPr>
                <w:rFonts w:ascii="宋体"/>
                <w:sz w:val="28"/>
                <w:szCs w:val="28"/>
              </w:rPr>
            </w:pPr>
          </w:p>
        </w:tc>
        <w:tc>
          <w:tcPr>
            <w:tcW w:w="1923" w:type="dxa"/>
            <w:vAlign w:val="center"/>
          </w:tcPr>
          <w:p w14:paraId="450B333D">
            <w:pPr>
              <w:jc w:val="center"/>
              <w:rPr>
                <w:rFonts w:ascii="宋体"/>
                <w:sz w:val="28"/>
                <w:szCs w:val="28"/>
              </w:rPr>
            </w:pPr>
            <w:r>
              <w:rPr>
                <w:rFonts w:hint="eastAsia" w:ascii="宋体" w:hAnsi="宋体"/>
                <w:sz w:val="28"/>
                <w:szCs w:val="28"/>
              </w:rPr>
              <w:t>包括政策性</w:t>
            </w:r>
          </w:p>
          <w:p w14:paraId="5108EBC5">
            <w:pPr>
              <w:jc w:val="center"/>
              <w:rPr>
                <w:rFonts w:ascii="宋体"/>
                <w:sz w:val="28"/>
                <w:szCs w:val="28"/>
              </w:rPr>
            </w:pPr>
            <w:r>
              <w:rPr>
                <w:rFonts w:hint="eastAsia" w:ascii="宋体" w:hAnsi="宋体"/>
                <w:sz w:val="28"/>
                <w:szCs w:val="28"/>
              </w:rPr>
              <w:t>人工调整</w:t>
            </w:r>
          </w:p>
        </w:tc>
      </w:tr>
      <w:tr w14:paraId="664A58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2376" w:type="dxa"/>
            <w:vAlign w:val="center"/>
          </w:tcPr>
          <w:p w14:paraId="52ECEBC0">
            <w:pPr>
              <w:jc w:val="center"/>
              <w:rPr>
                <w:rFonts w:ascii="宋体"/>
                <w:sz w:val="28"/>
                <w:szCs w:val="28"/>
              </w:rPr>
            </w:pPr>
            <w:r>
              <w:rPr>
                <w:rFonts w:hint="eastAsia" w:ascii="宋体" w:hAnsi="宋体"/>
                <w:sz w:val="28"/>
                <w:szCs w:val="28"/>
              </w:rPr>
              <w:t>材料费</w:t>
            </w:r>
          </w:p>
        </w:tc>
        <w:tc>
          <w:tcPr>
            <w:tcW w:w="4536" w:type="dxa"/>
            <w:vAlign w:val="center"/>
          </w:tcPr>
          <w:p w14:paraId="4A7D9AF7">
            <w:pPr>
              <w:jc w:val="center"/>
              <w:rPr>
                <w:rFonts w:ascii="宋体"/>
                <w:sz w:val="28"/>
                <w:szCs w:val="28"/>
              </w:rPr>
            </w:pPr>
          </w:p>
        </w:tc>
        <w:tc>
          <w:tcPr>
            <w:tcW w:w="1923" w:type="dxa"/>
            <w:vAlign w:val="center"/>
          </w:tcPr>
          <w:p w14:paraId="6808F212">
            <w:pPr>
              <w:jc w:val="center"/>
              <w:rPr>
                <w:rFonts w:ascii="宋体"/>
                <w:sz w:val="28"/>
                <w:szCs w:val="28"/>
              </w:rPr>
            </w:pPr>
          </w:p>
        </w:tc>
      </w:tr>
      <w:tr w14:paraId="374F1A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2376" w:type="dxa"/>
            <w:vAlign w:val="center"/>
          </w:tcPr>
          <w:p w14:paraId="1BDFA692">
            <w:pPr>
              <w:jc w:val="center"/>
              <w:rPr>
                <w:rFonts w:ascii="宋体"/>
                <w:sz w:val="28"/>
                <w:szCs w:val="28"/>
              </w:rPr>
            </w:pPr>
            <w:r>
              <w:rPr>
                <w:rFonts w:hint="eastAsia" w:ascii="宋体" w:hAnsi="宋体"/>
                <w:sz w:val="28"/>
                <w:szCs w:val="28"/>
              </w:rPr>
              <w:t>机械费</w:t>
            </w:r>
          </w:p>
        </w:tc>
        <w:tc>
          <w:tcPr>
            <w:tcW w:w="4536" w:type="dxa"/>
            <w:vAlign w:val="center"/>
          </w:tcPr>
          <w:p w14:paraId="64A94A21">
            <w:pPr>
              <w:jc w:val="center"/>
              <w:rPr>
                <w:rFonts w:ascii="宋体"/>
                <w:sz w:val="28"/>
                <w:szCs w:val="28"/>
              </w:rPr>
            </w:pPr>
          </w:p>
        </w:tc>
        <w:tc>
          <w:tcPr>
            <w:tcW w:w="1923" w:type="dxa"/>
            <w:vAlign w:val="center"/>
          </w:tcPr>
          <w:p w14:paraId="79DB8D7E">
            <w:pPr>
              <w:jc w:val="center"/>
              <w:rPr>
                <w:rFonts w:ascii="宋体"/>
                <w:sz w:val="28"/>
                <w:szCs w:val="28"/>
              </w:rPr>
            </w:pPr>
          </w:p>
        </w:tc>
      </w:tr>
      <w:tr w14:paraId="571C6F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2376" w:type="dxa"/>
            <w:vAlign w:val="center"/>
          </w:tcPr>
          <w:p w14:paraId="0A0A3CF9">
            <w:pPr>
              <w:jc w:val="center"/>
              <w:rPr>
                <w:rFonts w:ascii="宋体"/>
                <w:sz w:val="28"/>
                <w:szCs w:val="28"/>
              </w:rPr>
            </w:pPr>
            <w:r>
              <w:rPr>
                <w:rFonts w:hint="eastAsia" w:ascii="宋体" w:hAnsi="宋体"/>
                <w:sz w:val="28"/>
                <w:szCs w:val="28"/>
              </w:rPr>
              <w:t>合计</w:t>
            </w:r>
          </w:p>
        </w:tc>
        <w:tc>
          <w:tcPr>
            <w:tcW w:w="4536" w:type="dxa"/>
            <w:vAlign w:val="center"/>
          </w:tcPr>
          <w:p w14:paraId="4571F013">
            <w:pPr>
              <w:jc w:val="center"/>
              <w:rPr>
                <w:rFonts w:ascii="宋体"/>
                <w:sz w:val="28"/>
                <w:szCs w:val="28"/>
              </w:rPr>
            </w:pPr>
          </w:p>
        </w:tc>
        <w:tc>
          <w:tcPr>
            <w:tcW w:w="1923" w:type="dxa"/>
            <w:vAlign w:val="center"/>
          </w:tcPr>
          <w:p w14:paraId="02DF9008">
            <w:pPr>
              <w:jc w:val="center"/>
              <w:rPr>
                <w:rFonts w:ascii="宋体"/>
                <w:sz w:val="28"/>
                <w:szCs w:val="28"/>
              </w:rPr>
            </w:pPr>
          </w:p>
        </w:tc>
      </w:tr>
    </w:tbl>
    <w:p w14:paraId="4F372782">
      <w:pPr>
        <w:pStyle w:val="19"/>
        <w:rPr>
          <w:sz w:val="18"/>
          <w:szCs w:val="18"/>
        </w:rPr>
      </w:pPr>
    </w:p>
    <w:p w14:paraId="21507EAB">
      <w:pPr>
        <w:pStyle w:val="19"/>
        <w:rPr>
          <w:szCs w:val="21"/>
        </w:rPr>
      </w:pPr>
    </w:p>
    <w:p w14:paraId="6FDFAF9A">
      <w:pPr>
        <w:widowControl w:val="0"/>
        <w:tabs>
          <w:tab w:val="left" w:pos="6135"/>
        </w:tabs>
        <w:jc w:val="right"/>
        <w:textAlignment w:val="auto"/>
        <w:rPr>
          <w:rFonts w:eastAsia="黑体"/>
        </w:rPr>
      </w:pPr>
      <w:r>
        <w:rPr>
          <w:rFonts w:hint="eastAsia" w:eastAsia="黑体"/>
        </w:rPr>
        <w:t>表</w:t>
      </w:r>
      <w:r>
        <w:rPr>
          <w:rFonts w:eastAsia="黑体"/>
        </w:rPr>
        <w:t>-23</w:t>
      </w:r>
    </w:p>
    <w:p w14:paraId="43EDD84C">
      <w:pPr>
        <w:spacing w:before="156" w:beforeLines="50" w:line="800" w:lineRule="exact"/>
        <w:jc w:val="center"/>
        <w:rPr>
          <w:rFonts w:eastAsia="黑体"/>
          <w:sz w:val="32"/>
          <w:szCs w:val="32"/>
        </w:rPr>
      </w:pPr>
      <w:r>
        <w:rPr>
          <w:rFonts w:eastAsia="黑体"/>
          <w:sz w:val="32"/>
          <w:szCs w:val="32"/>
        </w:rPr>
        <w:t>M.2</w:t>
      </w:r>
      <w:r>
        <w:rPr>
          <w:rFonts w:hint="eastAsia" w:eastAsia="黑体"/>
          <w:sz w:val="32"/>
          <w:szCs w:val="32"/>
        </w:rPr>
        <w:t>投标报价理论成本核算基础数据表（</w:t>
      </w:r>
      <w:r>
        <w:rPr>
          <w:rFonts w:eastAsia="黑体"/>
          <w:sz w:val="32"/>
          <w:szCs w:val="32"/>
        </w:rPr>
        <w:t>3</w:t>
      </w:r>
      <w:r>
        <w:rPr>
          <w:rFonts w:hint="eastAsia" w:eastAsia="黑体"/>
          <w:sz w:val="32"/>
          <w:szCs w:val="32"/>
        </w:rPr>
        <w:t>组）</w:t>
      </w:r>
    </w:p>
    <w:p w14:paraId="6455E39D">
      <w:pPr>
        <w:pStyle w:val="19"/>
      </w:pPr>
    </w:p>
    <w:p w14:paraId="07FCDF3B">
      <w:pPr>
        <w:tabs>
          <w:tab w:val="left" w:pos="12120"/>
        </w:tabs>
        <w:spacing w:line="360" w:lineRule="auto"/>
        <w:rPr>
          <w:rFonts w:ascii="宋体"/>
          <w:szCs w:val="21"/>
        </w:rPr>
      </w:pPr>
      <w:r>
        <w:rPr>
          <w:rFonts w:hint="eastAsia" w:ascii="宋体" w:hAnsi="宋体"/>
          <w:szCs w:val="21"/>
        </w:rPr>
        <w:t>工程名称：</w:t>
      </w:r>
      <w:r>
        <w:rPr>
          <w:rFonts w:ascii="宋体" w:hAnsi="宋体"/>
          <w:szCs w:val="21"/>
        </w:rPr>
        <w:t xml:space="preserve">                                                    </w:t>
      </w:r>
      <w:r>
        <w:rPr>
          <w:rFonts w:hint="eastAsia" w:ascii="宋体" w:hAnsi="宋体"/>
          <w:szCs w:val="21"/>
        </w:rPr>
        <w:t>标段：</w:t>
      </w:r>
      <w:r>
        <w:rPr>
          <w:rFonts w:ascii="宋体" w:hAnsi="宋体"/>
          <w:szCs w:val="21"/>
        </w:rPr>
        <w:t xml:space="preserve">              </w:t>
      </w:r>
    </w:p>
    <w:tbl>
      <w:tblPr>
        <w:tblStyle w:val="4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76"/>
        <w:gridCol w:w="4536"/>
        <w:gridCol w:w="1923"/>
      </w:tblGrid>
      <w:tr w14:paraId="15A061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8835" w:type="dxa"/>
            <w:gridSpan w:val="3"/>
            <w:vAlign w:val="center"/>
          </w:tcPr>
          <w:p w14:paraId="6EBEE43D">
            <w:pPr>
              <w:jc w:val="center"/>
              <w:rPr>
                <w:rFonts w:ascii="宋体"/>
                <w:sz w:val="28"/>
                <w:szCs w:val="28"/>
              </w:rPr>
            </w:pPr>
            <w:r>
              <w:rPr>
                <w:rFonts w:hint="eastAsia" w:ascii="宋体" w:hAnsi="宋体"/>
                <w:sz w:val="28"/>
                <w:szCs w:val="28"/>
              </w:rPr>
              <w:t>分部分项工程中（元）</w:t>
            </w:r>
          </w:p>
        </w:tc>
      </w:tr>
      <w:tr w14:paraId="3A190A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2376" w:type="dxa"/>
            <w:vAlign w:val="center"/>
          </w:tcPr>
          <w:p w14:paraId="660D291B">
            <w:pPr>
              <w:jc w:val="center"/>
              <w:rPr>
                <w:rFonts w:ascii="宋体"/>
                <w:sz w:val="28"/>
                <w:szCs w:val="28"/>
              </w:rPr>
            </w:pPr>
            <w:r>
              <w:rPr>
                <w:rFonts w:hint="eastAsia" w:ascii="宋体" w:hAnsi="宋体"/>
                <w:sz w:val="28"/>
                <w:szCs w:val="28"/>
              </w:rPr>
              <w:t>人工费</w:t>
            </w:r>
          </w:p>
        </w:tc>
        <w:tc>
          <w:tcPr>
            <w:tcW w:w="4536" w:type="dxa"/>
            <w:vAlign w:val="center"/>
          </w:tcPr>
          <w:p w14:paraId="5F095539">
            <w:pPr>
              <w:jc w:val="center"/>
              <w:rPr>
                <w:rFonts w:ascii="宋体"/>
                <w:sz w:val="28"/>
                <w:szCs w:val="28"/>
              </w:rPr>
            </w:pPr>
          </w:p>
        </w:tc>
        <w:tc>
          <w:tcPr>
            <w:tcW w:w="1923" w:type="dxa"/>
            <w:vAlign w:val="center"/>
          </w:tcPr>
          <w:p w14:paraId="437A34AB">
            <w:pPr>
              <w:jc w:val="center"/>
              <w:rPr>
                <w:rFonts w:ascii="宋体"/>
                <w:sz w:val="28"/>
                <w:szCs w:val="28"/>
              </w:rPr>
            </w:pPr>
            <w:r>
              <w:rPr>
                <w:rFonts w:hint="eastAsia" w:ascii="宋体" w:hAnsi="宋体"/>
                <w:sz w:val="28"/>
                <w:szCs w:val="28"/>
              </w:rPr>
              <w:t>包括政策性</w:t>
            </w:r>
          </w:p>
          <w:p w14:paraId="189D20A4">
            <w:pPr>
              <w:jc w:val="center"/>
              <w:rPr>
                <w:rFonts w:ascii="宋体"/>
                <w:sz w:val="28"/>
                <w:szCs w:val="28"/>
              </w:rPr>
            </w:pPr>
            <w:r>
              <w:rPr>
                <w:rFonts w:hint="eastAsia" w:ascii="宋体" w:hAnsi="宋体"/>
                <w:sz w:val="28"/>
                <w:szCs w:val="28"/>
              </w:rPr>
              <w:t>人工调整</w:t>
            </w:r>
          </w:p>
        </w:tc>
      </w:tr>
      <w:tr w14:paraId="73929D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2376" w:type="dxa"/>
            <w:vAlign w:val="center"/>
          </w:tcPr>
          <w:p w14:paraId="4B67D383">
            <w:pPr>
              <w:jc w:val="center"/>
              <w:rPr>
                <w:rFonts w:ascii="宋体"/>
                <w:sz w:val="28"/>
                <w:szCs w:val="28"/>
              </w:rPr>
            </w:pPr>
            <w:r>
              <w:rPr>
                <w:rFonts w:hint="eastAsia" w:ascii="宋体" w:hAnsi="宋体"/>
                <w:sz w:val="28"/>
                <w:szCs w:val="28"/>
              </w:rPr>
              <w:t>材料费</w:t>
            </w:r>
          </w:p>
        </w:tc>
        <w:tc>
          <w:tcPr>
            <w:tcW w:w="4536" w:type="dxa"/>
            <w:vAlign w:val="center"/>
          </w:tcPr>
          <w:p w14:paraId="45F85091">
            <w:pPr>
              <w:jc w:val="center"/>
              <w:rPr>
                <w:rFonts w:ascii="宋体"/>
                <w:sz w:val="28"/>
                <w:szCs w:val="28"/>
              </w:rPr>
            </w:pPr>
          </w:p>
        </w:tc>
        <w:tc>
          <w:tcPr>
            <w:tcW w:w="1923" w:type="dxa"/>
            <w:vAlign w:val="center"/>
          </w:tcPr>
          <w:p w14:paraId="08C4111A">
            <w:pPr>
              <w:jc w:val="center"/>
              <w:rPr>
                <w:rFonts w:ascii="宋体"/>
                <w:sz w:val="28"/>
                <w:szCs w:val="28"/>
              </w:rPr>
            </w:pPr>
            <w:r>
              <w:rPr>
                <w:rFonts w:hint="eastAsia" w:ascii="宋体" w:hAnsi="宋体"/>
                <w:sz w:val="28"/>
                <w:szCs w:val="28"/>
              </w:rPr>
              <w:t>包括主材费</w:t>
            </w:r>
          </w:p>
        </w:tc>
      </w:tr>
      <w:tr w14:paraId="78CA7D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2376" w:type="dxa"/>
            <w:vAlign w:val="center"/>
          </w:tcPr>
          <w:p w14:paraId="6F7235B2">
            <w:pPr>
              <w:jc w:val="center"/>
              <w:rPr>
                <w:rFonts w:ascii="宋体"/>
                <w:sz w:val="28"/>
                <w:szCs w:val="28"/>
              </w:rPr>
            </w:pPr>
            <w:r>
              <w:rPr>
                <w:rFonts w:hint="eastAsia" w:ascii="宋体" w:hAnsi="宋体"/>
                <w:sz w:val="28"/>
                <w:szCs w:val="28"/>
              </w:rPr>
              <w:t>机械费</w:t>
            </w:r>
          </w:p>
        </w:tc>
        <w:tc>
          <w:tcPr>
            <w:tcW w:w="4536" w:type="dxa"/>
            <w:vAlign w:val="center"/>
          </w:tcPr>
          <w:p w14:paraId="4A113301">
            <w:pPr>
              <w:jc w:val="center"/>
              <w:rPr>
                <w:rFonts w:ascii="宋体"/>
                <w:sz w:val="28"/>
                <w:szCs w:val="28"/>
              </w:rPr>
            </w:pPr>
          </w:p>
        </w:tc>
        <w:tc>
          <w:tcPr>
            <w:tcW w:w="1923" w:type="dxa"/>
            <w:vAlign w:val="center"/>
          </w:tcPr>
          <w:p w14:paraId="67BA598A">
            <w:pPr>
              <w:jc w:val="center"/>
              <w:rPr>
                <w:rFonts w:ascii="宋体"/>
                <w:sz w:val="28"/>
                <w:szCs w:val="28"/>
              </w:rPr>
            </w:pPr>
          </w:p>
        </w:tc>
      </w:tr>
      <w:tr w14:paraId="44298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2376" w:type="dxa"/>
            <w:vAlign w:val="center"/>
          </w:tcPr>
          <w:p w14:paraId="0EED3D67">
            <w:pPr>
              <w:jc w:val="center"/>
              <w:rPr>
                <w:rFonts w:ascii="宋体"/>
                <w:sz w:val="28"/>
                <w:szCs w:val="28"/>
              </w:rPr>
            </w:pPr>
            <w:r>
              <w:rPr>
                <w:rFonts w:hint="eastAsia" w:ascii="宋体" w:hAnsi="宋体"/>
                <w:sz w:val="28"/>
                <w:szCs w:val="28"/>
              </w:rPr>
              <w:t>合计</w:t>
            </w:r>
          </w:p>
        </w:tc>
        <w:tc>
          <w:tcPr>
            <w:tcW w:w="4536" w:type="dxa"/>
            <w:vAlign w:val="center"/>
          </w:tcPr>
          <w:p w14:paraId="564141EC">
            <w:pPr>
              <w:jc w:val="center"/>
              <w:rPr>
                <w:rFonts w:ascii="宋体"/>
                <w:sz w:val="28"/>
                <w:szCs w:val="28"/>
              </w:rPr>
            </w:pPr>
          </w:p>
        </w:tc>
        <w:tc>
          <w:tcPr>
            <w:tcW w:w="1923" w:type="dxa"/>
            <w:vAlign w:val="center"/>
          </w:tcPr>
          <w:p w14:paraId="2A4BA567">
            <w:pPr>
              <w:jc w:val="center"/>
              <w:rPr>
                <w:rFonts w:ascii="宋体"/>
                <w:sz w:val="28"/>
                <w:szCs w:val="28"/>
              </w:rPr>
            </w:pPr>
          </w:p>
        </w:tc>
      </w:tr>
    </w:tbl>
    <w:p w14:paraId="7D8A794D">
      <w:pPr>
        <w:pStyle w:val="19"/>
        <w:rPr>
          <w:sz w:val="18"/>
          <w:szCs w:val="18"/>
        </w:rPr>
      </w:pPr>
    </w:p>
    <w:tbl>
      <w:tblPr>
        <w:tblStyle w:val="45"/>
        <w:tblW w:w="883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76"/>
        <w:gridCol w:w="4536"/>
        <w:gridCol w:w="1923"/>
      </w:tblGrid>
      <w:tr w14:paraId="438420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8835" w:type="dxa"/>
            <w:gridSpan w:val="3"/>
            <w:vAlign w:val="center"/>
          </w:tcPr>
          <w:p w14:paraId="077D756E">
            <w:pPr>
              <w:jc w:val="center"/>
              <w:rPr>
                <w:rFonts w:ascii="宋体"/>
                <w:sz w:val="28"/>
                <w:szCs w:val="28"/>
              </w:rPr>
            </w:pPr>
            <w:r>
              <w:rPr>
                <w:rFonts w:hint="eastAsia" w:ascii="宋体" w:hAnsi="宋体"/>
                <w:sz w:val="28"/>
                <w:szCs w:val="28"/>
              </w:rPr>
              <w:t>措施项目工程中（元）</w:t>
            </w:r>
          </w:p>
        </w:tc>
      </w:tr>
      <w:tr w14:paraId="4DBA75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2376" w:type="dxa"/>
            <w:vAlign w:val="center"/>
          </w:tcPr>
          <w:p w14:paraId="0374D73C">
            <w:pPr>
              <w:jc w:val="center"/>
              <w:rPr>
                <w:rFonts w:ascii="宋体"/>
                <w:sz w:val="28"/>
                <w:szCs w:val="28"/>
              </w:rPr>
            </w:pPr>
            <w:r>
              <w:rPr>
                <w:rFonts w:hint="eastAsia" w:ascii="宋体" w:hAnsi="宋体"/>
                <w:sz w:val="28"/>
                <w:szCs w:val="28"/>
              </w:rPr>
              <w:t>人工费</w:t>
            </w:r>
          </w:p>
        </w:tc>
        <w:tc>
          <w:tcPr>
            <w:tcW w:w="4536" w:type="dxa"/>
            <w:vAlign w:val="center"/>
          </w:tcPr>
          <w:p w14:paraId="45BB82A3">
            <w:pPr>
              <w:jc w:val="center"/>
              <w:rPr>
                <w:rFonts w:ascii="宋体"/>
                <w:sz w:val="28"/>
                <w:szCs w:val="28"/>
              </w:rPr>
            </w:pPr>
          </w:p>
        </w:tc>
        <w:tc>
          <w:tcPr>
            <w:tcW w:w="1923" w:type="dxa"/>
            <w:vAlign w:val="center"/>
          </w:tcPr>
          <w:p w14:paraId="2A6B1E70">
            <w:pPr>
              <w:jc w:val="center"/>
              <w:rPr>
                <w:rFonts w:ascii="宋体"/>
                <w:sz w:val="28"/>
                <w:szCs w:val="28"/>
              </w:rPr>
            </w:pPr>
            <w:r>
              <w:rPr>
                <w:rFonts w:hint="eastAsia" w:ascii="宋体" w:hAnsi="宋体"/>
                <w:sz w:val="28"/>
                <w:szCs w:val="28"/>
              </w:rPr>
              <w:t>包括政策性</w:t>
            </w:r>
          </w:p>
          <w:p w14:paraId="183A3077">
            <w:pPr>
              <w:jc w:val="center"/>
              <w:rPr>
                <w:rFonts w:ascii="宋体"/>
                <w:sz w:val="28"/>
                <w:szCs w:val="28"/>
              </w:rPr>
            </w:pPr>
            <w:r>
              <w:rPr>
                <w:rFonts w:hint="eastAsia" w:ascii="宋体" w:hAnsi="宋体"/>
                <w:sz w:val="28"/>
                <w:szCs w:val="28"/>
              </w:rPr>
              <w:t>人工调整</w:t>
            </w:r>
          </w:p>
        </w:tc>
      </w:tr>
      <w:tr w14:paraId="19B638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2376" w:type="dxa"/>
            <w:vAlign w:val="center"/>
          </w:tcPr>
          <w:p w14:paraId="2CBFC17E">
            <w:pPr>
              <w:jc w:val="center"/>
              <w:rPr>
                <w:rFonts w:ascii="宋体"/>
                <w:sz w:val="28"/>
                <w:szCs w:val="28"/>
              </w:rPr>
            </w:pPr>
            <w:r>
              <w:rPr>
                <w:rFonts w:hint="eastAsia" w:ascii="宋体" w:hAnsi="宋体"/>
                <w:sz w:val="28"/>
                <w:szCs w:val="28"/>
              </w:rPr>
              <w:t>材料费</w:t>
            </w:r>
          </w:p>
        </w:tc>
        <w:tc>
          <w:tcPr>
            <w:tcW w:w="4536" w:type="dxa"/>
            <w:vAlign w:val="center"/>
          </w:tcPr>
          <w:p w14:paraId="697DE175">
            <w:pPr>
              <w:jc w:val="center"/>
              <w:rPr>
                <w:rFonts w:ascii="宋体"/>
                <w:sz w:val="28"/>
                <w:szCs w:val="28"/>
              </w:rPr>
            </w:pPr>
          </w:p>
        </w:tc>
        <w:tc>
          <w:tcPr>
            <w:tcW w:w="1923" w:type="dxa"/>
            <w:vAlign w:val="center"/>
          </w:tcPr>
          <w:p w14:paraId="02392390">
            <w:pPr>
              <w:jc w:val="center"/>
              <w:rPr>
                <w:rFonts w:ascii="宋体"/>
                <w:sz w:val="28"/>
                <w:szCs w:val="28"/>
              </w:rPr>
            </w:pPr>
          </w:p>
        </w:tc>
      </w:tr>
      <w:tr w14:paraId="656365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2376" w:type="dxa"/>
            <w:vAlign w:val="center"/>
          </w:tcPr>
          <w:p w14:paraId="07153F3D">
            <w:pPr>
              <w:jc w:val="center"/>
              <w:rPr>
                <w:rFonts w:ascii="宋体"/>
                <w:sz w:val="28"/>
                <w:szCs w:val="28"/>
              </w:rPr>
            </w:pPr>
            <w:r>
              <w:rPr>
                <w:rFonts w:hint="eastAsia" w:ascii="宋体" w:hAnsi="宋体"/>
                <w:sz w:val="28"/>
                <w:szCs w:val="28"/>
              </w:rPr>
              <w:t>机械费</w:t>
            </w:r>
          </w:p>
        </w:tc>
        <w:tc>
          <w:tcPr>
            <w:tcW w:w="4536" w:type="dxa"/>
            <w:vAlign w:val="center"/>
          </w:tcPr>
          <w:p w14:paraId="67AFC4FB">
            <w:pPr>
              <w:jc w:val="center"/>
              <w:rPr>
                <w:rFonts w:ascii="宋体"/>
                <w:sz w:val="28"/>
                <w:szCs w:val="28"/>
              </w:rPr>
            </w:pPr>
          </w:p>
        </w:tc>
        <w:tc>
          <w:tcPr>
            <w:tcW w:w="1923" w:type="dxa"/>
            <w:vAlign w:val="center"/>
          </w:tcPr>
          <w:p w14:paraId="61AD5DA1">
            <w:pPr>
              <w:jc w:val="center"/>
              <w:rPr>
                <w:rFonts w:ascii="宋体"/>
                <w:sz w:val="28"/>
                <w:szCs w:val="28"/>
              </w:rPr>
            </w:pPr>
          </w:p>
        </w:tc>
      </w:tr>
      <w:tr w14:paraId="331C70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2376" w:type="dxa"/>
            <w:vAlign w:val="center"/>
          </w:tcPr>
          <w:p w14:paraId="6288F454">
            <w:pPr>
              <w:jc w:val="center"/>
              <w:rPr>
                <w:rFonts w:ascii="宋体"/>
                <w:sz w:val="28"/>
                <w:szCs w:val="28"/>
              </w:rPr>
            </w:pPr>
            <w:r>
              <w:rPr>
                <w:rFonts w:hint="eastAsia" w:ascii="宋体" w:hAnsi="宋体"/>
                <w:sz w:val="28"/>
                <w:szCs w:val="28"/>
              </w:rPr>
              <w:t>合计</w:t>
            </w:r>
          </w:p>
        </w:tc>
        <w:tc>
          <w:tcPr>
            <w:tcW w:w="4536" w:type="dxa"/>
            <w:vAlign w:val="center"/>
          </w:tcPr>
          <w:p w14:paraId="62C5C560">
            <w:pPr>
              <w:jc w:val="center"/>
              <w:rPr>
                <w:rFonts w:ascii="宋体"/>
                <w:sz w:val="28"/>
                <w:szCs w:val="28"/>
              </w:rPr>
            </w:pPr>
          </w:p>
        </w:tc>
        <w:tc>
          <w:tcPr>
            <w:tcW w:w="1923" w:type="dxa"/>
            <w:vAlign w:val="center"/>
          </w:tcPr>
          <w:p w14:paraId="68065B8D">
            <w:pPr>
              <w:jc w:val="center"/>
              <w:rPr>
                <w:rFonts w:ascii="宋体"/>
                <w:sz w:val="28"/>
                <w:szCs w:val="28"/>
              </w:rPr>
            </w:pPr>
          </w:p>
        </w:tc>
      </w:tr>
    </w:tbl>
    <w:p w14:paraId="13F5D33B">
      <w:pPr>
        <w:pStyle w:val="19"/>
        <w:rPr>
          <w:sz w:val="18"/>
          <w:szCs w:val="18"/>
        </w:rPr>
      </w:pPr>
    </w:p>
    <w:tbl>
      <w:tblPr>
        <w:tblStyle w:val="4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96"/>
        <w:gridCol w:w="4587"/>
        <w:gridCol w:w="1927"/>
      </w:tblGrid>
      <w:tr w14:paraId="4E6522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8910" w:type="dxa"/>
            <w:gridSpan w:val="3"/>
            <w:vAlign w:val="center"/>
          </w:tcPr>
          <w:p w14:paraId="05762363">
            <w:pPr>
              <w:jc w:val="center"/>
              <w:rPr>
                <w:rFonts w:ascii="宋体"/>
                <w:sz w:val="28"/>
                <w:szCs w:val="28"/>
              </w:rPr>
            </w:pPr>
            <w:r>
              <w:rPr>
                <w:rFonts w:hint="eastAsia" w:ascii="宋体" w:hAnsi="宋体"/>
                <w:sz w:val="28"/>
                <w:szCs w:val="28"/>
              </w:rPr>
              <w:t>利润总额（元）</w:t>
            </w:r>
          </w:p>
        </w:tc>
      </w:tr>
      <w:tr w14:paraId="173EB4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2396" w:type="dxa"/>
            <w:vAlign w:val="center"/>
          </w:tcPr>
          <w:p w14:paraId="45D4F2DD">
            <w:pPr>
              <w:jc w:val="center"/>
              <w:rPr>
                <w:rFonts w:ascii="宋体"/>
                <w:sz w:val="28"/>
                <w:szCs w:val="28"/>
              </w:rPr>
            </w:pPr>
            <w:r>
              <w:rPr>
                <w:rFonts w:hint="eastAsia" w:ascii="宋体" w:hAnsi="宋体"/>
                <w:sz w:val="28"/>
                <w:szCs w:val="28"/>
              </w:rPr>
              <w:t>利润合计</w:t>
            </w:r>
          </w:p>
        </w:tc>
        <w:tc>
          <w:tcPr>
            <w:tcW w:w="4587" w:type="dxa"/>
            <w:vAlign w:val="center"/>
          </w:tcPr>
          <w:p w14:paraId="44A5A429">
            <w:pPr>
              <w:jc w:val="center"/>
              <w:rPr>
                <w:rFonts w:ascii="宋体"/>
                <w:sz w:val="44"/>
                <w:szCs w:val="44"/>
              </w:rPr>
            </w:pPr>
          </w:p>
        </w:tc>
        <w:tc>
          <w:tcPr>
            <w:tcW w:w="1927" w:type="dxa"/>
            <w:vAlign w:val="center"/>
          </w:tcPr>
          <w:p w14:paraId="76E3CC5F">
            <w:pPr>
              <w:jc w:val="center"/>
              <w:rPr>
                <w:rFonts w:ascii="宋体"/>
                <w:sz w:val="44"/>
                <w:szCs w:val="44"/>
              </w:rPr>
            </w:pPr>
          </w:p>
        </w:tc>
      </w:tr>
    </w:tbl>
    <w:p w14:paraId="4DC92AC1">
      <w:pPr>
        <w:pStyle w:val="19"/>
        <w:rPr>
          <w:szCs w:val="21"/>
        </w:rPr>
      </w:pPr>
    </w:p>
    <w:p w14:paraId="623A309A">
      <w:pPr>
        <w:widowControl w:val="0"/>
        <w:tabs>
          <w:tab w:val="left" w:pos="6135"/>
        </w:tabs>
        <w:jc w:val="right"/>
        <w:textAlignment w:val="auto"/>
        <w:rPr>
          <w:rFonts w:eastAsia="黑体"/>
        </w:rPr>
      </w:pPr>
      <w:r>
        <w:rPr>
          <w:rFonts w:hint="eastAsia" w:eastAsia="黑体"/>
        </w:rPr>
        <w:t>表</w:t>
      </w:r>
      <w:r>
        <w:rPr>
          <w:rFonts w:eastAsia="黑体"/>
        </w:rPr>
        <w:t>-24</w:t>
      </w:r>
    </w:p>
    <w:sectPr>
      <w:footerReference r:id="rId15"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MS Sans Serif">
    <w:altName w:val="Arial"/>
    <w:panose1 w:val="00000000000000000000"/>
    <w:charset w:val="00"/>
    <w:family w:val="swiss"/>
    <w:pitch w:val="default"/>
    <w:sig w:usb0="00000000" w:usb1="00000000" w:usb2="00000000" w:usb3="00000000" w:csb0="00000001" w:csb1="00000000"/>
  </w:font>
  <w:font w:name="Consolas">
    <w:panose1 w:val="020B0609020204030204"/>
    <w:charset w:val="00"/>
    <w:family w:val="modern"/>
    <w:pitch w:val="default"/>
    <w:sig w:usb0="E10002FF" w:usb1="4000FCFF" w:usb2="00000009" w:usb3="00000000" w:csb0="6000019F" w:csb1="DFD70000"/>
  </w:font>
  <w:font w:name="PMingLiUfalt">
    <w:altName w:val="MingLiU-ExtB"/>
    <w:panose1 w:val="00000000000000000000"/>
    <w:charset w:val="88"/>
    <w:family w:val="roman"/>
    <w:pitch w:val="default"/>
    <w:sig w:usb0="00000000" w:usb1="00000000" w:usb2="00000010" w:usb3="00000000" w:csb0="00100000" w:csb1="00000000"/>
  </w:font>
  <w:font w:name="MS Gothicfalt">
    <w:altName w:val="MS Mincho"/>
    <w:panose1 w:val="00000000000000000000"/>
    <w:charset w:val="80"/>
    <w:family w:val="modern"/>
    <w:pitch w:val="default"/>
    <w:sig w:usb0="00000000" w:usb1="00000000" w:usb2="00000010" w:usb3="00000000" w:csb0="00020000" w:csb1="00000000"/>
  </w:font>
  <w:font w:name="Swis721 BT">
    <w:altName w:val="Arial"/>
    <w:panose1 w:val="00000000000000000000"/>
    <w:charset w:val="00"/>
    <w:family w:val="swiss"/>
    <w:pitch w:val="default"/>
    <w:sig w:usb0="00000000" w:usb1="00000000" w:usb2="00000000" w:usb3="00000000" w:csb0="00000001" w:csb1="00000000"/>
  </w:font>
  <w:font w:name="仿宋_GB2312">
    <w:altName w:val="仿宋"/>
    <w:panose1 w:val="00000000000000000000"/>
    <w:charset w:val="86"/>
    <w:family w:val="modern"/>
    <w:pitch w:val="default"/>
    <w:sig w:usb0="00000000" w:usb1="00000000" w:usb2="00000000" w:usb3="00000000" w:csb0="00040000" w:csb1="00000000"/>
  </w:font>
  <w:font w:name="方正书宋简体">
    <w:altName w:val="宋体"/>
    <w:panose1 w:val="00000000000000000000"/>
    <w:charset w:val="86"/>
    <w:family w:val="script"/>
    <w:pitch w:val="default"/>
    <w:sig w:usb0="00000000" w:usb1="00000000" w:usb2="00000010" w:usb3="00000000" w:csb0="00040000" w:csb1="00000000"/>
  </w:font>
  <w:font w:name="方正小标宋_GBK">
    <w:altName w:val="微软雅黑"/>
    <w:panose1 w:val="00000000000000000000"/>
    <w:charset w:val="86"/>
    <w:family w:val="script"/>
    <w:pitch w:val="default"/>
    <w:sig w:usb0="00000000" w:usb1="00000000" w:usb2="00000010" w:usb3="00000000" w:csb0="00040000" w:csb1="00000000"/>
  </w:font>
  <w:font w:name="Arial Black">
    <w:panose1 w:val="020B0A04020102020204"/>
    <w:charset w:val="00"/>
    <w:family w:val="swiss"/>
    <w:pitch w:val="default"/>
    <w:sig w:usb0="00000287" w:usb1="00000000" w:usb2="00000000" w:usb3="00000000" w:csb0="2000009F" w:csb1="DFD70000"/>
  </w:font>
  <w:font w:name="楷体_GB2312">
    <w:altName w:val="楷体"/>
    <w:panose1 w:val="00000000000000000000"/>
    <w:charset w:val="86"/>
    <w:family w:val="modern"/>
    <w:pitch w:val="default"/>
    <w:sig w:usb0="00000000" w:usb1="00000000" w:usb2="00000010" w:usb3="00000000" w:csb0="00040000" w:csb1="00000000"/>
  </w:font>
  <w:font w:name="Calibri Light">
    <w:panose1 w:val="020F0302020204030204"/>
    <w:charset w:val="00"/>
    <w:family w:val="roman"/>
    <w:pitch w:val="default"/>
    <w:sig w:usb0="A00002EF" w:usb1="4000207B" w:usb2="00000000" w:usb3="00000000" w:csb0="2000019F" w:csb1="00000000"/>
  </w:font>
  <w:font w:name="Cambria">
    <w:panose1 w:val="02040503050406030204"/>
    <w:charset w:val="00"/>
    <w:family w:val="roman"/>
    <w:pitch w:val="default"/>
    <w:sig w:usb0="E00002FF" w:usb1="400004FF" w:usb2="00000000" w:usb3="00000000" w:csb0="2000019F" w:csb1="00000000"/>
  </w:font>
  <w:font w:name="..ì.">
    <w:altName w:val="宋体"/>
    <w:panose1 w:val="00000000000000000000"/>
    <w:charset w:val="86"/>
    <w:family w:val="auto"/>
    <w:pitch w:val="default"/>
    <w:sig w:usb0="00000000" w:usb1="00000000" w:usb2="00000010" w:usb3="00000000" w:csb0="00040000" w:csb1="00000000"/>
  </w:font>
  <w:font w:name="Microsoft YaHei UI">
    <w:panose1 w:val="020B0503020204020204"/>
    <w:charset w:val="86"/>
    <w:family w:val="swiss"/>
    <w:pitch w:val="default"/>
    <w:sig w:usb0="80000287" w:usb1="2ACF3C50" w:usb2="00000016" w:usb3="00000000" w:csb0="0004001F" w:csb1="00000000"/>
  </w:font>
  <w:font w:name="Arial Unicode MS">
    <w:altName w:val="Arial"/>
    <w:panose1 w:val="020B0604020202020204"/>
    <w:charset w:val="00"/>
    <w:family w:val="roman"/>
    <w:pitch w:val="default"/>
    <w:sig w:usb0="00000000" w:usb1="00000000" w:usb2="00000000" w:usb3="00000000" w:csb0="00000001" w:csb1="00000000"/>
  </w:font>
  <w:font w:name="华文中宋">
    <w:altName w:val="宋体"/>
    <w:panose1 w:val="00000000000000000000"/>
    <w:charset w:val="86"/>
    <w:family w:val="auto"/>
    <w:pitch w:val="default"/>
    <w:sig w:usb0="00000000" w:usb1="00000000" w:usb2="00000010" w:usb3="00000000" w:csb0="0004009F" w:csb1="00000000"/>
  </w:font>
  <w:font w:name="宋体-18030">
    <w:altName w:val="微软雅黑"/>
    <w:panose1 w:val="00000000000000000000"/>
    <w:charset w:val="86"/>
    <w:family w:val="modern"/>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MS Minchofalt">
    <w:altName w:val="MS Gothic"/>
    <w:panose1 w:val="00000000000000000000"/>
    <w:charset w:val="80"/>
    <w:family w:val="modern"/>
    <w:pitch w:val="default"/>
    <w:sig w:usb0="00000000" w:usb1="00000000" w:usb2="00000010" w:usb3="00000000" w:csb0="00020000" w:csb1="00000000"/>
  </w:font>
  <w:font w:name="New York">
    <w:altName w:val="DejaVu Math TeX Gyre"/>
    <w:panose1 w:val="02040503060506020304"/>
    <w:charset w:val="00"/>
    <w:family w:val="roman"/>
    <w:pitch w:val="default"/>
    <w:sig w:usb0="00000000" w:usb1="00000000" w:usb2="00000000" w:usb3="00000000" w:csb0="00000001" w:csb1="00000000"/>
  </w:font>
  <w:font w:name="Helv">
    <w:altName w:val="Segoe Print"/>
    <w:panose1 w:val="020B0604020202030204"/>
    <w:charset w:val="00"/>
    <w:family w:val="swiss"/>
    <w:pitch w:val="default"/>
    <w:sig w:usb0="00000000" w:usb1="00000000" w:usb2="00000000" w:usb3="00000000" w:csb0="00000001" w:csb1="00000000"/>
  </w:font>
  <w:font w:name="?">
    <w:altName w:val="宋体"/>
    <w:panose1 w:val="00000000000000000000"/>
    <w:charset w:val="86"/>
    <w:family w:val="roman"/>
    <w:pitch w:val="default"/>
    <w:sig w:usb0="00000000" w:usb1="00000000" w:usb2="00000010" w:usb3="00000000" w:csb0="00040000" w:csb1="00000000"/>
  </w:font>
  <w:font w:name="Tms Rmn">
    <w:altName w:val="Segoe Print"/>
    <w:panose1 w:val="02020603040505020304"/>
    <w:charset w:val="00"/>
    <w:family w:val="roman"/>
    <w:pitch w:val="default"/>
    <w:sig w:usb0="00000000" w:usb1="00000000" w:usb2="00000000" w:usb3="00000000" w:csb0="00000001" w:csb1="00000000"/>
  </w:font>
  <w:font w:name="华文细黑">
    <w:altName w:val="微软雅黑"/>
    <w:panose1 w:val="00000000000000000000"/>
    <w:charset w:val="86"/>
    <w:family w:val="auto"/>
    <w:pitch w:val="default"/>
    <w:sig w:usb0="00000000" w:usb1="00000000" w:usb2="00000000" w:usb3="00000000" w:csb0="0004009F" w:csb1="DFD70000"/>
  </w:font>
  <w:font w:name="Swis721 Lt BT">
    <w:altName w:val="Segoe Print"/>
    <w:panose1 w:val="00000000000000000000"/>
    <w:charset w:val="00"/>
    <w:family w:val="swiss"/>
    <w:pitch w:val="default"/>
    <w:sig w:usb0="00000000" w:usb1="00000000" w:usb2="00000000" w:usb3="00000000" w:csb0="00000001"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 w:name="Garamond">
    <w:altName w:val="Segoe Print"/>
    <w:panose1 w:val="00000000000000000000"/>
    <w:charset w:val="00"/>
    <w:family w:val="roman"/>
    <w:pitch w:val="default"/>
    <w:sig w:usb0="00000000" w:usb1="00000000" w:usb2="00000000" w:usb3="00000000" w:csb0="0000009F" w:csb1="DFD70000"/>
  </w:font>
  <w:font w:name="Verdana">
    <w:panose1 w:val="020B0604030504040204"/>
    <w:charset w:val="00"/>
    <w:family w:val="swiss"/>
    <w:pitch w:val="default"/>
    <w:sig w:usb0="A10006FF" w:usb1="4000205B" w:usb2="00000010" w:usb3="00000000" w:csb0="2000019F" w:csb1="00000000"/>
  </w:font>
  <w:font w:name="长城楷体">
    <w:altName w:val="宋体"/>
    <w:panose1 w:val="00000000000000000000"/>
    <w:charset w:val="86"/>
    <w:family w:val="modern"/>
    <w:pitch w:val="default"/>
    <w:sig w:usb0="00000000" w:usb1="00000000" w:usb2="00000010" w:usb3="00000000" w:csb0="00040000" w:csb1="00000000"/>
  </w:font>
  <w:font w:name="????">
    <w:altName w:val="Malgun Gothic"/>
    <w:panose1 w:val="00000000000000000000"/>
    <w:charset w:val="81"/>
    <w:family w:val="auto"/>
    <w:pitch w:val="default"/>
    <w:sig w:usb0="00000000" w:usb1="00000000" w:usb2="00000010" w:usb3="00000000" w:csb0="00080000" w:csb1="00000000"/>
  </w:font>
  <w:font w:name="长城仿宋">
    <w:altName w:val="黑体"/>
    <w:panose1 w:val="00000000000000000000"/>
    <w:charset w:val="86"/>
    <w:family w:val="modern"/>
    <w:pitch w:val="default"/>
    <w:sig w:usb0="00000000" w:usb1="00000000" w:usb2="00000010" w:usb3="00000000" w:csb0="00040000" w:csb1="00000000"/>
  </w:font>
  <w:font w:name="Times">
    <w:altName w:val="Times New Roman"/>
    <w:panose1 w:val="02020603050405020304"/>
    <w:charset w:val="00"/>
    <w:family w:val="roman"/>
    <w:pitch w:val="default"/>
    <w:sig w:usb0="00000000" w:usb1="00000000" w:usb2="00000008" w:usb3="00000000" w:csb0="000001FF" w:csb1="00000000"/>
  </w:font>
  <w:font w:name="CG Times">
    <w:altName w:val="Times New Roman"/>
    <w:panose1 w:val="00000000000000000000"/>
    <w:charset w:val="00"/>
    <w:family w:val="roman"/>
    <w:pitch w:val="default"/>
    <w:sig w:usb0="00000000" w:usb1="00000000" w:usb2="00000000" w:usb3="00000000" w:csb0="00000093" w:csb1="00000000"/>
  </w:font>
  <w:font w:name="仿宋">
    <w:panose1 w:val="02010609060101010101"/>
    <w:charset w:val="86"/>
    <w:family w:val="auto"/>
    <w:pitch w:val="default"/>
    <w:sig w:usb0="800002BF" w:usb1="38CF7CFA" w:usb2="00000016" w:usb3="00000000" w:csb0="00040001" w:csb1="00000000"/>
  </w:font>
  <w:font w:name="MS Gothic">
    <w:panose1 w:val="020B0609070205080204"/>
    <w:charset w:val="80"/>
    <w:family w:val="auto"/>
    <w:pitch w:val="default"/>
    <w:sig w:usb0="E00002FF" w:usb1="6AC7FDFB" w:usb2="00000012" w:usb3="00000000" w:csb0="4002009F" w:csb1="DFD70000"/>
  </w:font>
  <w:font w:name="方正小标宋简体">
    <w:altName w:val="微软雅黑"/>
    <w:panose1 w:val="00000000000000000000"/>
    <w:charset w:val="86"/>
    <w:family w:val="auto"/>
    <w:pitch w:val="default"/>
    <w:sig w:usb0="00000000" w:usb1="00000000" w:usb2="00000012" w:usb3="00000000" w:csb0="00040001" w:csb1="00000000"/>
  </w:font>
  <w:font w:name="MingLiU-ExtB">
    <w:panose1 w:val="02020500000000000000"/>
    <w:charset w:val="88"/>
    <w:family w:val="auto"/>
    <w:pitch w:val="default"/>
    <w:sig w:usb0="8000002F" w:usb1="02000008" w:usb2="00000000" w:usb3="00000000" w:csb0="00100001" w:csb1="00000000"/>
  </w:font>
  <w:font w:name="Segoe Print">
    <w:panose1 w:val="02000600000000000000"/>
    <w:charset w:val="00"/>
    <w:family w:val="auto"/>
    <w:pitch w:val="default"/>
    <w:sig w:usb0="0000028F" w:usb1="00000000" w:usb2="00000000" w:usb3="00000000" w:csb0="2000009F" w:csb1="47010000"/>
  </w:font>
  <w:font w:name="Malgun Gothic">
    <w:panose1 w:val="020B0503020000020004"/>
    <w:charset w:val="81"/>
    <w:family w:val="auto"/>
    <w:pitch w:val="default"/>
    <w:sig w:usb0="900002AF" w:usb1="01D77CFB" w:usb2="00000012" w:usb3="00000000" w:csb0="00080001" w:csb1="00000000"/>
  </w:font>
  <w:font w:name="MS Mincho">
    <w:panose1 w:val="02020609040205080304"/>
    <w:charset w:val="80"/>
    <w:family w:val="auto"/>
    <w:pitch w:val="default"/>
    <w:sig w:usb0="E00002FF" w:usb1="6AC7FDFB" w:usb2="00000012" w:usb3="00000000" w:csb0="4002009F" w:csb1="DFD70000"/>
  </w:font>
  <w:font w:name="DejaVu Math TeX Gyre">
    <w:panose1 w:val="02000503000000000000"/>
    <w:charset w:val="00"/>
    <w:family w:val="auto"/>
    <w:pitch w:val="default"/>
    <w:sig w:usb0="A10000EF" w:usb1="4201F9EE" w:usb2="02000000" w:usb3="00000000" w:csb0="60000193" w:csb1="0DD4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24AB7F">
    <w:pPr>
      <w:pStyle w:val="29"/>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C983EC">
    <w:pPr>
      <w:pStyle w:val="29"/>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6E572A">
    <w:pPr>
      <w:pStyle w:val="29"/>
    </w:pPr>
    <w:r>
      <w:rPr>
        <w:rFonts w:hint="eastAsia"/>
      </w:rPr>
      <w:t>2</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7D6BFF">
    <w:r>
      <w:fldChar w:fldCharType="begin"/>
    </w:r>
    <w:r>
      <w:instrText xml:space="preserve"> PAGE   \* MERGEFORMAT </w:instrText>
    </w:r>
    <w:r>
      <w:fldChar w:fldCharType="separate"/>
    </w:r>
    <w:r>
      <w:rPr>
        <w:rFonts w:eastAsia="Times New Roman"/>
        <w:sz w:val="18"/>
      </w:rPr>
      <w:t>1</w:t>
    </w:r>
    <w:r>
      <w:rPr>
        <w:rFonts w:eastAsia="Times New Roman"/>
        <w:sz w:val="18"/>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F8A1CC">
    <w:pPr>
      <w:pStyle w:val="29"/>
    </w:pPr>
    <w:r>
      <w:fldChar w:fldCharType="begin"/>
    </w:r>
    <w:r>
      <w:instrText xml:space="preserve">PAGE   \* MERGEFORMAT</w:instrText>
    </w:r>
    <w:r>
      <w:fldChar w:fldCharType="separate"/>
    </w:r>
    <w:r>
      <w:rPr>
        <w:lang w:val="zh-CN"/>
      </w:rPr>
      <w:t>2</w:t>
    </w:r>
    <w: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BB2E4D">
    <w:pPr>
      <w:pStyle w:val="29"/>
    </w:pPr>
    <w:r>
      <w:fldChar w:fldCharType="begin"/>
    </w:r>
    <w:r>
      <w:instrText xml:space="preserve">PAGE   \* MERGEFORMAT</w:instrText>
    </w:r>
    <w:r>
      <w:fldChar w:fldCharType="separate"/>
    </w:r>
    <w:r>
      <w:rPr>
        <w:lang w:val="zh-CN"/>
      </w:rPr>
      <w:t>1</w:t>
    </w:r>
    <w:r>
      <w:fldChar w:fldCharType="end"/>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74D9B6">
    <w:pPr>
      <w:pStyle w:val="29"/>
    </w:pPr>
    <w:r>
      <w:fldChar w:fldCharType="begin"/>
    </w:r>
    <w:r>
      <w:instrText xml:space="preserve">PAGE   \* MERGEFORMAT</w:instrText>
    </w:r>
    <w:r>
      <w:fldChar w:fldCharType="separate"/>
    </w:r>
    <w:r>
      <w:rPr>
        <w:lang w:val="zh-CN"/>
      </w:rPr>
      <w:t>1</w:t>
    </w:r>
    <w:r>
      <w:fldChar w:fldCharType="end"/>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87F40B">
    <w:pPr>
      <w:pStyle w:val="29"/>
      <w:rPr>
        <w:rFonts w:cs="宋体"/>
      </w:rPr>
    </w:pPr>
    <w:r>
      <w:rPr>
        <w:rFonts w:hint="eastAsia" w:cs="宋体"/>
      </w:rPr>
      <w:fldChar w:fldCharType="begin"/>
    </w:r>
    <w:r>
      <w:rPr>
        <w:rFonts w:hint="eastAsia" w:cs="宋体"/>
      </w:rPr>
      <w:instrText xml:space="preserve"> PAGE   \* MERGEFORMAT </w:instrText>
    </w:r>
    <w:r>
      <w:rPr>
        <w:rFonts w:hint="eastAsia" w:cs="宋体"/>
      </w:rPr>
      <w:fldChar w:fldCharType="separate"/>
    </w:r>
    <w:r>
      <w:rPr>
        <w:rFonts w:cs="宋体"/>
      </w:rPr>
      <w:t>93</w:t>
    </w:r>
    <w:r>
      <w:rPr>
        <w:rFonts w:hint="eastAsia" w:cs="宋体"/>
      </w:rPr>
      <w:fldChar w:fldCharType="end"/>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2E9701">
    <w:pPr>
      <w:snapToGrid w:val="0"/>
      <w:ind w:right="360" w:firstLine="360"/>
      <w:jc w:val="left"/>
      <w:rPr>
        <w:rFonts w:eastAsia="仿宋_GB2312"/>
        <w:sz w:val="18"/>
        <w:szCs w:val="18"/>
      </w:rPr>
    </w:pPr>
    <w:r>
      <w:pict>
        <v:shape id="文本框 6" o:spid="_x0000_s3078" o:spt="202" type="#_x0000_t202" style="position:absolute;left:0pt;margin-top:0pt;height:144pt;width:144pt;mso-position-horizontal:center;mso-position-horizontal-relative:margin;mso-wrap-style:none;z-index:251659264;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">
          <v:path/>
          <v:fill on="f" focussize="0,0"/>
          <v:stroke on="f" weight="0.5pt" joinstyle="miter"/>
          <v:imagedata o:title=""/>
          <o:lock v:ext="edit"/>
          <v:textbox inset="0mm,0mm,0mm,0mm" style="mso-fit-shape-to-text:t;">
            <w:txbxContent>
              <w:p w14:paraId="4AAB21A2">
                <w:pPr>
                  <w:pStyle w:val="29"/>
                </w:pPr>
                <w:r>
                  <w:fldChar w:fldCharType="begin"/>
                </w:r>
                <w:r>
                  <w:instrText xml:space="preserve"> PAGE  \* MERGEFORMAT </w:instrText>
                </w:r>
                <w:r>
                  <w:fldChar w:fldCharType="separate"/>
                </w:r>
                <w:r>
                  <w:t>143</w:t>
                </w:r>
                <w:r>
                  <w:fldChar w:fldCharType="end"/>
                </w:r>
              </w:p>
            </w:txbxContent>
          </v:textbox>
        </v:shape>
      </w:pict>
    </w:r>
    <w:r>
      <w:pict>
        <v:shape id="文本框 26" o:spid="_x0000_s3077" o:spt="202" type="#_x0000_t202" style="position:absolute;left:0pt;margin-top:0pt;height:144pt;width:144pt;mso-position-horizontal:outside;mso-position-horizontal-relative:margin;mso-wrap-style:none;z-index:251659264;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">
          <v:path/>
          <v:fill on="f" focussize="0,0"/>
          <v:stroke on="f" joinstyle="miter"/>
          <v:imagedata o:title=""/>
          <o:lock v:ext="edit"/>
          <v:textbox inset="0mm,0mm,0mm,0mm" style="mso-fit-shape-to-text:t;">
            <w:txbxContent>
              <w:p w14:paraId="1C27CFB7">
                <w:pPr>
                  <w:snapToGrid w:val="0"/>
                  <w:jc w:val="left"/>
                  <w:rPr>
                    <w:rFonts w:ascii="宋体" w:hAnsi="宋体" w:cs="宋体"/>
                    <w:sz w:val="28"/>
                    <w:szCs w:val="28"/>
                  </w:rPr>
                </w:pPr>
              </w:p>
            </w:txbxContent>
          </v:textbox>
        </v:shape>
      </w:pic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5302C7">
    <w:pPr>
      <w:pStyle w:val="29"/>
      <w:pBdr>
        <w:top w:val="single" w:color="auto" w:sz="4" w:space="0"/>
      </w:pBdr>
      <w:jc w:val="center"/>
    </w:pPr>
    <w:r>
      <w:pict>
        <v:shape id="_x0000_s3075" o:spid="_x0000_s3075"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joinstyle="miter"/>
          <v:imagedata o:title=""/>
          <o:lock v:ext="edit"/>
          <v:textbox inset="0mm,0mm,0mm,0mm" style="mso-fit-shape-to-text:t;">
            <w:txbxContent>
              <w:p w14:paraId="769F9980">
                <w:pPr>
                  <w:pStyle w:val="29"/>
                </w:pPr>
                <w:r>
                  <w:fldChar w:fldCharType="begin"/>
                </w:r>
                <w:r>
                  <w:instrText xml:space="preserve"> PAGE  \* MERGEFORMAT </w:instrText>
                </w:r>
                <w:r>
                  <w:fldChar w:fldCharType="separate"/>
                </w:r>
                <w:r>
                  <w:t>154</w:t>
                </w:r>
                <w: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49926F">
    <w:pPr>
      <w:pStyle w:val="30"/>
      <w:jc w:val="right"/>
      <w:rPr>
        <w:bCs/>
      </w:rPr>
    </w:pPr>
  </w:p>
  <w:p w14:paraId="1D436BB5">
    <w:pPr>
      <w:pStyle w:val="30"/>
      <w:jc w:val="right"/>
    </w:pPr>
    <w:r>
      <w:rPr>
        <w:rFonts w:hint="eastAsia"/>
        <w:bCs/>
      </w:rPr>
      <w:t>工程总承包招标文件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79ED34">
    <w:pPr>
      <w:pStyle w:val="30"/>
      <w:jc w:val="right"/>
    </w:pPr>
    <w:r>
      <w:rPr>
        <w:rFonts w:hint="eastAsia"/>
        <w:bCs/>
      </w:rPr>
      <w:t xml:space="preserve"> 工程总承包招标文件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0DF079">
    <w:pPr>
      <w:pStyle w:val="2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C78282"/>
    <w:multiLevelType w:val="singleLevel"/>
    <w:tmpl w:val="83C78282"/>
    <w:lvl w:ilvl="0" w:tentative="0">
      <w:start w:val="2"/>
      <w:numFmt w:val="decimal"/>
      <w:pStyle w:val="983"/>
      <w:suff w:val="nothing"/>
      <w:lvlText w:val="%1、"/>
      <w:lvlJc w:val="left"/>
      <w:pPr>
        <w:ind w:left="360"/>
      </w:pPr>
      <w:rPr>
        <w:rFonts w:cs="Times New Roman"/>
      </w:rPr>
    </w:lvl>
  </w:abstractNum>
  <w:abstractNum w:abstractNumId="1">
    <w:nsid w:val="8C23BCAE"/>
    <w:multiLevelType w:val="singleLevel"/>
    <w:tmpl w:val="8C23BCAE"/>
    <w:lvl w:ilvl="0" w:tentative="0">
      <w:start w:val="1"/>
      <w:numFmt w:val="decimal"/>
      <w:suff w:val="nothing"/>
      <w:lvlText w:val="%1、"/>
      <w:lvlJc w:val="left"/>
    </w:lvl>
  </w:abstractNum>
  <w:abstractNum w:abstractNumId="2">
    <w:nsid w:val="96C1762A"/>
    <w:multiLevelType w:val="singleLevel"/>
    <w:tmpl w:val="96C1762A"/>
    <w:lvl w:ilvl="0" w:tentative="0">
      <w:start w:val="2"/>
      <w:numFmt w:val="chineseCounting"/>
      <w:pStyle w:val="970"/>
      <w:suff w:val="nothing"/>
      <w:lvlText w:val="%1、"/>
      <w:lvlJc w:val="left"/>
      <w:rPr>
        <w:rFonts w:hint="eastAsia" w:cs="Times New Roman"/>
      </w:rPr>
    </w:lvl>
  </w:abstractNum>
  <w:abstractNum w:abstractNumId="3">
    <w:nsid w:val="98BEFC03"/>
    <w:multiLevelType w:val="singleLevel"/>
    <w:tmpl w:val="98BEFC03"/>
    <w:lvl w:ilvl="0" w:tentative="0">
      <w:start w:val="1"/>
      <w:numFmt w:val="decimal"/>
      <w:pStyle w:val="978"/>
      <w:suff w:val="nothing"/>
      <w:lvlText w:val="%1、"/>
      <w:lvlJc w:val="left"/>
      <w:rPr>
        <w:rFonts w:cs="Times New Roman"/>
      </w:rPr>
    </w:lvl>
  </w:abstractNum>
  <w:abstractNum w:abstractNumId="4">
    <w:nsid w:val="F6266BC4"/>
    <w:multiLevelType w:val="singleLevel"/>
    <w:tmpl w:val="F6266BC4"/>
    <w:lvl w:ilvl="0" w:tentative="0">
      <w:start w:val="1"/>
      <w:numFmt w:val="decimal"/>
      <w:suff w:val="nothing"/>
      <w:lvlText w:val="（%1）"/>
      <w:lvlJc w:val="left"/>
      <w:rPr>
        <w:rFonts w:cs="Times New Roman"/>
      </w:rPr>
    </w:lvl>
  </w:abstractNum>
  <w:abstractNum w:abstractNumId="5">
    <w:nsid w:val="FFCB82DE"/>
    <w:multiLevelType w:val="singleLevel"/>
    <w:tmpl w:val="FFCB82DE"/>
    <w:lvl w:ilvl="0" w:tentative="0">
      <w:start w:val="1"/>
      <w:numFmt w:val="decimal"/>
      <w:suff w:val="nothing"/>
      <w:lvlText w:val="%1．"/>
      <w:lvlJc w:val="left"/>
      <w:rPr>
        <w:rFonts w:cs="Times New Roman"/>
      </w:rPr>
    </w:lvl>
  </w:abstractNum>
  <w:abstractNum w:abstractNumId="6">
    <w:nsid w:val="0FE190CD"/>
    <w:multiLevelType w:val="singleLevel"/>
    <w:tmpl w:val="0FE190CD"/>
    <w:lvl w:ilvl="0" w:tentative="0">
      <w:start w:val="0"/>
      <w:numFmt w:val="decimal"/>
      <w:pStyle w:val="966"/>
      <w:lvlText w:val=""/>
      <w:lvlJc w:val="left"/>
      <w:rPr>
        <w:rFonts w:cs="Times New Roman"/>
      </w:rPr>
    </w:lvl>
  </w:abstractNum>
  <w:abstractNum w:abstractNumId="7">
    <w:nsid w:val="27C00967"/>
    <w:multiLevelType w:val="singleLevel"/>
    <w:tmpl w:val="27C00967"/>
    <w:lvl w:ilvl="0" w:tentative="0">
      <w:start w:val="2"/>
      <w:numFmt w:val="chineseCounting"/>
      <w:suff w:val="nothing"/>
      <w:lvlText w:val="（%1）"/>
      <w:lvlJc w:val="left"/>
      <w:rPr>
        <w:rFonts w:hint="eastAsia" w:cs="Times New Roman"/>
      </w:rPr>
    </w:lvl>
  </w:abstractNum>
  <w:abstractNum w:abstractNumId="8">
    <w:nsid w:val="428F287E"/>
    <w:multiLevelType w:val="multilevel"/>
    <w:tmpl w:val="428F287E"/>
    <w:lvl w:ilvl="0" w:tentative="0">
      <w:start w:val="1"/>
      <w:numFmt w:val="decimal"/>
      <w:pStyle w:val="982"/>
      <w:lvlText w:val="%1、"/>
      <w:lvlJc w:val="left"/>
      <w:pPr>
        <w:ind w:left="360" w:hanging="360"/>
      </w:pPr>
      <w:rPr>
        <w:rFonts w:hint="default" w:cs="Times New Roman"/>
      </w:rPr>
    </w:lvl>
    <w:lvl w:ilvl="1" w:tentative="0">
      <w:start w:val="1"/>
      <w:numFmt w:val="lowerLetter"/>
      <w:pStyle w:val="967"/>
      <w:lvlText w:val="%2)"/>
      <w:lvlJc w:val="left"/>
      <w:pPr>
        <w:ind w:left="840" w:hanging="420"/>
      </w:pPr>
      <w:rPr>
        <w:rFonts w:cs="Times New Roman"/>
      </w:rPr>
    </w:lvl>
    <w:lvl w:ilvl="2" w:tentative="0">
      <w:start w:val="1"/>
      <w:numFmt w:val="lowerRoman"/>
      <w:pStyle w:val="976"/>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9">
    <w:nsid w:val="6E87019F"/>
    <w:multiLevelType w:val="multilevel"/>
    <w:tmpl w:val="6E87019F"/>
    <w:lvl w:ilvl="0" w:tentative="0">
      <w:start w:val="1"/>
      <w:numFmt w:val="chineseCountingThousand"/>
      <w:pStyle w:val="989"/>
      <w:lvlText w:val="%1、"/>
      <w:lvlJc w:val="left"/>
      <w:pPr>
        <w:ind w:left="425" w:hanging="425"/>
      </w:pPr>
    </w:lvl>
    <w:lvl w:ilvl="1" w:tentative="0">
      <w:start w:val="1"/>
      <w:numFmt w:val="decimal"/>
      <w:lvlText w:val="%1.%2"/>
      <w:lvlJc w:val="left"/>
      <w:pPr>
        <w:ind w:left="992" w:hanging="567"/>
      </w:pPr>
    </w:lvl>
    <w:lvl w:ilvl="2" w:tentative="0">
      <w:start w:val="1"/>
      <w:numFmt w:val="decimal"/>
      <w:lvlText w:val="%1.%2.%3"/>
      <w:lvlJc w:val="left"/>
      <w:pPr>
        <w:ind w:left="1418" w:hanging="567"/>
      </w:pPr>
    </w:lvl>
    <w:lvl w:ilvl="3" w:tentative="0">
      <w:start w:val="1"/>
      <w:numFmt w:val="decimal"/>
      <w:lvlText w:val="%1.%2.%3.%4"/>
      <w:lvlJc w:val="left"/>
      <w:pPr>
        <w:ind w:left="1984" w:hanging="708"/>
      </w:pPr>
    </w:lvl>
    <w:lvl w:ilvl="4" w:tentative="0">
      <w:start w:val="1"/>
      <w:numFmt w:val="decimal"/>
      <w:lvlText w:val="%1.%2.%3.%4.%5"/>
      <w:lvlJc w:val="left"/>
      <w:pPr>
        <w:ind w:left="2551" w:hanging="850"/>
      </w:pPr>
    </w:lvl>
    <w:lvl w:ilvl="5" w:tentative="0">
      <w:start w:val="1"/>
      <w:numFmt w:val="decimal"/>
      <w:lvlText w:val="%1.%2.%3.%4.%5.%6"/>
      <w:lvlJc w:val="left"/>
      <w:pPr>
        <w:ind w:left="3260" w:hanging="1134"/>
      </w:pPr>
    </w:lvl>
    <w:lvl w:ilvl="6" w:tentative="0">
      <w:start w:val="1"/>
      <w:numFmt w:val="decimal"/>
      <w:lvlText w:val="%1.%2.%3.%4.%5.%6.%7"/>
      <w:lvlJc w:val="left"/>
      <w:pPr>
        <w:ind w:left="3827" w:hanging="1276"/>
      </w:pPr>
    </w:lvl>
    <w:lvl w:ilvl="7" w:tentative="0">
      <w:start w:val="1"/>
      <w:numFmt w:val="decimal"/>
      <w:lvlText w:val="%1.%2.%3.%4.%5.%6.%7.%8"/>
      <w:lvlJc w:val="left"/>
      <w:pPr>
        <w:ind w:left="4394" w:hanging="1418"/>
      </w:pPr>
    </w:lvl>
    <w:lvl w:ilvl="8" w:tentative="0">
      <w:start w:val="1"/>
      <w:numFmt w:val="decimal"/>
      <w:lvlText w:val="%1.%2.%3.%4.%5.%6.%7.%8.%9"/>
      <w:lvlJc w:val="left"/>
      <w:pPr>
        <w:ind w:left="5102" w:hanging="1700"/>
      </w:pPr>
    </w:lvl>
  </w:abstractNum>
  <w:abstractNum w:abstractNumId="10">
    <w:nsid w:val="748F5869"/>
    <w:multiLevelType w:val="multilevel"/>
    <w:tmpl w:val="748F5869"/>
    <w:lvl w:ilvl="0" w:tentative="0">
      <w:start w:val="1"/>
      <w:numFmt w:val="decimal"/>
      <w:pStyle w:val="991"/>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pStyle w:val="985"/>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1">
    <w:nsid w:val="7D03B9E6"/>
    <w:multiLevelType w:val="singleLevel"/>
    <w:tmpl w:val="7D03B9E6"/>
    <w:lvl w:ilvl="0" w:tentative="0">
      <w:start w:val="3"/>
      <w:numFmt w:val="chineseCounting"/>
      <w:suff w:val="nothing"/>
      <w:lvlText w:val="%1、"/>
      <w:lvlJc w:val="left"/>
      <w:rPr>
        <w:rFonts w:hint="eastAsia" w:cs="Times New Roman"/>
      </w:rPr>
    </w:lvl>
  </w:abstractNum>
  <w:num w:numId="1">
    <w:abstractNumId w:val="6"/>
  </w:num>
  <w:num w:numId="2">
    <w:abstractNumId w:val="8"/>
  </w:num>
  <w:num w:numId="3">
    <w:abstractNumId w:val="4"/>
  </w:num>
  <w:num w:numId="4">
    <w:abstractNumId w:val="2"/>
  </w:num>
  <w:num w:numId="5">
    <w:abstractNumId w:val="7"/>
  </w:num>
  <w:num w:numId="6">
    <w:abstractNumId w:val="5"/>
  </w:num>
  <w:num w:numId="7">
    <w:abstractNumId w:val="3"/>
  </w:num>
  <w:num w:numId="8">
    <w:abstractNumId w:val="11"/>
  </w:num>
  <w:num w:numId="9">
    <w:abstractNumId w:val="0"/>
  </w:num>
  <w:num w:numId="10">
    <w:abstractNumId w:val="10"/>
  </w:num>
  <w:num w:numId="11">
    <w:abstractNumId w:val="9"/>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NotTrackMoves/>
  <w:documentProtection w:enforcement="0"/>
  <w:defaultTabStop w:val="420"/>
  <w:doNotUseMarginsForDrawingGridOrigin w:val="1"/>
  <w:drawingGridHorizontalOrigin w:val="1800"/>
  <w:drawingGridVerticalOrigin w:val="1440"/>
  <w:characterSpacingControl w:val="doNotCompress"/>
  <w:noLineBreaksAfter w:lang="zh-CN" w:val="$([{£¥·‘“〈《「『【〔〖〝﹙﹛﹝＄（．［｛￡￥"/>
  <w:noLineBreaksBefore w:lang="zh-CN" w:val="!%),.:;&gt;?]}¢¨°·ˇˉ―‖’”…‰′″›℃∶、。〃〉》」』】〕〗〞︶︺︾﹀﹄﹚﹜﹞！＂％＇），．：；？］｀｜｝～￠"/>
  <w:hdrShapeDefaults>
    <o:shapelayout v:ext="edit">
      <o:idmap v:ext="edit" data="2,3"/>
    </o:shapelayout>
  </w:hdrShapeDefaults>
  <w:compat>
    <w:balanceSingleByteDoubleByteWidth/>
    <w:doNotLeaveBackslashAlone/>
    <w:doNotExpandShiftReturn/>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ZTQ3MzQ1ZDFiZDQ5ZjA0NzE5NDc5ZjRlYWVhMWNjZDIifQ=="/>
  </w:docVars>
  <w:rsids>
    <w:rsidRoot w:val="006677B1"/>
    <w:rsid w:val="00007001"/>
    <w:rsid w:val="00007AC0"/>
    <w:rsid w:val="00011E3E"/>
    <w:rsid w:val="00017EBF"/>
    <w:rsid w:val="0002099C"/>
    <w:rsid w:val="00020F77"/>
    <w:rsid w:val="0002146B"/>
    <w:rsid w:val="00021E3F"/>
    <w:rsid w:val="000343B4"/>
    <w:rsid w:val="00042BE5"/>
    <w:rsid w:val="00043616"/>
    <w:rsid w:val="00044BD3"/>
    <w:rsid w:val="000467FF"/>
    <w:rsid w:val="000471E1"/>
    <w:rsid w:val="00050039"/>
    <w:rsid w:val="00050761"/>
    <w:rsid w:val="00061696"/>
    <w:rsid w:val="000626CE"/>
    <w:rsid w:val="00084FD3"/>
    <w:rsid w:val="0008702A"/>
    <w:rsid w:val="00095D11"/>
    <w:rsid w:val="0009716B"/>
    <w:rsid w:val="000A2311"/>
    <w:rsid w:val="000C10A5"/>
    <w:rsid w:val="000E0813"/>
    <w:rsid w:val="000F0A8F"/>
    <w:rsid w:val="000F472B"/>
    <w:rsid w:val="000F4A53"/>
    <w:rsid w:val="000F7332"/>
    <w:rsid w:val="000F7533"/>
    <w:rsid w:val="000F761F"/>
    <w:rsid w:val="00100CC6"/>
    <w:rsid w:val="001015DE"/>
    <w:rsid w:val="00103B4A"/>
    <w:rsid w:val="0011327F"/>
    <w:rsid w:val="001157D6"/>
    <w:rsid w:val="00121FD7"/>
    <w:rsid w:val="001278F9"/>
    <w:rsid w:val="00132AF7"/>
    <w:rsid w:val="001406FC"/>
    <w:rsid w:val="0014263D"/>
    <w:rsid w:val="00142967"/>
    <w:rsid w:val="001453E5"/>
    <w:rsid w:val="001460E9"/>
    <w:rsid w:val="00152949"/>
    <w:rsid w:val="00154575"/>
    <w:rsid w:val="00156040"/>
    <w:rsid w:val="001566DF"/>
    <w:rsid w:val="00156B03"/>
    <w:rsid w:val="00161D62"/>
    <w:rsid w:val="00162143"/>
    <w:rsid w:val="001625FB"/>
    <w:rsid w:val="0016771C"/>
    <w:rsid w:val="001702B0"/>
    <w:rsid w:val="00170EFC"/>
    <w:rsid w:val="00181E5E"/>
    <w:rsid w:val="00192E38"/>
    <w:rsid w:val="0019371B"/>
    <w:rsid w:val="00196C9A"/>
    <w:rsid w:val="001A196B"/>
    <w:rsid w:val="001A1A50"/>
    <w:rsid w:val="001A4773"/>
    <w:rsid w:val="001A5475"/>
    <w:rsid w:val="001B3FA1"/>
    <w:rsid w:val="001B700D"/>
    <w:rsid w:val="001B7F6C"/>
    <w:rsid w:val="001C1CBA"/>
    <w:rsid w:val="001D1E12"/>
    <w:rsid w:val="001D7F3D"/>
    <w:rsid w:val="001E220C"/>
    <w:rsid w:val="001E44F5"/>
    <w:rsid w:val="001E6D26"/>
    <w:rsid w:val="001F1354"/>
    <w:rsid w:val="001F5076"/>
    <w:rsid w:val="00202D24"/>
    <w:rsid w:val="00204D84"/>
    <w:rsid w:val="00217DAF"/>
    <w:rsid w:val="00222742"/>
    <w:rsid w:val="0022448E"/>
    <w:rsid w:val="0022746F"/>
    <w:rsid w:val="00230582"/>
    <w:rsid w:val="00234B6E"/>
    <w:rsid w:val="00246AAA"/>
    <w:rsid w:val="00251584"/>
    <w:rsid w:val="00254581"/>
    <w:rsid w:val="0025597C"/>
    <w:rsid w:val="00263A18"/>
    <w:rsid w:val="00263B39"/>
    <w:rsid w:val="00263F70"/>
    <w:rsid w:val="00263FBC"/>
    <w:rsid w:val="00266D74"/>
    <w:rsid w:val="0027010E"/>
    <w:rsid w:val="00270913"/>
    <w:rsid w:val="00270E00"/>
    <w:rsid w:val="00272932"/>
    <w:rsid w:val="002772D0"/>
    <w:rsid w:val="00277F37"/>
    <w:rsid w:val="0028495D"/>
    <w:rsid w:val="00284A58"/>
    <w:rsid w:val="00292BA5"/>
    <w:rsid w:val="00297217"/>
    <w:rsid w:val="002A1EE7"/>
    <w:rsid w:val="002A6470"/>
    <w:rsid w:val="002B35A0"/>
    <w:rsid w:val="002B6CE4"/>
    <w:rsid w:val="002C00CF"/>
    <w:rsid w:val="002C206F"/>
    <w:rsid w:val="002C395D"/>
    <w:rsid w:val="002D05AF"/>
    <w:rsid w:val="002D0CCE"/>
    <w:rsid w:val="002D6119"/>
    <w:rsid w:val="002D6D17"/>
    <w:rsid w:val="002D76ED"/>
    <w:rsid w:val="002F04CA"/>
    <w:rsid w:val="002F4BA3"/>
    <w:rsid w:val="002F4F0C"/>
    <w:rsid w:val="002F6534"/>
    <w:rsid w:val="002F7204"/>
    <w:rsid w:val="002F7EEF"/>
    <w:rsid w:val="00304964"/>
    <w:rsid w:val="003060E6"/>
    <w:rsid w:val="003064E2"/>
    <w:rsid w:val="0031299D"/>
    <w:rsid w:val="003231B4"/>
    <w:rsid w:val="00326B6F"/>
    <w:rsid w:val="0033205B"/>
    <w:rsid w:val="0033543E"/>
    <w:rsid w:val="0034228A"/>
    <w:rsid w:val="003434CB"/>
    <w:rsid w:val="00345F0D"/>
    <w:rsid w:val="00346CCE"/>
    <w:rsid w:val="00354AF5"/>
    <w:rsid w:val="00355B55"/>
    <w:rsid w:val="00356884"/>
    <w:rsid w:val="00360337"/>
    <w:rsid w:val="00362258"/>
    <w:rsid w:val="00364D36"/>
    <w:rsid w:val="00366143"/>
    <w:rsid w:val="00367FA9"/>
    <w:rsid w:val="00372337"/>
    <w:rsid w:val="003811C0"/>
    <w:rsid w:val="003906B2"/>
    <w:rsid w:val="00390E19"/>
    <w:rsid w:val="00391AAD"/>
    <w:rsid w:val="00392BD1"/>
    <w:rsid w:val="00393B13"/>
    <w:rsid w:val="00394A35"/>
    <w:rsid w:val="003957AE"/>
    <w:rsid w:val="00397C0A"/>
    <w:rsid w:val="003A3DE4"/>
    <w:rsid w:val="003A6D59"/>
    <w:rsid w:val="003A76CE"/>
    <w:rsid w:val="003C2439"/>
    <w:rsid w:val="003C3C55"/>
    <w:rsid w:val="003C64BD"/>
    <w:rsid w:val="003C6E12"/>
    <w:rsid w:val="003D7DED"/>
    <w:rsid w:val="003E14FD"/>
    <w:rsid w:val="004007F6"/>
    <w:rsid w:val="0040333A"/>
    <w:rsid w:val="0041166E"/>
    <w:rsid w:val="00411CBD"/>
    <w:rsid w:val="00412A6F"/>
    <w:rsid w:val="00413C89"/>
    <w:rsid w:val="0041747D"/>
    <w:rsid w:val="004213D6"/>
    <w:rsid w:val="00423E61"/>
    <w:rsid w:val="00425584"/>
    <w:rsid w:val="00432598"/>
    <w:rsid w:val="00434DBC"/>
    <w:rsid w:val="00435967"/>
    <w:rsid w:val="00444A90"/>
    <w:rsid w:val="00467EB1"/>
    <w:rsid w:val="004714D5"/>
    <w:rsid w:val="00473447"/>
    <w:rsid w:val="0047444D"/>
    <w:rsid w:val="00474C71"/>
    <w:rsid w:val="00475683"/>
    <w:rsid w:val="004764EC"/>
    <w:rsid w:val="00477A1A"/>
    <w:rsid w:val="004849F3"/>
    <w:rsid w:val="00486B3D"/>
    <w:rsid w:val="00487579"/>
    <w:rsid w:val="00487F37"/>
    <w:rsid w:val="00491103"/>
    <w:rsid w:val="00493D2A"/>
    <w:rsid w:val="00493EF3"/>
    <w:rsid w:val="004974D5"/>
    <w:rsid w:val="004A4B39"/>
    <w:rsid w:val="004B0569"/>
    <w:rsid w:val="004B6135"/>
    <w:rsid w:val="004B7C48"/>
    <w:rsid w:val="004C05BE"/>
    <w:rsid w:val="004C2A33"/>
    <w:rsid w:val="004D26C0"/>
    <w:rsid w:val="004D55EC"/>
    <w:rsid w:val="004D69C1"/>
    <w:rsid w:val="004E04F1"/>
    <w:rsid w:val="004E1A17"/>
    <w:rsid w:val="0050324D"/>
    <w:rsid w:val="00504742"/>
    <w:rsid w:val="005074A0"/>
    <w:rsid w:val="005139EF"/>
    <w:rsid w:val="0051427F"/>
    <w:rsid w:val="005156DC"/>
    <w:rsid w:val="0051704D"/>
    <w:rsid w:val="00517898"/>
    <w:rsid w:val="00517BC2"/>
    <w:rsid w:val="00524EEB"/>
    <w:rsid w:val="00542AB7"/>
    <w:rsid w:val="005432A5"/>
    <w:rsid w:val="005435DB"/>
    <w:rsid w:val="005463D2"/>
    <w:rsid w:val="00547494"/>
    <w:rsid w:val="00547C87"/>
    <w:rsid w:val="005513D6"/>
    <w:rsid w:val="00554919"/>
    <w:rsid w:val="00560E5B"/>
    <w:rsid w:val="00565153"/>
    <w:rsid w:val="00567AA9"/>
    <w:rsid w:val="0057121E"/>
    <w:rsid w:val="0057400B"/>
    <w:rsid w:val="00574304"/>
    <w:rsid w:val="00582175"/>
    <w:rsid w:val="0058431D"/>
    <w:rsid w:val="00584A40"/>
    <w:rsid w:val="00590B19"/>
    <w:rsid w:val="00592DCE"/>
    <w:rsid w:val="005A6547"/>
    <w:rsid w:val="005B0C76"/>
    <w:rsid w:val="005B1DEF"/>
    <w:rsid w:val="005B21DD"/>
    <w:rsid w:val="005B2A65"/>
    <w:rsid w:val="005B4B78"/>
    <w:rsid w:val="005C47BF"/>
    <w:rsid w:val="005D1773"/>
    <w:rsid w:val="005D220C"/>
    <w:rsid w:val="005D6DA3"/>
    <w:rsid w:val="005D7041"/>
    <w:rsid w:val="005D720B"/>
    <w:rsid w:val="005E0DD9"/>
    <w:rsid w:val="005E14CF"/>
    <w:rsid w:val="005E1A5B"/>
    <w:rsid w:val="005E1C0A"/>
    <w:rsid w:val="005E3C88"/>
    <w:rsid w:val="005E476E"/>
    <w:rsid w:val="005F346D"/>
    <w:rsid w:val="005F4C3B"/>
    <w:rsid w:val="006000FA"/>
    <w:rsid w:val="00610DC3"/>
    <w:rsid w:val="00614FDF"/>
    <w:rsid w:val="0062014D"/>
    <w:rsid w:val="0062120E"/>
    <w:rsid w:val="006229DF"/>
    <w:rsid w:val="00622ED6"/>
    <w:rsid w:val="006314FE"/>
    <w:rsid w:val="006317DF"/>
    <w:rsid w:val="0064146E"/>
    <w:rsid w:val="00642783"/>
    <w:rsid w:val="0064696A"/>
    <w:rsid w:val="0065314C"/>
    <w:rsid w:val="00653C2B"/>
    <w:rsid w:val="00655A68"/>
    <w:rsid w:val="0066617F"/>
    <w:rsid w:val="006677B1"/>
    <w:rsid w:val="0067023B"/>
    <w:rsid w:val="00672DAF"/>
    <w:rsid w:val="006769C5"/>
    <w:rsid w:val="006828F5"/>
    <w:rsid w:val="00683184"/>
    <w:rsid w:val="006837C1"/>
    <w:rsid w:val="00687EB5"/>
    <w:rsid w:val="00692EC5"/>
    <w:rsid w:val="006A0FB2"/>
    <w:rsid w:val="006A5611"/>
    <w:rsid w:val="006A5B2C"/>
    <w:rsid w:val="006A5EE1"/>
    <w:rsid w:val="006B550B"/>
    <w:rsid w:val="006B5A65"/>
    <w:rsid w:val="006C3086"/>
    <w:rsid w:val="006C693F"/>
    <w:rsid w:val="006D356B"/>
    <w:rsid w:val="006D64A9"/>
    <w:rsid w:val="006D71D3"/>
    <w:rsid w:val="006E0DEF"/>
    <w:rsid w:val="006E2F9F"/>
    <w:rsid w:val="006E6092"/>
    <w:rsid w:val="006E7E72"/>
    <w:rsid w:val="006F4FB5"/>
    <w:rsid w:val="006F76AD"/>
    <w:rsid w:val="00702004"/>
    <w:rsid w:val="007058E0"/>
    <w:rsid w:val="00706B1B"/>
    <w:rsid w:val="0070704D"/>
    <w:rsid w:val="007156E8"/>
    <w:rsid w:val="00717059"/>
    <w:rsid w:val="007178F7"/>
    <w:rsid w:val="00717D24"/>
    <w:rsid w:val="00721642"/>
    <w:rsid w:val="007248AA"/>
    <w:rsid w:val="007274C6"/>
    <w:rsid w:val="00730D0D"/>
    <w:rsid w:val="007346F4"/>
    <w:rsid w:val="00735BB3"/>
    <w:rsid w:val="00740E43"/>
    <w:rsid w:val="007462A7"/>
    <w:rsid w:val="007538E6"/>
    <w:rsid w:val="007629EA"/>
    <w:rsid w:val="00766E61"/>
    <w:rsid w:val="00767717"/>
    <w:rsid w:val="00770EB3"/>
    <w:rsid w:val="00770EC4"/>
    <w:rsid w:val="007727A1"/>
    <w:rsid w:val="007754E9"/>
    <w:rsid w:val="00781044"/>
    <w:rsid w:val="00781890"/>
    <w:rsid w:val="00781E5F"/>
    <w:rsid w:val="007833C8"/>
    <w:rsid w:val="00790000"/>
    <w:rsid w:val="00791C92"/>
    <w:rsid w:val="00792EA0"/>
    <w:rsid w:val="00797E96"/>
    <w:rsid w:val="007A03A8"/>
    <w:rsid w:val="007A2283"/>
    <w:rsid w:val="007B1DCE"/>
    <w:rsid w:val="007B6FED"/>
    <w:rsid w:val="007C1680"/>
    <w:rsid w:val="007C58E5"/>
    <w:rsid w:val="007D1D7D"/>
    <w:rsid w:val="007D51E0"/>
    <w:rsid w:val="007E533A"/>
    <w:rsid w:val="00800943"/>
    <w:rsid w:val="00803E1B"/>
    <w:rsid w:val="008047D5"/>
    <w:rsid w:val="008106F4"/>
    <w:rsid w:val="0081660E"/>
    <w:rsid w:val="00822D2A"/>
    <w:rsid w:val="00824EF2"/>
    <w:rsid w:val="00824F7C"/>
    <w:rsid w:val="00826CFA"/>
    <w:rsid w:val="0082745F"/>
    <w:rsid w:val="00827D7A"/>
    <w:rsid w:val="00832210"/>
    <w:rsid w:val="00841792"/>
    <w:rsid w:val="00841A96"/>
    <w:rsid w:val="0084288F"/>
    <w:rsid w:val="00843979"/>
    <w:rsid w:val="00844542"/>
    <w:rsid w:val="00845479"/>
    <w:rsid w:val="0086199A"/>
    <w:rsid w:val="00863357"/>
    <w:rsid w:val="00865CCD"/>
    <w:rsid w:val="008718AC"/>
    <w:rsid w:val="00886911"/>
    <w:rsid w:val="00891569"/>
    <w:rsid w:val="008924B5"/>
    <w:rsid w:val="008927DD"/>
    <w:rsid w:val="00894386"/>
    <w:rsid w:val="00897BAC"/>
    <w:rsid w:val="008A40E9"/>
    <w:rsid w:val="008B4A3D"/>
    <w:rsid w:val="008B4C60"/>
    <w:rsid w:val="008C1A9D"/>
    <w:rsid w:val="008C1C33"/>
    <w:rsid w:val="008C34BD"/>
    <w:rsid w:val="008C67C9"/>
    <w:rsid w:val="008D15E3"/>
    <w:rsid w:val="008D1837"/>
    <w:rsid w:val="008D1AB5"/>
    <w:rsid w:val="008D260B"/>
    <w:rsid w:val="008D29C0"/>
    <w:rsid w:val="008D5A26"/>
    <w:rsid w:val="008D64C6"/>
    <w:rsid w:val="008E75D3"/>
    <w:rsid w:val="008F594E"/>
    <w:rsid w:val="008F74A2"/>
    <w:rsid w:val="00901CAF"/>
    <w:rsid w:val="0090253B"/>
    <w:rsid w:val="00910DD0"/>
    <w:rsid w:val="00910EC9"/>
    <w:rsid w:val="0091156B"/>
    <w:rsid w:val="00912747"/>
    <w:rsid w:val="009134A8"/>
    <w:rsid w:val="009138D2"/>
    <w:rsid w:val="00917639"/>
    <w:rsid w:val="00922AD7"/>
    <w:rsid w:val="00922AD9"/>
    <w:rsid w:val="0092390C"/>
    <w:rsid w:val="0092485A"/>
    <w:rsid w:val="009264E0"/>
    <w:rsid w:val="00926B67"/>
    <w:rsid w:val="0093357D"/>
    <w:rsid w:val="00937223"/>
    <w:rsid w:val="00945547"/>
    <w:rsid w:val="00946436"/>
    <w:rsid w:val="00954269"/>
    <w:rsid w:val="00954C82"/>
    <w:rsid w:val="009550D9"/>
    <w:rsid w:val="009649E3"/>
    <w:rsid w:val="0096566F"/>
    <w:rsid w:val="00965B74"/>
    <w:rsid w:val="00967605"/>
    <w:rsid w:val="009713A9"/>
    <w:rsid w:val="00972819"/>
    <w:rsid w:val="0097723C"/>
    <w:rsid w:val="00980D2D"/>
    <w:rsid w:val="009843B4"/>
    <w:rsid w:val="009858BA"/>
    <w:rsid w:val="00987919"/>
    <w:rsid w:val="00992683"/>
    <w:rsid w:val="00992BA5"/>
    <w:rsid w:val="0099308D"/>
    <w:rsid w:val="00993313"/>
    <w:rsid w:val="00997FE5"/>
    <w:rsid w:val="009A0FE9"/>
    <w:rsid w:val="009A18EE"/>
    <w:rsid w:val="009A20E2"/>
    <w:rsid w:val="009B3F38"/>
    <w:rsid w:val="009B473E"/>
    <w:rsid w:val="009B666C"/>
    <w:rsid w:val="009B71A2"/>
    <w:rsid w:val="009C1ECD"/>
    <w:rsid w:val="009C2E22"/>
    <w:rsid w:val="009C2E75"/>
    <w:rsid w:val="009C2FAA"/>
    <w:rsid w:val="009C4BAC"/>
    <w:rsid w:val="009C7F1E"/>
    <w:rsid w:val="009D72BA"/>
    <w:rsid w:val="009D7738"/>
    <w:rsid w:val="009E0869"/>
    <w:rsid w:val="009E6377"/>
    <w:rsid w:val="009E79F8"/>
    <w:rsid w:val="009F05F4"/>
    <w:rsid w:val="009F10E9"/>
    <w:rsid w:val="009F2A01"/>
    <w:rsid w:val="00A01D74"/>
    <w:rsid w:val="00A04D9F"/>
    <w:rsid w:val="00A12A59"/>
    <w:rsid w:val="00A133C4"/>
    <w:rsid w:val="00A1348C"/>
    <w:rsid w:val="00A1375A"/>
    <w:rsid w:val="00A2087A"/>
    <w:rsid w:val="00A2397C"/>
    <w:rsid w:val="00A25193"/>
    <w:rsid w:val="00A33F04"/>
    <w:rsid w:val="00A363C4"/>
    <w:rsid w:val="00A366EE"/>
    <w:rsid w:val="00A36732"/>
    <w:rsid w:val="00A37F1C"/>
    <w:rsid w:val="00A41B96"/>
    <w:rsid w:val="00A47F99"/>
    <w:rsid w:val="00A506DF"/>
    <w:rsid w:val="00A50F84"/>
    <w:rsid w:val="00A63D9B"/>
    <w:rsid w:val="00A64887"/>
    <w:rsid w:val="00A65D9C"/>
    <w:rsid w:val="00A6675D"/>
    <w:rsid w:val="00A67D70"/>
    <w:rsid w:val="00A720F1"/>
    <w:rsid w:val="00A73AAC"/>
    <w:rsid w:val="00A77022"/>
    <w:rsid w:val="00A81761"/>
    <w:rsid w:val="00A81F02"/>
    <w:rsid w:val="00A85D45"/>
    <w:rsid w:val="00A91EF9"/>
    <w:rsid w:val="00A947AD"/>
    <w:rsid w:val="00AA294C"/>
    <w:rsid w:val="00AB216E"/>
    <w:rsid w:val="00AB2AFC"/>
    <w:rsid w:val="00AB6AA5"/>
    <w:rsid w:val="00AB7FFC"/>
    <w:rsid w:val="00AC2845"/>
    <w:rsid w:val="00AC49A8"/>
    <w:rsid w:val="00AC4E21"/>
    <w:rsid w:val="00AC7F0B"/>
    <w:rsid w:val="00AD2D21"/>
    <w:rsid w:val="00AD7493"/>
    <w:rsid w:val="00AD75F7"/>
    <w:rsid w:val="00AE1209"/>
    <w:rsid w:val="00AF0C16"/>
    <w:rsid w:val="00AF0CE4"/>
    <w:rsid w:val="00B10E82"/>
    <w:rsid w:val="00B10FA4"/>
    <w:rsid w:val="00B114B3"/>
    <w:rsid w:val="00B14570"/>
    <w:rsid w:val="00B157B5"/>
    <w:rsid w:val="00B15FB5"/>
    <w:rsid w:val="00B20F32"/>
    <w:rsid w:val="00B2285F"/>
    <w:rsid w:val="00B33454"/>
    <w:rsid w:val="00B37793"/>
    <w:rsid w:val="00B4265E"/>
    <w:rsid w:val="00B46B07"/>
    <w:rsid w:val="00B50655"/>
    <w:rsid w:val="00B52344"/>
    <w:rsid w:val="00B53A64"/>
    <w:rsid w:val="00B5541E"/>
    <w:rsid w:val="00B603D1"/>
    <w:rsid w:val="00B648FE"/>
    <w:rsid w:val="00B728B2"/>
    <w:rsid w:val="00B73830"/>
    <w:rsid w:val="00B81D3A"/>
    <w:rsid w:val="00B9187F"/>
    <w:rsid w:val="00B95167"/>
    <w:rsid w:val="00B95588"/>
    <w:rsid w:val="00B96A43"/>
    <w:rsid w:val="00B97034"/>
    <w:rsid w:val="00BA66E3"/>
    <w:rsid w:val="00BA7A69"/>
    <w:rsid w:val="00BA7AF1"/>
    <w:rsid w:val="00BA7CBC"/>
    <w:rsid w:val="00BB6E11"/>
    <w:rsid w:val="00BB762A"/>
    <w:rsid w:val="00BC08F9"/>
    <w:rsid w:val="00BE2920"/>
    <w:rsid w:val="00BE2A20"/>
    <w:rsid w:val="00BE50B2"/>
    <w:rsid w:val="00C04730"/>
    <w:rsid w:val="00C058C2"/>
    <w:rsid w:val="00C06116"/>
    <w:rsid w:val="00C06F49"/>
    <w:rsid w:val="00C102F4"/>
    <w:rsid w:val="00C13606"/>
    <w:rsid w:val="00C137F0"/>
    <w:rsid w:val="00C14ADB"/>
    <w:rsid w:val="00C34950"/>
    <w:rsid w:val="00C35FDC"/>
    <w:rsid w:val="00C473BD"/>
    <w:rsid w:val="00C55532"/>
    <w:rsid w:val="00C775E4"/>
    <w:rsid w:val="00C77CE7"/>
    <w:rsid w:val="00C8065A"/>
    <w:rsid w:val="00C80EA3"/>
    <w:rsid w:val="00C81796"/>
    <w:rsid w:val="00C8334C"/>
    <w:rsid w:val="00C83FF8"/>
    <w:rsid w:val="00C90E04"/>
    <w:rsid w:val="00C91599"/>
    <w:rsid w:val="00C91D5A"/>
    <w:rsid w:val="00C948DA"/>
    <w:rsid w:val="00C948DC"/>
    <w:rsid w:val="00C95C59"/>
    <w:rsid w:val="00C9782E"/>
    <w:rsid w:val="00CA594B"/>
    <w:rsid w:val="00CA6E81"/>
    <w:rsid w:val="00CB57F6"/>
    <w:rsid w:val="00CC0CDA"/>
    <w:rsid w:val="00CD0E7D"/>
    <w:rsid w:val="00CD5CEE"/>
    <w:rsid w:val="00CD66B0"/>
    <w:rsid w:val="00CD756D"/>
    <w:rsid w:val="00CE25E3"/>
    <w:rsid w:val="00CE678F"/>
    <w:rsid w:val="00CF458D"/>
    <w:rsid w:val="00CF469F"/>
    <w:rsid w:val="00CF6070"/>
    <w:rsid w:val="00D0295A"/>
    <w:rsid w:val="00D13731"/>
    <w:rsid w:val="00D14AF6"/>
    <w:rsid w:val="00D16050"/>
    <w:rsid w:val="00D16D4C"/>
    <w:rsid w:val="00D17A9B"/>
    <w:rsid w:val="00D21769"/>
    <w:rsid w:val="00D22062"/>
    <w:rsid w:val="00D22CA9"/>
    <w:rsid w:val="00D23869"/>
    <w:rsid w:val="00D254E5"/>
    <w:rsid w:val="00D25566"/>
    <w:rsid w:val="00D30B9A"/>
    <w:rsid w:val="00D33357"/>
    <w:rsid w:val="00D3451A"/>
    <w:rsid w:val="00D36584"/>
    <w:rsid w:val="00D3786F"/>
    <w:rsid w:val="00D41766"/>
    <w:rsid w:val="00D43A00"/>
    <w:rsid w:val="00D45066"/>
    <w:rsid w:val="00D508BA"/>
    <w:rsid w:val="00D55EF9"/>
    <w:rsid w:val="00D56A50"/>
    <w:rsid w:val="00D579EF"/>
    <w:rsid w:val="00D62025"/>
    <w:rsid w:val="00D65845"/>
    <w:rsid w:val="00D713C8"/>
    <w:rsid w:val="00D85021"/>
    <w:rsid w:val="00D850F1"/>
    <w:rsid w:val="00D918CE"/>
    <w:rsid w:val="00D93FD3"/>
    <w:rsid w:val="00D96371"/>
    <w:rsid w:val="00DA2109"/>
    <w:rsid w:val="00DA3635"/>
    <w:rsid w:val="00DB0671"/>
    <w:rsid w:val="00DB4F83"/>
    <w:rsid w:val="00DB5049"/>
    <w:rsid w:val="00DC00E4"/>
    <w:rsid w:val="00DC21B8"/>
    <w:rsid w:val="00DC31E7"/>
    <w:rsid w:val="00DC359C"/>
    <w:rsid w:val="00DC4CF0"/>
    <w:rsid w:val="00DC5BF3"/>
    <w:rsid w:val="00DC66CC"/>
    <w:rsid w:val="00DC6A3C"/>
    <w:rsid w:val="00DD437B"/>
    <w:rsid w:val="00DD498F"/>
    <w:rsid w:val="00DD65C9"/>
    <w:rsid w:val="00DD660E"/>
    <w:rsid w:val="00DD7455"/>
    <w:rsid w:val="00DE21B7"/>
    <w:rsid w:val="00DE54D3"/>
    <w:rsid w:val="00DE59A9"/>
    <w:rsid w:val="00DE6C3C"/>
    <w:rsid w:val="00DE7886"/>
    <w:rsid w:val="00DF06AA"/>
    <w:rsid w:val="00DF1017"/>
    <w:rsid w:val="00DF1914"/>
    <w:rsid w:val="00E00B9D"/>
    <w:rsid w:val="00E12A73"/>
    <w:rsid w:val="00E153EE"/>
    <w:rsid w:val="00E20D95"/>
    <w:rsid w:val="00E21B20"/>
    <w:rsid w:val="00E23414"/>
    <w:rsid w:val="00E24557"/>
    <w:rsid w:val="00E24C22"/>
    <w:rsid w:val="00E2520A"/>
    <w:rsid w:val="00E2691D"/>
    <w:rsid w:val="00E32CDD"/>
    <w:rsid w:val="00E34895"/>
    <w:rsid w:val="00E42134"/>
    <w:rsid w:val="00E43ECC"/>
    <w:rsid w:val="00E470DF"/>
    <w:rsid w:val="00E51BEE"/>
    <w:rsid w:val="00E5736B"/>
    <w:rsid w:val="00E62C39"/>
    <w:rsid w:val="00E636C5"/>
    <w:rsid w:val="00E66C98"/>
    <w:rsid w:val="00E73FBB"/>
    <w:rsid w:val="00E9300E"/>
    <w:rsid w:val="00E94149"/>
    <w:rsid w:val="00E96163"/>
    <w:rsid w:val="00E97428"/>
    <w:rsid w:val="00E979F3"/>
    <w:rsid w:val="00E97C56"/>
    <w:rsid w:val="00EA2C3E"/>
    <w:rsid w:val="00EB356D"/>
    <w:rsid w:val="00EB400B"/>
    <w:rsid w:val="00EB46EE"/>
    <w:rsid w:val="00EC4114"/>
    <w:rsid w:val="00EC4DB1"/>
    <w:rsid w:val="00EC4E37"/>
    <w:rsid w:val="00EC57CA"/>
    <w:rsid w:val="00ED780B"/>
    <w:rsid w:val="00EE0064"/>
    <w:rsid w:val="00EE0D52"/>
    <w:rsid w:val="00EE1EF4"/>
    <w:rsid w:val="00EF4659"/>
    <w:rsid w:val="00EF68FF"/>
    <w:rsid w:val="00F0092C"/>
    <w:rsid w:val="00F01C84"/>
    <w:rsid w:val="00F05780"/>
    <w:rsid w:val="00F10D79"/>
    <w:rsid w:val="00F17695"/>
    <w:rsid w:val="00F17AC3"/>
    <w:rsid w:val="00F20E8B"/>
    <w:rsid w:val="00F22B0A"/>
    <w:rsid w:val="00F22D83"/>
    <w:rsid w:val="00F23D56"/>
    <w:rsid w:val="00F3207F"/>
    <w:rsid w:val="00F478A9"/>
    <w:rsid w:val="00F47E46"/>
    <w:rsid w:val="00F5049D"/>
    <w:rsid w:val="00F55D33"/>
    <w:rsid w:val="00F57B1A"/>
    <w:rsid w:val="00F608B2"/>
    <w:rsid w:val="00F613D2"/>
    <w:rsid w:val="00F62283"/>
    <w:rsid w:val="00F6743B"/>
    <w:rsid w:val="00F71938"/>
    <w:rsid w:val="00F71B41"/>
    <w:rsid w:val="00F71BAA"/>
    <w:rsid w:val="00F74ABC"/>
    <w:rsid w:val="00F74E0B"/>
    <w:rsid w:val="00F7702B"/>
    <w:rsid w:val="00F77AF2"/>
    <w:rsid w:val="00F80C36"/>
    <w:rsid w:val="00F917C8"/>
    <w:rsid w:val="00F94D33"/>
    <w:rsid w:val="00F97134"/>
    <w:rsid w:val="00F97756"/>
    <w:rsid w:val="00FB0034"/>
    <w:rsid w:val="00FC20A0"/>
    <w:rsid w:val="00FC35B5"/>
    <w:rsid w:val="00FC57CB"/>
    <w:rsid w:val="00FE0C8E"/>
    <w:rsid w:val="00FE1508"/>
    <w:rsid w:val="00FE1FB0"/>
    <w:rsid w:val="00FE416C"/>
    <w:rsid w:val="00FF1B55"/>
    <w:rsid w:val="00FF656F"/>
    <w:rsid w:val="01042722"/>
    <w:rsid w:val="018571C6"/>
    <w:rsid w:val="01A66CB9"/>
    <w:rsid w:val="036D55AD"/>
    <w:rsid w:val="047F0EAA"/>
    <w:rsid w:val="04804750"/>
    <w:rsid w:val="05086F57"/>
    <w:rsid w:val="059203A5"/>
    <w:rsid w:val="064301A6"/>
    <w:rsid w:val="07611CE2"/>
    <w:rsid w:val="077569DC"/>
    <w:rsid w:val="07CC56B9"/>
    <w:rsid w:val="08485EFE"/>
    <w:rsid w:val="09B10097"/>
    <w:rsid w:val="09D95EA2"/>
    <w:rsid w:val="0A0E4063"/>
    <w:rsid w:val="0A4F7C91"/>
    <w:rsid w:val="0B187123"/>
    <w:rsid w:val="0B8469CB"/>
    <w:rsid w:val="0B9A6E55"/>
    <w:rsid w:val="0BD43105"/>
    <w:rsid w:val="0C4F3DAE"/>
    <w:rsid w:val="0C6F10B4"/>
    <w:rsid w:val="0CA67E52"/>
    <w:rsid w:val="0D374C2C"/>
    <w:rsid w:val="0DCC401B"/>
    <w:rsid w:val="0E144A69"/>
    <w:rsid w:val="0E424C8E"/>
    <w:rsid w:val="0E830A98"/>
    <w:rsid w:val="0EE26CD5"/>
    <w:rsid w:val="0EE868FA"/>
    <w:rsid w:val="0EF912B4"/>
    <w:rsid w:val="0F0127AD"/>
    <w:rsid w:val="0F1C7B81"/>
    <w:rsid w:val="0F5A0AFE"/>
    <w:rsid w:val="100D27F4"/>
    <w:rsid w:val="10160C91"/>
    <w:rsid w:val="108624EC"/>
    <w:rsid w:val="10C25AD1"/>
    <w:rsid w:val="10FD65ED"/>
    <w:rsid w:val="11347906"/>
    <w:rsid w:val="114F5BF2"/>
    <w:rsid w:val="115753DB"/>
    <w:rsid w:val="11D22D58"/>
    <w:rsid w:val="11DB5E9C"/>
    <w:rsid w:val="125E1B2C"/>
    <w:rsid w:val="13B425E9"/>
    <w:rsid w:val="13BC4CD6"/>
    <w:rsid w:val="13C644AE"/>
    <w:rsid w:val="140507C7"/>
    <w:rsid w:val="142744DA"/>
    <w:rsid w:val="15373597"/>
    <w:rsid w:val="15554C26"/>
    <w:rsid w:val="1605549A"/>
    <w:rsid w:val="16636277"/>
    <w:rsid w:val="178670ED"/>
    <w:rsid w:val="17A11160"/>
    <w:rsid w:val="188D151C"/>
    <w:rsid w:val="18AA1454"/>
    <w:rsid w:val="18CB5AC6"/>
    <w:rsid w:val="19937B8C"/>
    <w:rsid w:val="19C91284"/>
    <w:rsid w:val="1B933887"/>
    <w:rsid w:val="1BD56356"/>
    <w:rsid w:val="1C1442F6"/>
    <w:rsid w:val="1C1E4BCF"/>
    <w:rsid w:val="1C3E5624"/>
    <w:rsid w:val="1C552790"/>
    <w:rsid w:val="1CA0221C"/>
    <w:rsid w:val="1CCB1150"/>
    <w:rsid w:val="1DC053CB"/>
    <w:rsid w:val="1DCD410A"/>
    <w:rsid w:val="1DD4518B"/>
    <w:rsid w:val="1ECD6781"/>
    <w:rsid w:val="1F23284E"/>
    <w:rsid w:val="1F5C3284"/>
    <w:rsid w:val="20427F98"/>
    <w:rsid w:val="208D1F7A"/>
    <w:rsid w:val="208D6C88"/>
    <w:rsid w:val="20A56802"/>
    <w:rsid w:val="20A74DAF"/>
    <w:rsid w:val="20E45E66"/>
    <w:rsid w:val="22A748B2"/>
    <w:rsid w:val="24066259"/>
    <w:rsid w:val="24577E8B"/>
    <w:rsid w:val="24A917FA"/>
    <w:rsid w:val="258437A2"/>
    <w:rsid w:val="25C641BA"/>
    <w:rsid w:val="2653422A"/>
    <w:rsid w:val="26BB21D4"/>
    <w:rsid w:val="27A121C9"/>
    <w:rsid w:val="28982514"/>
    <w:rsid w:val="28C54CBB"/>
    <w:rsid w:val="291E5EC6"/>
    <w:rsid w:val="298878E7"/>
    <w:rsid w:val="298E4F72"/>
    <w:rsid w:val="29BB2216"/>
    <w:rsid w:val="29F302C0"/>
    <w:rsid w:val="2A570A27"/>
    <w:rsid w:val="2A7F22B7"/>
    <w:rsid w:val="2AAC2D5E"/>
    <w:rsid w:val="2AAC7C5A"/>
    <w:rsid w:val="2AED3031"/>
    <w:rsid w:val="2B110060"/>
    <w:rsid w:val="2B155652"/>
    <w:rsid w:val="2B325E61"/>
    <w:rsid w:val="2B8D191A"/>
    <w:rsid w:val="2C936ECE"/>
    <w:rsid w:val="2CAE2748"/>
    <w:rsid w:val="2D0306D4"/>
    <w:rsid w:val="2D3B7C47"/>
    <w:rsid w:val="2D741074"/>
    <w:rsid w:val="2DBC79D0"/>
    <w:rsid w:val="2E185396"/>
    <w:rsid w:val="2E9E7B81"/>
    <w:rsid w:val="2EC252D5"/>
    <w:rsid w:val="2F2566B5"/>
    <w:rsid w:val="2F7E043B"/>
    <w:rsid w:val="2F8108C0"/>
    <w:rsid w:val="2FA355E5"/>
    <w:rsid w:val="303C42FC"/>
    <w:rsid w:val="30D368CB"/>
    <w:rsid w:val="30E26B95"/>
    <w:rsid w:val="30E44927"/>
    <w:rsid w:val="30F27543"/>
    <w:rsid w:val="311F6012"/>
    <w:rsid w:val="312008D8"/>
    <w:rsid w:val="3138776C"/>
    <w:rsid w:val="31524BA0"/>
    <w:rsid w:val="316A7C05"/>
    <w:rsid w:val="319577C9"/>
    <w:rsid w:val="321B0C07"/>
    <w:rsid w:val="32F6091A"/>
    <w:rsid w:val="333A1B3F"/>
    <w:rsid w:val="338E06C1"/>
    <w:rsid w:val="33955656"/>
    <w:rsid w:val="33B06928"/>
    <w:rsid w:val="33B432D2"/>
    <w:rsid w:val="33BE0654"/>
    <w:rsid w:val="33CF400D"/>
    <w:rsid w:val="352E565B"/>
    <w:rsid w:val="35AC759E"/>
    <w:rsid w:val="363D6BDC"/>
    <w:rsid w:val="365C1088"/>
    <w:rsid w:val="36941CBB"/>
    <w:rsid w:val="378C2EAE"/>
    <w:rsid w:val="37A6222E"/>
    <w:rsid w:val="380971CB"/>
    <w:rsid w:val="38337D9C"/>
    <w:rsid w:val="38D45409"/>
    <w:rsid w:val="38E14644"/>
    <w:rsid w:val="3A6522B1"/>
    <w:rsid w:val="3AAA01FC"/>
    <w:rsid w:val="3AD8652F"/>
    <w:rsid w:val="3B266EB8"/>
    <w:rsid w:val="3B682C83"/>
    <w:rsid w:val="3B71721F"/>
    <w:rsid w:val="3BE13B15"/>
    <w:rsid w:val="3C0F47F5"/>
    <w:rsid w:val="3C2823A3"/>
    <w:rsid w:val="3C3F1B12"/>
    <w:rsid w:val="3CDA41EA"/>
    <w:rsid w:val="3D831EAF"/>
    <w:rsid w:val="3DD74085"/>
    <w:rsid w:val="3E482797"/>
    <w:rsid w:val="3F0C32FE"/>
    <w:rsid w:val="3F0F0BE2"/>
    <w:rsid w:val="3F202D53"/>
    <w:rsid w:val="400047B6"/>
    <w:rsid w:val="404E6449"/>
    <w:rsid w:val="40AB25B6"/>
    <w:rsid w:val="40DA108A"/>
    <w:rsid w:val="41571DF3"/>
    <w:rsid w:val="41D06945"/>
    <w:rsid w:val="4259342B"/>
    <w:rsid w:val="428D0D4C"/>
    <w:rsid w:val="42974EC0"/>
    <w:rsid w:val="42AF0206"/>
    <w:rsid w:val="42B873D6"/>
    <w:rsid w:val="42CD41CE"/>
    <w:rsid w:val="42E55A73"/>
    <w:rsid w:val="4350195F"/>
    <w:rsid w:val="436D76AE"/>
    <w:rsid w:val="43814648"/>
    <w:rsid w:val="43D02B95"/>
    <w:rsid w:val="442D43C6"/>
    <w:rsid w:val="443308F8"/>
    <w:rsid w:val="44527294"/>
    <w:rsid w:val="45297065"/>
    <w:rsid w:val="45351086"/>
    <w:rsid w:val="45B349E1"/>
    <w:rsid w:val="460039A2"/>
    <w:rsid w:val="464C3085"/>
    <w:rsid w:val="46B117A6"/>
    <w:rsid w:val="471D5FBA"/>
    <w:rsid w:val="4760008B"/>
    <w:rsid w:val="47C91545"/>
    <w:rsid w:val="47F3395B"/>
    <w:rsid w:val="48040569"/>
    <w:rsid w:val="4A1114C0"/>
    <w:rsid w:val="4A1D00EB"/>
    <w:rsid w:val="4B346528"/>
    <w:rsid w:val="4BD3428A"/>
    <w:rsid w:val="4BF87E35"/>
    <w:rsid w:val="4C4A5F86"/>
    <w:rsid w:val="4CA10A1B"/>
    <w:rsid w:val="4CC65294"/>
    <w:rsid w:val="4CF7136C"/>
    <w:rsid w:val="4F3226B6"/>
    <w:rsid w:val="4F340AE2"/>
    <w:rsid w:val="4F3B49C2"/>
    <w:rsid w:val="5001639F"/>
    <w:rsid w:val="50B001D8"/>
    <w:rsid w:val="51423FFA"/>
    <w:rsid w:val="52783376"/>
    <w:rsid w:val="52E471D3"/>
    <w:rsid w:val="530B3EE5"/>
    <w:rsid w:val="53303E2D"/>
    <w:rsid w:val="53360E9C"/>
    <w:rsid w:val="54BF7CBF"/>
    <w:rsid w:val="554055D0"/>
    <w:rsid w:val="55AA57D1"/>
    <w:rsid w:val="55DB5313"/>
    <w:rsid w:val="55E5760B"/>
    <w:rsid w:val="56877DFC"/>
    <w:rsid w:val="57C3237C"/>
    <w:rsid w:val="584E5E80"/>
    <w:rsid w:val="5892154F"/>
    <w:rsid w:val="5940793E"/>
    <w:rsid w:val="59ED1758"/>
    <w:rsid w:val="5A283EB8"/>
    <w:rsid w:val="5ADD5E8D"/>
    <w:rsid w:val="5AF75BB1"/>
    <w:rsid w:val="5B0B58C6"/>
    <w:rsid w:val="5B6340A3"/>
    <w:rsid w:val="5C9C615A"/>
    <w:rsid w:val="5E2F2994"/>
    <w:rsid w:val="5E5B1210"/>
    <w:rsid w:val="5EA67729"/>
    <w:rsid w:val="5F434039"/>
    <w:rsid w:val="5F622AAF"/>
    <w:rsid w:val="5F841D9C"/>
    <w:rsid w:val="60A31D00"/>
    <w:rsid w:val="60D5455D"/>
    <w:rsid w:val="610D2681"/>
    <w:rsid w:val="61BB2008"/>
    <w:rsid w:val="61C70641"/>
    <w:rsid w:val="61EF33BC"/>
    <w:rsid w:val="62151EE5"/>
    <w:rsid w:val="62321242"/>
    <w:rsid w:val="637F5F06"/>
    <w:rsid w:val="64035BDA"/>
    <w:rsid w:val="642E2E45"/>
    <w:rsid w:val="64692F86"/>
    <w:rsid w:val="64AA4B47"/>
    <w:rsid w:val="6550272F"/>
    <w:rsid w:val="660C2E38"/>
    <w:rsid w:val="661B1613"/>
    <w:rsid w:val="662253D1"/>
    <w:rsid w:val="66364F80"/>
    <w:rsid w:val="66F80380"/>
    <w:rsid w:val="67166EE8"/>
    <w:rsid w:val="675B50AD"/>
    <w:rsid w:val="67A61520"/>
    <w:rsid w:val="68107F97"/>
    <w:rsid w:val="685C793C"/>
    <w:rsid w:val="68605474"/>
    <w:rsid w:val="68B44DCD"/>
    <w:rsid w:val="68C710B5"/>
    <w:rsid w:val="68DB466C"/>
    <w:rsid w:val="68FF462B"/>
    <w:rsid w:val="696D7C78"/>
    <w:rsid w:val="69820D15"/>
    <w:rsid w:val="6B3163F5"/>
    <w:rsid w:val="6B5C0AAB"/>
    <w:rsid w:val="6BCD5B05"/>
    <w:rsid w:val="6C6E43E3"/>
    <w:rsid w:val="6D676125"/>
    <w:rsid w:val="6DB94E71"/>
    <w:rsid w:val="6DD5521B"/>
    <w:rsid w:val="6DD96815"/>
    <w:rsid w:val="6DF67FE1"/>
    <w:rsid w:val="6DFE2FB0"/>
    <w:rsid w:val="6E353C81"/>
    <w:rsid w:val="6E727979"/>
    <w:rsid w:val="6FA777EB"/>
    <w:rsid w:val="6FC716C6"/>
    <w:rsid w:val="703F7654"/>
    <w:rsid w:val="70A241D8"/>
    <w:rsid w:val="70B44343"/>
    <w:rsid w:val="70B4732F"/>
    <w:rsid w:val="70F630E1"/>
    <w:rsid w:val="713C5B34"/>
    <w:rsid w:val="719357E8"/>
    <w:rsid w:val="71D45930"/>
    <w:rsid w:val="7208726D"/>
    <w:rsid w:val="720B3865"/>
    <w:rsid w:val="72A77986"/>
    <w:rsid w:val="7311712B"/>
    <w:rsid w:val="73122880"/>
    <w:rsid w:val="732E59BD"/>
    <w:rsid w:val="735B17D1"/>
    <w:rsid w:val="737714C2"/>
    <w:rsid w:val="73B4243F"/>
    <w:rsid w:val="73DA6DB8"/>
    <w:rsid w:val="7419785C"/>
    <w:rsid w:val="746A534E"/>
    <w:rsid w:val="74876F15"/>
    <w:rsid w:val="74D77B03"/>
    <w:rsid w:val="75166489"/>
    <w:rsid w:val="75A42AA2"/>
    <w:rsid w:val="762D3A6B"/>
    <w:rsid w:val="767A1F69"/>
    <w:rsid w:val="77373C9A"/>
    <w:rsid w:val="77901E24"/>
    <w:rsid w:val="77A54D7B"/>
    <w:rsid w:val="781C39EC"/>
    <w:rsid w:val="786C6B11"/>
    <w:rsid w:val="78932EF4"/>
    <w:rsid w:val="78E37F0C"/>
    <w:rsid w:val="790766D0"/>
    <w:rsid w:val="79924A26"/>
    <w:rsid w:val="7A5E4391"/>
    <w:rsid w:val="7A5F6C20"/>
    <w:rsid w:val="7AB15473"/>
    <w:rsid w:val="7AD34FF6"/>
    <w:rsid w:val="7ADD2AFD"/>
    <w:rsid w:val="7AF34297"/>
    <w:rsid w:val="7B0761C0"/>
    <w:rsid w:val="7BDB5044"/>
    <w:rsid w:val="7C5F1964"/>
    <w:rsid w:val="7CC77367"/>
    <w:rsid w:val="7D89563B"/>
    <w:rsid w:val="7D9819DF"/>
    <w:rsid w:val="7DC57DDB"/>
    <w:rsid w:val="7E7762B0"/>
    <w:rsid w:val="7EE922D3"/>
    <w:rsid w:val="7F165311"/>
    <w:rsid w:val="7F360495"/>
    <w:rsid w:val="7F797A0F"/>
    <w:rsid w:val="7F932A37"/>
    <w:rsid w:val="7FCB297E"/>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ocked="1"/>
    <w:lsdException w:qFormat="1" w:unhideWhenUsed="0" w:uiPriority="9" w:semiHidden="0" w:name="heading 2" w:locked="1"/>
    <w:lsdException w:qFormat="1" w:unhideWhenUsed="0" w:uiPriority="0" w:semiHidden="0" w:name="heading 3" w:locked="1"/>
    <w:lsdException w:qFormat="1" w:unhideWhenUsed="0" w:uiPriority="9" w:semiHidden="0" w:name="heading 4" w:locked="1"/>
    <w:lsdException w:qFormat="1" w:unhideWhenUsed="0" w:uiPriority="0" w:semiHidden="0" w:name="heading 5" w:locked="1"/>
    <w:lsdException w:qFormat="1" w:unhideWhenUsed="0" w:uiPriority="0" w:semiHidden="0" w:name="heading 6" w:locked="1"/>
    <w:lsdException w:qFormat="1" w:unhideWhenUsed="0" w:uiPriority="0" w:semiHidden="0" w:name="heading 7" w:locked="1"/>
    <w:lsdException w:qFormat="1" w:unhideWhenUsed="0" w:uiPriority="0" w:semiHidden="0" w:name="heading 8" w:locked="1"/>
    <w:lsdException w:qFormat="1" w:unhideWhenUsed="0" w:uiPriority="0" w:semiHidden="0"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39" w:semiHidden="0" w:name="toc 1" w:locked="1"/>
    <w:lsdException w:qFormat="1" w:unhideWhenUsed="0" w:uiPriority="39" w:semiHidden="0" w:name="toc 2" w:locked="1"/>
    <w:lsdException w:qFormat="1" w:unhideWhenUsed="0" w:uiPriority="39" w:semiHidden="0" w:name="toc 3" w:locked="1"/>
    <w:lsdException w:qFormat="1" w:unhideWhenUsed="0" w:uiPriority="39" w:semiHidden="0" w:name="toc 4" w:locked="1"/>
    <w:lsdException w:qFormat="1" w:unhideWhenUsed="0" w:uiPriority="39" w:semiHidden="0" w:name="toc 5" w:locked="1"/>
    <w:lsdException w:qFormat="1" w:unhideWhenUsed="0" w:uiPriority="39" w:semiHidden="0" w:name="toc 6" w:locked="1"/>
    <w:lsdException w:qFormat="1" w:unhideWhenUsed="0" w:uiPriority="39" w:semiHidden="0" w:name="toc 7" w:locked="1"/>
    <w:lsdException w:qFormat="1" w:unhideWhenUsed="0" w:uiPriority="39" w:semiHidden="0" w:name="toc 8" w:locked="1"/>
    <w:lsdException w:qFormat="1" w:unhideWhenUsed="0" w:uiPriority="39" w:semiHidden="0" w:name="toc 9" w:locked="1"/>
    <w:lsdException w:qFormat="1" w:unhideWhenUsed="0" w:uiPriority="99" w:semiHidden="0" w:name="Normal Indent" w:locked="1"/>
    <w:lsdException w:uiPriority="99" w:name="footnote text" w:locked="1"/>
    <w:lsdException w:qFormat="1" w:unhideWhenUsed="0" w:uiPriority="99" w:semiHidden="0" w:name="annotation text" w:locked="1"/>
    <w:lsdException w:qFormat="1" w:unhideWhenUsed="0" w:uiPriority="99" w:semiHidden="0" w:name="header"/>
    <w:lsdException w:qFormat="1" w:unhideWhenUsed="0" w:uiPriority="0" w:semiHidden="0" w:name="footer"/>
    <w:lsdException w:uiPriority="99" w:name="index heading" w:locked="1"/>
    <w:lsdException w:qFormat="1" w:uiPriority="0" w:name="caption"/>
    <w:lsdException w:uiPriority="99" w:name="table of figures" w:locked="1"/>
    <w:lsdException w:uiPriority="99" w:name="envelope address" w:locked="1"/>
    <w:lsdException w:uiPriority="99" w:name="envelope return" w:locked="1"/>
    <w:lsdException w:uiPriority="99" w:name="footnote reference" w:locked="1"/>
    <w:lsdException w:qFormat="1" w:unhideWhenUsed="0" w:uiPriority="99" w:semiHidden="0" w:name="annotation reference" w:locked="1"/>
    <w:lsdException w:uiPriority="99" w:name="line number" w:locked="1"/>
    <w:lsdException w:qFormat="1" w:unhideWhenUsed="0" w:uiPriority="99" w:semiHidden="0" w:name="page number" w:locked="1"/>
    <w:lsdException w:uiPriority="99" w:name="endnote reference" w:locked="1"/>
    <w:lsdException w:uiPriority="99" w:name="endnote text" w:locked="1"/>
    <w:lsdException w:qFormat="1" w:unhideWhenUsed="0" w:uiPriority="99" w:semiHidden="0" w:name="table of authorities" w:locked="1"/>
    <w:lsdException w:uiPriority="99" w:name="macro" w:locked="1"/>
    <w:lsdException w:uiPriority="99" w:name="toa heading" w:locked="1"/>
    <w:lsdException w:qFormat="1" w:unhideWhenUsed="0" w:uiPriority="99" w:semiHidden="0" w:name="List"/>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99" w:semiHidden="0" w:name="Title"/>
    <w:lsdException w:qFormat="1" w:unhideWhenUsed="0" w:uiPriority="99" w:semiHidden="0" w:name="Closing"/>
    <w:lsdException w:uiPriority="99" w:name="Signature" w:locked="1"/>
    <w:lsdException w:qFormat="1" w:uiPriority="1" w:name="Default Paragraph Font"/>
    <w:lsdException w:qFormat="1" w:unhideWhenUsed="0" w:uiPriority="99" w:semiHidden="0" w:name="Body Text" w:locked="1"/>
    <w:lsdException w:qFormat="1" w:unhideWhenUsed="0" w:uiPriority="99" w:semiHidden="0"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sdException w:qFormat="1" w:unhideWhenUsed="0" w:uiPriority="99" w:semiHidden="0" w:name="Salutation"/>
    <w:lsdException w:qFormat="1" w:unhideWhenUsed="0" w:uiPriority="0" w:semiHidden="0" w:name="Date"/>
    <w:lsdException w:uiPriority="99" w:name="Body Text First Indent" w:locked="1"/>
    <w:lsdException w:qFormat="1" w:unhideWhenUsed="0" w:uiPriority="99" w:semiHidden="0" w:name="Body Text First Indent 2" w:locked="1"/>
    <w:lsdException w:uiPriority="99" w:name="Note Heading" w:locked="1"/>
    <w:lsdException w:qFormat="1" w:uiPriority="99" w:semiHidden="0" w:name="Body Text 2" w:locked="1"/>
    <w:lsdException w:qFormat="1" w:unhideWhenUsed="0" w:uiPriority="99" w:semiHidden="0" w:name="Body Text 3"/>
    <w:lsdException w:qFormat="1" w:unhideWhenUsed="0" w:uiPriority="99" w:semiHidden="0" w:name="Body Text Indent 2" w:locked="1"/>
    <w:lsdException w:qFormat="1" w:unhideWhenUsed="0" w:uiPriority="99" w:semiHidden="0" w:name="Body Text Indent 3" w:locked="1"/>
    <w:lsdException w:qFormat="1" w:unhideWhenUsed="0" w:uiPriority="99" w:semiHidden="0" w:name="Block Text" w:locked="1"/>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99" w:semiHidden="0" w:name="Emphasis"/>
    <w:lsdException w:qFormat="1" w:uiPriority="99" w:semiHidden="0" w:name="Document Map" w:locked="1"/>
    <w:lsdException w:qFormat="1" w:unhideWhenUsed="0" w:uiPriority="0" w:semiHidden="0" w:name="Plain Text" w:locked="1"/>
    <w:lsdException w:uiPriority="99" w:name="E-mail Signature" w:locked="1"/>
    <w:lsdException w:qFormat="1" w:unhideWhenUsed="0" w:uiPriority="99" w:semiHidden="0" w:name="Normal (Web)" w:locked="1"/>
    <w:lsdException w:uiPriority="99" w:name="HTML Acronym" w:locked="1"/>
    <w:lsdException w:uiPriority="99" w:name="HTML Address" w:locked="1"/>
    <w:lsdException w:uiPriority="99" w:name="HTML Cite" w:locked="1"/>
    <w:lsdException w:qFormat="1" w:unhideWhenUsed="0" w:uiPriority="0" w:semiHidden="0" w:name="HTML Code" w:locked="1"/>
    <w:lsdException w:qFormat="1" w:unhideWhenUsed="0" w:uiPriority="99" w:semiHidden="0" w:name="HTML Definition" w:locked="1"/>
    <w:lsdException w:qFormat="1" w:unhideWhenUsed="0" w:uiPriority="99" w:semiHidden="0" w:name="HTML Keyboard" w:locked="1"/>
    <w:lsdException w:qFormat="1" w:uiPriority="99" w:semiHidden="0" w:name="HTML Preformatted" w:locked="1"/>
    <w:lsdException w:qFormat="1" w:unhideWhenUsed="0" w:uiPriority="99" w:semiHidden="0" w:name="HTML Sample" w:locked="1"/>
    <w:lsdException w:uiPriority="99" w:name="HTML Typewriter" w:locked="1"/>
    <w:lsdException w:uiPriority="99" w:name="HTML Variable" w:locked="1"/>
    <w:lsdException w:qFormat="1" w:uiPriority="99" w:name="Normal Table"/>
    <w:lsdException w:qFormat="1" w:unhideWhenUsed="0" w:uiPriority="99" w:semiHidden="0"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semiHidden="0" w:name="Balloon Text"/>
    <w:lsdException w:qFormat="1" w:unhideWhenUsed="0" w:uiPriority="0" w:semiHidden="0" w:name="Table Grid" w:locked="1"/>
    <w:lsdException w:uiPriority="99" w:name="Table Theme" w:locked="1"/>
    <w:lsdException w:qFormat="1" w:uiPriority="99" w:semiHidden="0"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jc w:val="both"/>
      <w:textAlignment w:val="baseline"/>
    </w:pPr>
    <w:rPr>
      <w:rFonts w:ascii="Times New Roman" w:hAnsi="Times New Roman" w:eastAsia="宋体" w:cs="Times New Roman"/>
      <w:kern w:val="2"/>
      <w:sz w:val="21"/>
      <w:szCs w:val="24"/>
      <w:lang w:val="en-US" w:eastAsia="zh-CN" w:bidi="ar-SA"/>
    </w:rPr>
  </w:style>
  <w:style w:type="paragraph" w:styleId="2">
    <w:name w:val="heading 1"/>
    <w:basedOn w:val="1"/>
    <w:next w:val="1"/>
    <w:link w:val="59"/>
    <w:autoRedefine/>
    <w:qFormat/>
    <w:locked/>
    <w:uiPriority w:val="9"/>
    <w:pPr>
      <w:keepNext/>
      <w:tabs>
        <w:tab w:val="left" w:pos="432"/>
      </w:tabs>
      <w:ind w:left="432" w:hanging="432"/>
      <w:jc w:val="center"/>
      <w:textAlignment w:val="auto"/>
      <w:outlineLvl w:val="0"/>
    </w:pPr>
    <w:rPr>
      <w:rFonts w:ascii="黑体" w:hAnsi="宋体" w:eastAsia="黑体" w:cs="宋体"/>
      <w:kern w:val="0"/>
      <w:sz w:val="52"/>
      <w:szCs w:val="20"/>
    </w:rPr>
  </w:style>
  <w:style w:type="paragraph" w:styleId="3">
    <w:name w:val="heading 2"/>
    <w:basedOn w:val="1"/>
    <w:next w:val="1"/>
    <w:link w:val="60"/>
    <w:autoRedefine/>
    <w:qFormat/>
    <w:locked/>
    <w:uiPriority w:val="9"/>
    <w:pPr>
      <w:keepNext/>
      <w:keepLines/>
      <w:widowControl w:val="0"/>
      <w:spacing w:before="260" w:after="260" w:line="413" w:lineRule="auto"/>
      <w:textAlignment w:val="auto"/>
      <w:outlineLvl w:val="1"/>
    </w:pPr>
    <w:rPr>
      <w:rFonts w:ascii="Arial" w:hAnsi="Arial" w:eastAsia="黑体"/>
      <w:b/>
      <w:bCs/>
      <w:sz w:val="32"/>
      <w:szCs w:val="32"/>
    </w:rPr>
  </w:style>
  <w:style w:type="paragraph" w:styleId="4">
    <w:name w:val="heading 3"/>
    <w:basedOn w:val="1"/>
    <w:next w:val="1"/>
    <w:link w:val="61"/>
    <w:autoRedefine/>
    <w:qFormat/>
    <w:locked/>
    <w:uiPriority w:val="0"/>
    <w:pPr>
      <w:keepNext/>
      <w:keepLines/>
      <w:widowControl w:val="0"/>
      <w:spacing w:before="260" w:after="260" w:line="413" w:lineRule="auto"/>
      <w:textAlignment w:val="auto"/>
      <w:outlineLvl w:val="2"/>
    </w:pPr>
    <w:rPr>
      <w:rFonts w:ascii="Calibri" w:hAnsi="Calibri"/>
      <w:b/>
      <w:bCs/>
      <w:sz w:val="32"/>
      <w:szCs w:val="32"/>
    </w:rPr>
  </w:style>
  <w:style w:type="paragraph" w:styleId="5">
    <w:name w:val="heading 4"/>
    <w:basedOn w:val="1"/>
    <w:next w:val="1"/>
    <w:link w:val="62"/>
    <w:autoRedefine/>
    <w:qFormat/>
    <w:locked/>
    <w:uiPriority w:val="9"/>
    <w:pPr>
      <w:keepNext/>
      <w:keepLines/>
      <w:spacing w:before="120" w:after="120" w:line="360" w:lineRule="auto"/>
      <w:jc w:val="center"/>
      <w:textAlignment w:val="auto"/>
      <w:outlineLvl w:val="3"/>
    </w:pPr>
    <w:rPr>
      <w:rFonts w:ascii="Arial" w:hAnsi="Arial" w:eastAsia="黑体"/>
      <w:kern w:val="0"/>
      <w:sz w:val="28"/>
      <w:szCs w:val="20"/>
    </w:rPr>
  </w:style>
  <w:style w:type="paragraph" w:styleId="6">
    <w:name w:val="heading 5"/>
    <w:basedOn w:val="1"/>
    <w:next w:val="1"/>
    <w:link w:val="63"/>
    <w:autoRedefine/>
    <w:qFormat/>
    <w:locked/>
    <w:uiPriority w:val="0"/>
    <w:pPr>
      <w:keepNext/>
      <w:keepLines/>
      <w:spacing w:before="120" w:after="120" w:line="360" w:lineRule="auto"/>
      <w:ind w:firstLine="499"/>
      <w:jc w:val="left"/>
      <w:textAlignment w:val="auto"/>
      <w:outlineLvl w:val="4"/>
    </w:pPr>
    <w:rPr>
      <w:rFonts w:ascii="宋体" w:hAnsi="宋体" w:cs="宋体"/>
      <w:b/>
      <w:kern w:val="0"/>
      <w:sz w:val="24"/>
      <w:szCs w:val="20"/>
    </w:rPr>
  </w:style>
  <w:style w:type="paragraph" w:styleId="7">
    <w:name w:val="heading 6"/>
    <w:basedOn w:val="1"/>
    <w:next w:val="1"/>
    <w:link w:val="64"/>
    <w:autoRedefine/>
    <w:qFormat/>
    <w:locked/>
    <w:uiPriority w:val="0"/>
    <w:pPr>
      <w:keepNext/>
      <w:keepLines/>
      <w:tabs>
        <w:tab w:val="left" w:pos="1440"/>
      </w:tabs>
      <w:spacing w:before="240" w:after="64" w:line="317" w:lineRule="auto"/>
      <w:ind w:left="1152" w:hanging="1152"/>
      <w:jc w:val="left"/>
      <w:textAlignment w:val="auto"/>
      <w:outlineLvl w:val="5"/>
    </w:pPr>
    <w:rPr>
      <w:rFonts w:ascii="Arial" w:hAnsi="Arial" w:eastAsia="黑体"/>
      <w:b/>
      <w:bCs/>
      <w:kern w:val="0"/>
      <w:sz w:val="24"/>
    </w:rPr>
  </w:style>
  <w:style w:type="paragraph" w:styleId="8">
    <w:name w:val="heading 7"/>
    <w:basedOn w:val="1"/>
    <w:next w:val="1"/>
    <w:link w:val="65"/>
    <w:autoRedefine/>
    <w:qFormat/>
    <w:locked/>
    <w:uiPriority w:val="0"/>
    <w:pPr>
      <w:keepNext/>
      <w:keepLines/>
      <w:tabs>
        <w:tab w:val="left" w:pos="2520"/>
      </w:tabs>
      <w:spacing w:before="240" w:after="64" w:line="317" w:lineRule="auto"/>
      <w:ind w:left="1296" w:hanging="1296"/>
      <w:jc w:val="left"/>
      <w:textAlignment w:val="auto"/>
      <w:outlineLvl w:val="6"/>
    </w:pPr>
    <w:rPr>
      <w:rFonts w:ascii="Calibri" w:hAnsi="Calibri"/>
      <w:b/>
      <w:bCs/>
      <w:kern w:val="0"/>
      <w:sz w:val="24"/>
    </w:rPr>
  </w:style>
  <w:style w:type="paragraph" w:styleId="9">
    <w:name w:val="heading 8"/>
    <w:basedOn w:val="1"/>
    <w:next w:val="1"/>
    <w:link w:val="66"/>
    <w:autoRedefine/>
    <w:qFormat/>
    <w:locked/>
    <w:uiPriority w:val="0"/>
    <w:pPr>
      <w:keepNext/>
      <w:keepLines/>
      <w:tabs>
        <w:tab w:val="left" w:pos="1440"/>
      </w:tabs>
      <w:spacing w:before="240" w:after="64" w:line="317" w:lineRule="auto"/>
      <w:ind w:left="1440" w:hanging="1440"/>
      <w:jc w:val="left"/>
      <w:textAlignment w:val="auto"/>
      <w:outlineLvl w:val="7"/>
    </w:pPr>
    <w:rPr>
      <w:rFonts w:ascii="Arial" w:hAnsi="Arial" w:eastAsia="黑体"/>
      <w:kern w:val="0"/>
      <w:sz w:val="24"/>
    </w:rPr>
  </w:style>
  <w:style w:type="paragraph" w:styleId="10">
    <w:name w:val="heading 9"/>
    <w:basedOn w:val="1"/>
    <w:next w:val="1"/>
    <w:link w:val="67"/>
    <w:autoRedefine/>
    <w:qFormat/>
    <w:locked/>
    <w:uiPriority w:val="0"/>
    <w:pPr>
      <w:keepNext/>
      <w:keepLines/>
      <w:tabs>
        <w:tab w:val="left" w:pos="1584"/>
      </w:tabs>
      <w:spacing w:before="240" w:after="64" w:line="317" w:lineRule="auto"/>
      <w:ind w:left="1584" w:hanging="1584"/>
      <w:jc w:val="left"/>
      <w:textAlignment w:val="auto"/>
      <w:outlineLvl w:val="8"/>
    </w:pPr>
    <w:rPr>
      <w:rFonts w:ascii="Arial" w:hAnsi="Arial" w:eastAsia="黑体"/>
      <w:kern w:val="0"/>
      <w:szCs w:val="21"/>
    </w:rPr>
  </w:style>
  <w:style w:type="character" w:default="1" w:styleId="47">
    <w:name w:val="Default Paragraph Font"/>
    <w:autoRedefine/>
    <w:semiHidden/>
    <w:unhideWhenUsed/>
    <w:qFormat/>
    <w:uiPriority w:val="1"/>
  </w:style>
  <w:style w:type="table" w:default="1" w:styleId="45">
    <w:name w:val="Normal Table"/>
    <w:autoRedefine/>
    <w:semiHidden/>
    <w:unhideWhenUsed/>
    <w:qFormat/>
    <w:uiPriority w:val="99"/>
    <w:tblPr>
      <w:tblCellMar>
        <w:top w:w="0" w:type="dxa"/>
        <w:left w:w="108" w:type="dxa"/>
        <w:bottom w:w="0" w:type="dxa"/>
        <w:right w:w="108" w:type="dxa"/>
      </w:tblCellMar>
    </w:tblPr>
  </w:style>
  <w:style w:type="paragraph" w:styleId="11">
    <w:name w:val="toc 7"/>
    <w:basedOn w:val="1"/>
    <w:next w:val="1"/>
    <w:autoRedefine/>
    <w:qFormat/>
    <w:locked/>
    <w:uiPriority w:val="39"/>
    <w:pPr>
      <w:widowControl w:val="0"/>
      <w:ind w:left="1260"/>
      <w:jc w:val="left"/>
      <w:textAlignment w:val="auto"/>
    </w:pPr>
    <w:rPr>
      <w:rFonts w:ascii="Calibri" w:hAnsi="Calibri"/>
      <w:sz w:val="18"/>
      <w:szCs w:val="18"/>
    </w:rPr>
  </w:style>
  <w:style w:type="paragraph" w:styleId="12">
    <w:name w:val="table of authorities"/>
    <w:basedOn w:val="1"/>
    <w:next w:val="1"/>
    <w:autoRedefine/>
    <w:qFormat/>
    <w:locked/>
    <w:uiPriority w:val="99"/>
    <w:pPr>
      <w:widowControl w:val="0"/>
      <w:ind w:left="420" w:leftChars="200"/>
      <w:textAlignment w:val="auto"/>
    </w:pPr>
    <w:rPr>
      <w:rFonts w:ascii="Calibri" w:hAnsi="Calibri"/>
    </w:rPr>
  </w:style>
  <w:style w:type="paragraph" w:styleId="13">
    <w:name w:val="Normal Indent"/>
    <w:basedOn w:val="1"/>
    <w:autoRedefine/>
    <w:qFormat/>
    <w:locked/>
    <w:uiPriority w:val="99"/>
    <w:pPr>
      <w:ind w:firstLine="420"/>
      <w:jc w:val="left"/>
      <w:textAlignment w:val="auto"/>
    </w:pPr>
    <w:rPr>
      <w:rFonts w:ascii="Calibri" w:hAnsi="Calibri"/>
      <w:kern w:val="0"/>
      <w:sz w:val="20"/>
      <w:szCs w:val="20"/>
    </w:rPr>
  </w:style>
  <w:style w:type="paragraph" w:styleId="14">
    <w:name w:val="Document Map"/>
    <w:basedOn w:val="1"/>
    <w:link w:val="964"/>
    <w:autoRedefine/>
    <w:unhideWhenUsed/>
    <w:qFormat/>
    <w:locked/>
    <w:uiPriority w:val="99"/>
    <w:pPr>
      <w:wordWrap w:val="0"/>
      <w:topLinePunct/>
      <w:adjustRightInd w:val="0"/>
      <w:snapToGrid w:val="0"/>
      <w:spacing w:after="120" w:afterLines="50" w:line="360" w:lineRule="auto"/>
      <w:ind w:firstLine="480" w:firstLineChars="200"/>
      <w:textAlignment w:val="auto"/>
    </w:pPr>
    <w:rPr>
      <w:rFonts w:ascii="宋体" w:hAnsi="Calibri"/>
      <w:sz w:val="24"/>
    </w:rPr>
  </w:style>
  <w:style w:type="paragraph" w:styleId="15">
    <w:name w:val="annotation text"/>
    <w:basedOn w:val="1"/>
    <w:link w:val="69"/>
    <w:autoRedefine/>
    <w:qFormat/>
    <w:locked/>
    <w:uiPriority w:val="99"/>
    <w:pPr>
      <w:widowControl w:val="0"/>
      <w:adjustRightInd w:val="0"/>
      <w:spacing w:line="360" w:lineRule="atLeast"/>
      <w:jc w:val="left"/>
      <w:textAlignment w:val="auto"/>
    </w:pPr>
    <w:rPr>
      <w:rFonts w:ascii="Calibri" w:hAnsi="Calibri"/>
      <w:kern w:val="0"/>
      <w:sz w:val="24"/>
      <w:szCs w:val="20"/>
    </w:rPr>
  </w:style>
  <w:style w:type="paragraph" w:styleId="16">
    <w:name w:val="Salutation"/>
    <w:basedOn w:val="1"/>
    <w:next w:val="1"/>
    <w:link w:val="70"/>
    <w:autoRedefine/>
    <w:qFormat/>
    <w:uiPriority w:val="99"/>
    <w:rPr>
      <w:szCs w:val="20"/>
    </w:rPr>
  </w:style>
  <w:style w:type="paragraph" w:styleId="17">
    <w:name w:val="Body Text 3"/>
    <w:basedOn w:val="1"/>
    <w:link w:val="912"/>
    <w:autoRedefine/>
    <w:qFormat/>
    <w:uiPriority w:val="99"/>
    <w:pPr>
      <w:widowControl w:val="0"/>
      <w:spacing w:after="120"/>
      <w:textAlignment w:val="auto"/>
    </w:pPr>
    <w:rPr>
      <w:rFonts w:ascii="Calibri" w:hAnsi="Calibri"/>
      <w:sz w:val="16"/>
      <w:szCs w:val="20"/>
    </w:rPr>
  </w:style>
  <w:style w:type="paragraph" w:styleId="18">
    <w:name w:val="Closing"/>
    <w:basedOn w:val="1"/>
    <w:next w:val="1"/>
    <w:link w:val="72"/>
    <w:autoRedefine/>
    <w:qFormat/>
    <w:uiPriority w:val="99"/>
    <w:pPr>
      <w:spacing w:line="360" w:lineRule="auto"/>
      <w:ind w:left="4320"/>
    </w:pPr>
    <w:rPr>
      <w:rFonts w:ascii="宋体"/>
      <w:kern w:val="0"/>
      <w:sz w:val="24"/>
    </w:rPr>
  </w:style>
  <w:style w:type="paragraph" w:styleId="19">
    <w:name w:val="Body Text"/>
    <w:basedOn w:val="1"/>
    <w:link w:val="68"/>
    <w:autoRedefine/>
    <w:qFormat/>
    <w:locked/>
    <w:uiPriority w:val="99"/>
    <w:pPr>
      <w:spacing w:after="120"/>
    </w:pPr>
  </w:style>
  <w:style w:type="paragraph" w:styleId="20">
    <w:name w:val="Body Text Indent"/>
    <w:basedOn w:val="1"/>
    <w:link w:val="73"/>
    <w:autoRedefine/>
    <w:qFormat/>
    <w:locked/>
    <w:uiPriority w:val="99"/>
    <w:pPr>
      <w:overflowPunct w:val="0"/>
      <w:autoSpaceDE w:val="0"/>
      <w:autoSpaceDN w:val="0"/>
      <w:adjustRightInd w:val="0"/>
      <w:spacing w:line="360" w:lineRule="auto"/>
      <w:ind w:firstLine="540"/>
      <w:textAlignment w:val="auto"/>
    </w:pPr>
    <w:rPr>
      <w:rFonts w:ascii="宋体" w:hAnsi="MS Sans Serif"/>
      <w:spacing w:val="12"/>
      <w:kern w:val="0"/>
      <w:sz w:val="24"/>
      <w:szCs w:val="20"/>
    </w:rPr>
  </w:style>
  <w:style w:type="paragraph" w:styleId="21">
    <w:name w:val="Block Text"/>
    <w:basedOn w:val="1"/>
    <w:autoRedefine/>
    <w:qFormat/>
    <w:locked/>
    <w:uiPriority w:val="99"/>
    <w:pPr>
      <w:widowControl w:val="0"/>
      <w:adjustRightInd w:val="0"/>
      <w:ind w:left="420" w:right="33"/>
      <w:jc w:val="left"/>
      <w:textAlignment w:val="auto"/>
    </w:pPr>
    <w:rPr>
      <w:rFonts w:ascii="Calibri" w:hAnsi="Calibri"/>
      <w:kern w:val="0"/>
      <w:sz w:val="24"/>
      <w:szCs w:val="20"/>
    </w:rPr>
  </w:style>
  <w:style w:type="paragraph" w:styleId="22">
    <w:name w:val="toc 5"/>
    <w:basedOn w:val="1"/>
    <w:next w:val="1"/>
    <w:autoRedefine/>
    <w:qFormat/>
    <w:locked/>
    <w:uiPriority w:val="39"/>
    <w:pPr>
      <w:widowControl w:val="0"/>
      <w:ind w:left="840"/>
      <w:jc w:val="left"/>
      <w:textAlignment w:val="auto"/>
    </w:pPr>
    <w:rPr>
      <w:rFonts w:ascii="Calibri" w:hAnsi="Calibri"/>
      <w:sz w:val="18"/>
      <w:szCs w:val="18"/>
    </w:rPr>
  </w:style>
  <w:style w:type="paragraph" w:styleId="23">
    <w:name w:val="toc 3"/>
    <w:basedOn w:val="1"/>
    <w:next w:val="1"/>
    <w:autoRedefine/>
    <w:qFormat/>
    <w:locked/>
    <w:uiPriority w:val="39"/>
    <w:pPr>
      <w:widowControl w:val="0"/>
      <w:ind w:left="420"/>
      <w:jc w:val="left"/>
      <w:textAlignment w:val="auto"/>
    </w:pPr>
    <w:rPr>
      <w:rFonts w:ascii="Calibri" w:hAnsi="Calibri"/>
      <w:i/>
      <w:iCs/>
      <w:sz w:val="20"/>
      <w:szCs w:val="20"/>
    </w:rPr>
  </w:style>
  <w:style w:type="paragraph" w:styleId="24">
    <w:name w:val="Plain Text"/>
    <w:basedOn w:val="1"/>
    <w:link w:val="74"/>
    <w:autoRedefine/>
    <w:qFormat/>
    <w:locked/>
    <w:uiPriority w:val="0"/>
    <w:pPr>
      <w:widowControl w:val="0"/>
      <w:textAlignment w:val="auto"/>
    </w:pPr>
    <w:rPr>
      <w:rFonts w:ascii="宋体" w:hAnsi="Courier New"/>
      <w:szCs w:val="20"/>
    </w:rPr>
  </w:style>
  <w:style w:type="paragraph" w:styleId="25">
    <w:name w:val="toc 8"/>
    <w:basedOn w:val="1"/>
    <w:next w:val="1"/>
    <w:autoRedefine/>
    <w:qFormat/>
    <w:locked/>
    <w:uiPriority w:val="39"/>
    <w:pPr>
      <w:widowControl w:val="0"/>
      <w:ind w:left="1470"/>
      <w:jc w:val="left"/>
      <w:textAlignment w:val="auto"/>
    </w:pPr>
    <w:rPr>
      <w:rFonts w:ascii="Calibri" w:hAnsi="Calibri"/>
      <w:sz w:val="18"/>
      <w:szCs w:val="18"/>
    </w:rPr>
  </w:style>
  <w:style w:type="paragraph" w:styleId="26">
    <w:name w:val="Date"/>
    <w:basedOn w:val="1"/>
    <w:next w:val="1"/>
    <w:link w:val="75"/>
    <w:autoRedefine/>
    <w:qFormat/>
    <w:uiPriority w:val="0"/>
    <w:pPr>
      <w:ind w:left="100" w:leftChars="2500"/>
    </w:pPr>
    <w:rPr>
      <w:rFonts w:ascii="宋体"/>
    </w:rPr>
  </w:style>
  <w:style w:type="paragraph" w:styleId="27">
    <w:name w:val="Body Text Indent 2"/>
    <w:basedOn w:val="1"/>
    <w:link w:val="76"/>
    <w:autoRedefine/>
    <w:qFormat/>
    <w:locked/>
    <w:uiPriority w:val="99"/>
    <w:pPr>
      <w:overflowPunct w:val="0"/>
      <w:autoSpaceDE w:val="0"/>
      <w:autoSpaceDN w:val="0"/>
      <w:adjustRightInd w:val="0"/>
      <w:spacing w:line="360" w:lineRule="auto"/>
      <w:ind w:firstLine="555"/>
      <w:textAlignment w:val="auto"/>
    </w:pPr>
    <w:rPr>
      <w:rFonts w:ascii="宋体" w:hAnsi="MS Sans Serif"/>
      <w:spacing w:val="12"/>
      <w:kern w:val="0"/>
      <w:sz w:val="24"/>
      <w:szCs w:val="20"/>
    </w:rPr>
  </w:style>
  <w:style w:type="paragraph" w:styleId="28">
    <w:name w:val="Balloon Text"/>
    <w:basedOn w:val="1"/>
    <w:link w:val="77"/>
    <w:autoRedefine/>
    <w:qFormat/>
    <w:uiPriority w:val="99"/>
    <w:rPr>
      <w:sz w:val="18"/>
      <w:szCs w:val="18"/>
    </w:rPr>
  </w:style>
  <w:style w:type="paragraph" w:styleId="29">
    <w:name w:val="footer"/>
    <w:basedOn w:val="1"/>
    <w:link w:val="78"/>
    <w:autoRedefine/>
    <w:qFormat/>
    <w:uiPriority w:val="0"/>
    <w:pPr>
      <w:tabs>
        <w:tab w:val="center" w:pos="4153"/>
        <w:tab w:val="right" w:pos="8306"/>
      </w:tabs>
      <w:snapToGrid w:val="0"/>
      <w:jc w:val="left"/>
    </w:pPr>
    <w:rPr>
      <w:sz w:val="18"/>
      <w:szCs w:val="18"/>
    </w:rPr>
  </w:style>
  <w:style w:type="paragraph" w:styleId="30">
    <w:name w:val="header"/>
    <w:basedOn w:val="1"/>
    <w:link w:val="79"/>
    <w:autoRedefine/>
    <w:qFormat/>
    <w:uiPriority w:val="99"/>
    <w:pPr>
      <w:pBdr>
        <w:bottom w:val="single" w:color="auto" w:sz="6" w:space="1"/>
      </w:pBdr>
      <w:tabs>
        <w:tab w:val="center" w:pos="4153"/>
        <w:tab w:val="right" w:pos="8306"/>
      </w:tabs>
      <w:snapToGrid w:val="0"/>
      <w:jc w:val="center"/>
    </w:pPr>
    <w:rPr>
      <w:sz w:val="18"/>
      <w:szCs w:val="18"/>
    </w:rPr>
  </w:style>
  <w:style w:type="paragraph" w:styleId="31">
    <w:name w:val="toc 1"/>
    <w:basedOn w:val="1"/>
    <w:next w:val="1"/>
    <w:autoRedefine/>
    <w:qFormat/>
    <w:locked/>
    <w:uiPriority w:val="39"/>
    <w:pPr>
      <w:widowControl w:val="0"/>
      <w:spacing w:before="120" w:after="120"/>
      <w:jc w:val="left"/>
      <w:textAlignment w:val="auto"/>
    </w:pPr>
    <w:rPr>
      <w:rFonts w:ascii="Calibri" w:hAnsi="Calibri"/>
      <w:b/>
      <w:bCs/>
      <w:caps/>
      <w:sz w:val="20"/>
      <w:szCs w:val="20"/>
    </w:rPr>
  </w:style>
  <w:style w:type="paragraph" w:styleId="32">
    <w:name w:val="toc 4"/>
    <w:basedOn w:val="1"/>
    <w:next w:val="1"/>
    <w:autoRedefine/>
    <w:qFormat/>
    <w:locked/>
    <w:uiPriority w:val="39"/>
    <w:pPr>
      <w:widowControl w:val="0"/>
      <w:ind w:left="630"/>
      <w:jc w:val="left"/>
      <w:textAlignment w:val="auto"/>
    </w:pPr>
    <w:rPr>
      <w:rFonts w:ascii="Calibri" w:hAnsi="Calibri"/>
      <w:sz w:val="18"/>
      <w:szCs w:val="18"/>
    </w:rPr>
  </w:style>
  <w:style w:type="paragraph" w:styleId="33">
    <w:name w:val="Subtitle"/>
    <w:basedOn w:val="1"/>
    <w:link w:val="80"/>
    <w:autoRedefine/>
    <w:qFormat/>
    <w:uiPriority w:val="11"/>
    <w:pPr>
      <w:spacing w:before="120" w:after="120" w:line="240" w:lineRule="atLeast"/>
      <w:jc w:val="center"/>
    </w:pPr>
    <w:rPr>
      <w:b/>
      <w:kern w:val="0"/>
      <w:sz w:val="32"/>
      <w:szCs w:val="20"/>
    </w:rPr>
  </w:style>
  <w:style w:type="paragraph" w:styleId="34">
    <w:name w:val="List"/>
    <w:basedOn w:val="1"/>
    <w:autoRedefine/>
    <w:qFormat/>
    <w:uiPriority w:val="99"/>
    <w:pPr>
      <w:ind w:left="420" w:hanging="420"/>
    </w:pPr>
    <w:rPr>
      <w:sz w:val="28"/>
      <w:szCs w:val="20"/>
    </w:rPr>
  </w:style>
  <w:style w:type="paragraph" w:styleId="35">
    <w:name w:val="toc 6"/>
    <w:basedOn w:val="1"/>
    <w:next w:val="1"/>
    <w:autoRedefine/>
    <w:qFormat/>
    <w:locked/>
    <w:uiPriority w:val="39"/>
    <w:pPr>
      <w:widowControl w:val="0"/>
      <w:ind w:left="1050"/>
      <w:jc w:val="left"/>
      <w:textAlignment w:val="auto"/>
    </w:pPr>
    <w:rPr>
      <w:rFonts w:ascii="Calibri" w:hAnsi="Calibri"/>
      <w:sz w:val="18"/>
      <w:szCs w:val="18"/>
    </w:rPr>
  </w:style>
  <w:style w:type="paragraph" w:styleId="36">
    <w:name w:val="Body Text Indent 3"/>
    <w:basedOn w:val="1"/>
    <w:link w:val="81"/>
    <w:autoRedefine/>
    <w:qFormat/>
    <w:locked/>
    <w:uiPriority w:val="99"/>
    <w:pPr>
      <w:overflowPunct w:val="0"/>
      <w:autoSpaceDE w:val="0"/>
      <w:autoSpaceDN w:val="0"/>
      <w:adjustRightInd w:val="0"/>
      <w:spacing w:line="360" w:lineRule="auto"/>
      <w:ind w:firstLine="540"/>
      <w:textAlignment w:val="auto"/>
    </w:pPr>
    <w:rPr>
      <w:rFonts w:ascii="宋体" w:hAnsi="MS Sans Serif"/>
      <w:color w:val="000000"/>
      <w:kern w:val="0"/>
      <w:sz w:val="24"/>
      <w:szCs w:val="20"/>
    </w:rPr>
  </w:style>
  <w:style w:type="paragraph" w:styleId="37">
    <w:name w:val="toc 2"/>
    <w:basedOn w:val="1"/>
    <w:next w:val="1"/>
    <w:autoRedefine/>
    <w:qFormat/>
    <w:locked/>
    <w:uiPriority w:val="39"/>
    <w:pPr>
      <w:widowControl w:val="0"/>
      <w:ind w:left="210"/>
      <w:jc w:val="left"/>
      <w:textAlignment w:val="auto"/>
    </w:pPr>
    <w:rPr>
      <w:rFonts w:ascii="Calibri" w:hAnsi="Calibri"/>
      <w:smallCaps/>
      <w:sz w:val="20"/>
      <w:szCs w:val="20"/>
    </w:rPr>
  </w:style>
  <w:style w:type="paragraph" w:styleId="38">
    <w:name w:val="toc 9"/>
    <w:basedOn w:val="1"/>
    <w:next w:val="1"/>
    <w:autoRedefine/>
    <w:qFormat/>
    <w:locked/>
    <w:uiPriority w:val="39"/>
    <w:pPr>
      <w:widowControl w:val="0"/>
      <w:ind w:left="1680"/>
      <w:jc w:val="left"/>
      <w:textAlignment w:val="auto"/>
    </w:pPr>
    <w:rPr>
      <w:rFonts w:ascii="Calibri" w:hAnsi="Calibri"/>
      <w:sz w:val="18"/>
      <w:szCs w:val="18"/>
    </w:rPr>
  </w:style>
  <w:style w:type="paragraph" w:styleId="39">
    <w:name w:val="Body Text 2"/>
    <w:basedOn w:val="1"/>
    <w:link w:val="953"/>
    <w:autoRedefine/>
    <w:unhideWhenUsed/>
    <w:qFormat/>
    <w:locked/>
    <w:uiPriority w:val="99"/>
    <w:pPr>
      <w:wordWrap w:val="0"/>
      <w:topLinePunct/>
      <w:adjustRightInd w:val="0"/>
      <w:snapToGrid w:val="0"/>
      <w:spacing w:after="120" w:afterLines="50" w:line="480" w:lineRule="auto"/>
      <w:ind w:firstLine="480" w:firstLineChars="200"/>
      <w:textAlignment w:val="auto"/>
    </w:pPr>
    <w:rPr>
      <w:rFonts w:ascii="Calibri" w:hAnsi="Calibri"/>
      <w:sz w:val="24"/>
      <w:szCs w:val="22"/>
    </w:rPr>
  </w:style>
  <w:style w:type="paragraph" w:styleId="40">
    <w:name w:val="HTML Preformatted"/>
    <w:basedOn w:val="1"/>
    <w:link w:val="957"/>
    <w:autoRedefine/>
    <w:unhideWhenUsed/>
    <w:qFormat/>
    <w:locked/>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wordWrap w:val="0"/>
      <w:topLinePunct/>
      <w:jc w:val="left"/>
      <w:textAlignment w:val="auto"/>
    </w:pPr>
    <w:rPr>
      <w:rFonts w:ascii="宋体" w:hAnsi="宋体" w:cs="宋体"/>
      <w:kern w:val="0"/>
      <w:sz w:val="24"/>
    </w:rPr>
  </w:style>
  <w:style w:type="paragraph" w:styleId="41">
    <w:name w:val="Normal (Web)"/>
    <w:basedOn w:val="1"/>
    <w:autoRedefine/>
    <w:qFormat/>
    <w:locked/>
    <w:uiPriority w:val="99"/>
    <w:pPr>
      <w:spacing w:before="100" w:beforeAutospacing="1" w:after="100" w:afterAutospacing="1"/>
      <w:jc w:val="left"/>
      <w:textAlignment w:val="auto"/>
    </w:pPr>
    <w:rPr>
      <w:rFonts w:ascii="宋体" w:hAnsi="宋体" w:cs="宋体"/>
      <w:kern w:val="0"/>
      <w:sz w:val="24"/>
    </w:rPr>
  </w:style>
  <w:style w:type="paragraph" w:styleId="42">
    <w:name w:val="Title"/>
    <w:basedOn w:val="1"/>
    <w:next w:val="1"/>
    <w:link w:val="82"/>
    <w:autoRedefine/>
    <w:qFormat/>
    <w:uiPriority w:val="99"/>
    <w:pPr>
      <w:spacing w:before="240" w:after="60"/>
      <w:jc w:val="center"/>
    </w:pPr>
    <w:rPr>
      <w:rFonts w:ascii="Arial" w:hAnsi="Arial" w:cs="Arial"/>
      <w:b/>
      <w:bCs/>
      <w:sz w:val="32"/>
      <w:szCs w:val="32"/>
    </w:rPr>
  </w:style>
  <w:style w:type="paragraph" w:styleId="43">
    <w:name w:val="annotation subject"/>
    <w:basedOn w:val="15"/>
    <w:next w:val="15"/>
    <w:link w:val="83"/>
    <w:autoRedefine/>
    <w:qFormat/>
    <w:locked/>
    <w:uiPriority w:val="99"/>
    <w:pPr>
      <w:adjustRightInd/>
      <w:spacing w:line="240" w:lineRule="auto"/>
    </w:pPr>
  </w:style>
  <w:style w:type="paragraph" w:styleId="44">
    <w:name w:val="Body Text First Indent 2"/>
    <w:basedOn w:val="20"/>
    <w:link w:val="84"/>
    <w:autoRedefine/>
    <w:qFormat/>
    <w:locked/>
    <w:uiPriority w:val="99"/>
    <w:pPr>
      <w:ind w:firstLine="420"/>
    </w:pPr>
    <w:rPr>
      <w:sz w:val="28"/>
    </w:rPr>
  </w:style>
  <w:style w:type="table" w:styleId="46">
    <w:name w:val="Table Grid"/>
    <w:basedOn w:val="45"/>
    <w:autoRedefine/>
    <w:qFormat/>
    <w:locked/>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8">
    <w:name w:val="Strong"/>
    <w:autoRedefine/>
    <w:qFormat/>
    <w:uiPriority w:val="22"/>
    <w:rPr>
      <w:rFonts w:cs="Times New Roman"/>
      <w:b/>
    </w:rPr>
  </w:style>
  <w:style w:type="character" w:styleId="49">
    <w:name w:val="page number"/>
    <w:autoRedefine/>
    <w:qFormat/>
    <w:locked/>
    <w:uiPriority w:val="99"/>
    <w:rPr>
      <w:rFonts w:ascii="Times New Roman" w:hAnsi="Times New Roman" w:cs="Times New Roman"/>
      <w:sz w:val="24"/>
      <w:szCs w:val="24"/>
    </w:rPr>
  </w:style>
  <w:style w:type="character" w:styleId="50">
    <w:name w:val="FollowedHyperlink"/>
    <w:autoRedefine/>
    <w:qFormat/>
    <w:uiPriority w:val="99"/>
    <w:rPr>
      <w:rFonts w:cs="Times New Roman"/>
      <w:color w:val="800080"/>
      <w:u w:val="single"/>
    </w:rPr>
  </w:style>
  <w:style w:type="character" w:styleId="51">
    <w:name w:val="Emphasis"/>
    <w:autoRedefine/>
    <w:qFormat/>
    <w:uiPriority w:val="99"/>
    <w:rPr>
      <w:rFonts w:cs="Times New Roman"/>
      <w:i/>
    </w:rPr>
  </w:style>
  <w:style w:type="character" w:styleId="52">
    <w:name w:val="HTML Definition"/>
    <w:autoRedefine/>
    <w:qFormat/>
    <w:locked/>
    <w:uiPriority w:val="99"/>
    <w:rPr>
      <w:rFonts w:ascii="Times New Roman" w:hAnsi="Times New Roman" w:cs="Times New Roman"/>
      <w:i/>
      <w:sz w:val="24"/>
    </w:rPr>
  </w:style>
  <w:style w:type="character" w:styleId="53">
    <w:name w:val="Hyperlink"/>
    <w:autoRedefine/>
    <w:qFormat/>
    <w:uiPriority w:val="99"/>
    <w:rPr>
      <w:rFonts w:cs="Times New Roman"/>
      <w:color w:val="0000FF"/>
      <w:u w:val="single"/>
    </w:rPr>
  </w:style>
  <w:style w:type="character" w:styleId="54">
    <w:name w:val="HTML Code"/>
    <w:autoRedefine/>
    <w:qFormat/>
    <w:locked/>
    <w:uiPriority w:val="0"/>
    <w:rPr>
      <w:rFonts w:ascii="Consolas" w:hAnsi="Consolas" w:cs="Times New Roman"/>
      <w:color w:val="C7254E"/>
      <w:sz w:val="21"/>
      <w:shd w:val="clear" w:color="auto" w:fill="F9F2F4"/>
    </w:rPr>
  </w:style>
  <w:style w:type="character" w:styleId="55">
    <w:name w:val="annotation reference"/>
    <w:autoRedefine/>
    <w:qFormat/>
    <w:locked/>
    <w:uiPriority w:val="99"/>
    <w:rPr>
      <w:rFonts w:cs="Times New Roman"/>
      <w:sz w:val="21"/>
    </w:rPr>
  </w:style>
  <w:style w:type="character" w:styleId="56">
    <w:name w:val="HTML Keyboard"/>
    <w:autoRedefine/>
    <w:qFormat/>
    <w:locked/>
    <w:uiPriority w:val="99"/>
    <w:rPr>
      <w:rFonts w:ascii="Consolas" w:hAnsi="Consolas" w:cs="Times New Roman"/>
      <w:color w:val="FFFFFF"/>
      <w:sz w:val="21"/>
      <w:shd w:val="clear" w:color="auto" w:fill="333333"/>
    </w:rPr>
  </w:style>
  <w:style w:type="character" w:styleId="57">
    <w:name w:val="HTML Sample"/>
    <w:autoRedefine/>
    <w:qFormat/>
    <w:locked/>
    <w:uiPriority w:val="99"/>
    <w:rPr>
      <w:rFonts w:ascii="Consolas" w:hAnsi="Consolas" w:cs="Times New Roman"/>
      <w:sz w:val="21"/>
    </w:rPr>
  </w:style>
  <w:style w:type="paragraph" w:customStyle="1" w:styleId="58">
    <w:name w:val="引文目录1"/>
    <w:basedOn w:val="1"/>
    <w:next w:val="1"/>
    <w:autoRedefine/>
    <w:qFormat/>
    <w:uiPriority w:val="0"/>
    <w:pPr>
      <w:widowControl w:val="0"/>
      <w:ind w:left="420" w:leftChars="200"/>
      <w:textAlignment w:val="auto"/>
    </w:pPr>
    <w:rPr>
      <w:rFonts w:ascii="Calibri" w:hAnsi="Calibri"/>
      <w:sz w:val="32"/>
      <w:szCs w:val="32"/>
    </w:rPr>
  </w:style>
  <w:style w:type="character" w:customStyle="1" w:styleId="59">
    <w:name w:val="标题 1 Char"/>
    <w:link w:val="2"/>
    <w:autoRedefine/>
    <w:qFormat/>
    <w:locked/>
    <w:uiPriority w:val="9"/>
    <w:rPr>
      <w:rFonts w:ascii="黑体" w:hAnsi="宋体" w:eastAsia="黑体" w:cs="宋体"/>
      <w:kern w:val="0"/>
      <w:sz w:val="20"/>
      <w:szCs w:val="20"/>
    </w:rPr>
  </w:style>
  <w:style w:type="character" w:customStyle="1" w:styleId="60">
    <w:name w:val="标题 2 Char"/>
    <w:link w:val="3"/>
    <w:autoRedefine/>
    <w:qFormat/>
    <w:locked/>
    <w:uiPriority w:val="99"/>
    <w:rPr>
      <w:rFonts w:ascii="Arial" w:hAnsi="Arial" w:eastAsia="黑体" w:cs="Times New Roman"/>
      <w:b/>
      <w:bCs/>
      <w:sz w:val="32"/>
      <w:szCs w:val="32"/>
    </w:rPr>
  </w:style>
  <w:style w:type="character" w:customStyle="1" w:styleId="61">
    <w:name w:val="标题 3 Char"/>
    <w:link w:val="4"/>
    <w:autoRedefine/>
    <w:qFormat/>
    <w:locked/>
    <w:uiPriority w:val="0"/>
    <w:rPr>
      <w:rFonts w:ascii="Calibri" w:hAnsi="Calibri" w:cs="Times New Roman"/>
      <w:b/>
      <w:bCs/>
      <w:sz w:val="32"/>
      <w:szCs w:val="32"/>
    </w:rPr>
  </w:style>
  <w:style w:type="character" w:customStyle="1" w:styleId="62">
    <w:name w:val="标题 4 Char"/>
    <w:link w:val="5"/>
    <w:autoRedefine/>
    <w:qFormat/>
    <w:locked/>
    <w:uiPriority w:val="99"/>
    <w:rPr>
      <w:rFonts w:ascii="Arial" w:hAnsi="Arial" w:eastAsia="黑体" w:cs="Times New Roman"/>
      <w:kern w:val="0"/>
      <w:sz w:val="20"/>
      <w:szCs w:val="20"/>
    </w:rPr>
  </w:style>
  <w:style w:type="character" w:customStyle="1" w:styleId="63">
    <w:name w:val="标题 5 Char"/>
    <w:link w:val="6"/>
    <w:autoRedefine/>
    <w:qFormat/>
    <w:locked/>
    <w:uiPriority w:val="9"/>
    <w:rPr>
      <w:rFonts w:ascii="宋体" w:eastAsia="宋体" w:cs="宋体"/>
      <w:b/>
      <w:kern w:val="0"/>
      <w:sz w:val="20"/>
      <w:szCs w:val="20"/>
    </w:rPr>
  </w:style>
  <w:style w:type="character" w:customStyle="1" w:styleId="64">
    <w:name w:val="标题 6 Char"/>
    <w:link w:val="7"/>
    <w:autoRedefine/>
    <w:qFormat/>
    <w:locked/>
    <w:uiPriority w:val="9"/>
    <w:rPr>
      <w:rFonts w:ascii="Arial" w:hAnsi="Arial" w:eastAsia="黑体" w:cs="Times New Roman"/>
      <w:b/>
      <w:bCs/>
      <w:kern w:val="0"/>
      <w:sz w:val="24"/>
      <w:szCs w:val="24"/>
    </w:rPr>
  </w:style>
  <w:style w:type="character" w:customStyle="1" w:styleId="65">
    <w:name w:val="标题 7 Char"/>
    <w:link w:val="8"/>
    <w:autoRedefine/>
    <w:qFormat/>
    <w:locked/>
    <w:uiPriority w:val="0"/>
    <w:rPr>
      <w:rFonts w:ascii="Calibri" w:hAnsi="Calibri" w:cs="Times New Roman"/>
      <w:b/>
      <w:bCs/>
      <w:kern w:val="0"/>
      <w:sz w:val="24"/>
      <w:szCs w:val="24"/>
    </w:rPr>
  </w:style>
  <w:style w:type="character" w:customStyle="1" w:styleId="66">
    <w:name w:val="标题 8 Char"/>
    <w:link w:val="9"/>
    <w:autoRedefine/>
    <w:qFormat/>
    <w:locked/>
    <w:uiPriority w:val="0"/>
    <w:rPr>
      <w:rFonts w:ascii="Arial" w:hAnsi="Arial" w:eastAsia="黑体" w:cs="Times New Roman"/>
      <w:kern w:val="0"/>
      <w:sz w:val="24"/>
      <w:szCs w:val="24"/>
    </w:rPr>
  </w:style>
  <w:style w:type="character" w:customStyle="1" w:styleId="67">
    <w:name w:val="标题 9 Char"/>
    <w:link w:val="10"/>
    <w:autoRedefine/>
    <w:qFormat/>
    <w:locked/>
    <w:uiPriority w:val="0"/>
    <w:rPr>
      <w:rFonts w:ascii="Arial" w:hAnsi="Arial" w:eastAsia="黑体" w:cs="Times New Roman"/>
      <w:kern w:val="0"/>
      <w:sz w:val="21"/>
      <w:szCs w:val="21"/>
    </w:rPr>
  </w:style>
  <w:style w:type="character" w:customStyle="1" w:styleId="68">
    <w:name w:val="正文文本 Char"/>
    <w:link w:val="19"/>
    <w:autoRedefine/>
    <w:qFormat/>
    <w:locked/>
    <w:uiPriority w:val="99"/>
    <w:rPr>
      <w:rFonts w:cs="Times New Roman"/>
      <w:sz w:val="24"/>
      <w:szCs w:val="24"/>
    </w:rPr>
  </w:style>
  <w:style w:type="character" w:customStyle="1" w:styleId="69">
    <w:name w:val="批注文字 Char"/>
    <w:link w:val="15"/>
    <w:autoRedefine/>
    <w:qFormat/>
    <w:locked/>
    <w:uiPriority w:val="99"/>
    <w:rPr>
      <w:rFonts w:cs="Times New Roman"/>
      <w:sz w:val="24"/>
    </w:rPr>
  </w:style>
  <w:style w:type="character" w:customStyle="1" w:styleId="70">
    <w:name w:val="称呼 Char"/>
    <w:link w:val="16"/>
    <w:autoRedefine/>
    <w:qFormat/>
    <w:locked/>
    <w:uiPriority w:val="99"/>
    <w:rPr>
      <w:rFonts w:eastAsia="宋体" w:cs="Times New Roman"/>
      <w:kern w:val="2"/>
      <w:sz w:val="21"/>
      <w:lang w:val="en-US" w:eastAsia="zh-CN"/>
    </w:rPr>
  </w:style>
  <w:style w:type="character" w:customStyle="1" w:styleId="71">
    <w:name w:val="Body Text 3 Char"/>
    <w:autoRedefine/>
    <w:semiHidden/>
    <w:qFormat/>
    <w:locked/>
    <w:uiPriority w:val="99"/>
    <w:rPr>
      <w:rFonts w:cs="Times New Roman"/>
      <w:sz w:val="16"/>
      <w:szCs w:val="16"/>
    </w:rPr>
  </w:style>
  <w:style w:type="character" w:customStyle="1" w:styleId="72">
    <w:name w:val="结束语 Char"/>
    <w:link w:val="18"/>
    <w:autoRedefine/>
    <w:qFormat/>
    <w:locked/>
    <w:uiPriority w:val="99"/>
    <w:rPr>
      <w:rFonts w:ascii="宋体" w:cs="Times New Roman"/>
      <w:sz w:val="24"/>
    </w:rPr>
  </w:style>
  <w:style w:type="character" w:customStyle="1" w:styleId="73">
    <w:name w:val="正文文本缩进 Char"/>
    <w:link w:val="20"/>
    <w:autoRedefine/>
    <w:qFormat/>
    <w:locked/>
    <w:uiPriority w:val="99"/>
    <w:rPr>
      <w:rFonts w:ascii="宋体" w:hAnsi="MS Sans Serif" w:cs="Times New Roman"/>
      <w:spacing w:val="12"/>
      <w:kern w:val="0"/>
      <w:sz w:val="20"/>
      <w:szCs w:val="20"/>
    </w:rPr>
  </w:style>
  <w:style w:type="character" w:customStyle="1" w:styleId="74">
    <w:name w:val="纯文本 Char"/>
    <w:link w:val="24"/>
    <w:autoRedefine/>
    <w:qFormat/>
    <w:locked/>
    <w:uiPriority w:val="0"/>
    <w:rPr>
      <w:rFonts w:ascii="宋体" w:hAnsi="Courier New" w:cs="Times New Roman"/>
      <w:sz w:val="20"/>
      <w:szCs w:val="20"/>
    </w:rPr>
  </w:style>
  <w:style w:type="character" w:customStyle="1" w:styleId="75">
    <w:name w:val="日期 Char"/>
    <w:link w:val="26"/>
    <w:autoRedefine/>
    <w:qFormat/>
    <w:locked/>
    <w:uiPriority w:val="0"/>
    <w:rPr>
      <w:rFonts w:ascii="宋体" w:eastAsia="宋体" w:cs="Times New Roman"/>
      <w:kern w:val="2"/>
      <w:sz w:val="24"/>
      <w:lang w:val="en-US" w:eastAsia="zh-CN"/>
    </w:rPr>
  </w:style>
  <w:style w:type="character" w:customStyle="1" w:styleId="76">
    <w:name w:val="正文文本缩进 2 Char"/>
    <w:link w:val="27"/>
    <w:autoRedefine/>
    <w:qFormat/>
    <w:locked/>
    <w:uiPriority w:val="99"/>
    <w:rPr>
      <w:rFonts w:ascii="宋体" w:hAnsi="MS Sans Serif" w:cs="Times New Roman"/>
      <w:spacing w:val="12"/>
      <w:kern w:val="0"/>
      <w:sz w:val="20"/>
      <w:szCs w:val="20"/>
    </w:rPr>
  </w:style>
  <w:style w:type="character" w:customStyle="1" w:styleId="77">
    <w:name w:val="批注框文本 Char"/>
    <w:link w:val="28"/>
    <w:autoRedefine/>
    <w:semiHidden/>
    <w:qFormat/>
    <w:locked/>
    <w:uiPriority w:val="99"/>
    <w:rPr>
      <w:rFonts w:cs="Times New Roman"/>
      <w:kern w:val="2"/>
      <w:sz w:val="18"/>
      <w:szCs w:val="18"/>
    </w:rPr>
  </w:style>
  <w:style w:type="character" w:customStyle="1" w:styleId="78">
    <w:name w:val="页脚 Char"/>
    <w:link w:val="29"/>
    <w:autoRedefine/>
    <w:qFormat/>
    <w:locked/>
    <w:uiPriority w:val="99"/>
    <w:rPr>
      <w:rFonts w:cs="Times New Roman"/>
      <w:kern w:val="2"/>
      <w:sz w:val="18"/>
      <w:szCs w:val="18"/>
    </w:rPr>
  </w:style>
  <w:style w:type="character" w:customStyle="1" w:styleId="79">
    <w:name w:val="页眉 Char"/>
    <w:link w:val="30"/>
    <w:autoRedefine/>
    <w:qFormat/>
    <w:locked/>
    <w:uiPriority w:val="99"/>
    <w:rPr>
      <w:rFonts w:cs="Times New Roman"/>
      <w:kern w:val="2"/>
      <w:sz w:val="18"/>
      <w:szCs w:val="18"/>
    </w:rPr>
  </w:style>
  <w:style w:type="character" w:customStyle="1" w:styleId="80">
    <w:name w:val="副标题 Char"/>
    <w:link w:val="33"/>
    <w:autoRedefine/>
    <w:qFormat/>
    <w:locked/>
    <w:uiPriority w:val="11"/>
    <w:rPr>
      <w:rFonts w:cs="Times New Roman"/>
      <w:b/>
      <w:sz w:val="32"/>
    </w:rPr>
  </w:style>
  <w:style w:type="character" w:customStyle="1" w:styleId="81">
    <w:name w:val="正文文本缩进 3 Char"/>
    <w:link w:val="36"/>
    <w:autoRedefine/>
    <w:qFormat/>
    <w:locked/>
    <w:uiPriority w:val="99"/>
    <w:rPr>
      <w:rFonts w:ascii="宋体" w:hAnsi="MS Sans Serif" w:cs="Times New Roman"/>
      <w:color w:val="000000"/>
      <w:kern w:val="0"/>
      <w:sz w:val="20"/>
      <w:szCs w:val="20"/>
    </w:rPr>
  </w:style>
  <w:style w:type="character" w:customStyle="1" w:styleId="82">
    <w:name w:val="标题 Char"/>
    <w:link w:val="42"/>
    <w:autoRedefine/>
    <w:qFormat/>
    <w:locked/>
    <w:uiPriority w:val="99"/>
    <w:rPr>
      <w:rFonts w:ascii="Arial" w:hAnsi="Arial" w:eastAsia="宋体" w:cs="Times New Roman"/>
      <w:b/>
      <w:kern w:val="2"/>
      <w:sz w:val="32"/>
      <w:lang w:val="en-US" w:eastAsia="zh-CN"/>
    </w:rPr>
  </w:style>
  <w:style w:type="character" w:customStyle="1" w:styleId="83">
    <w:name w:val="批注主题 Char"/>
    <w:link w:val="43"/>
    <w:autoRedefine/>
    <w:qFormat/>
    <w:locked/>
    <w:uiPriority w:val="99"/>
    <w:rPr>
      <w:rFonts w:cs="Times New Roman"/>
      <w:sz w:val="24"/>
    </w:rPr>
  </w:style>
  <w:style w:type="character" w:customStyle="1" w:styleId="84">
    <w:name w:val="正文首行缩进 2 Char"/>
    <w:link w:val="44"/>
    <w:autoRedefine/>
    <w:semiHidden/>
    <w:qFormat/>
    <w:locked/>
    <w:uiPriority w:val="99"/>
    <w:rPr>
      <w:rFonts w:ascii="Times New Roman" w:hAnsi="Times New Roman" w:cs="Times New Roman"/>
      <w:spacing w:val="12"/>
      <w:kern w:val="0"/>
      <w:sz w:val="24"/>
      <w:szCs w:val="24"/>
    </w:rPr>
  </w:style>
  <w:style w:type="paragraph" w:customStyle="1" w:styleId="85">
    <w:name w:val="BodyText"/>
    <w:basedOn w:val="1"/>
    <w:link w:val="358"/>
    <w:autoRedefine/>
    <w:qFormat/>
    <w:uiPriority w:val="99"/>
    <w:pPr>
      <w:spacing w:line="360" w:lineRule="auto"/>
    </w:pPr>
    <w:rPr>
      <w:rFonts w:ascii="宋体" w:hAnsi="宋体"/>
      <w:color w:val="000000"/>
      <w:sz w:val="24"/>
      <w:szCs w:val="20"/>
    </w:rPr>
  </w:style>
  <w:style w:type="paragraph" w:customStyle="1" w:styleId="86">
    <w:name w:val="Heading1"/>
    <w:basedOn w:val="1"/>
    <w:next w:val="1"/>
    <w:autoRedefine/>
    <w:qFormat/>
    <w:uiPriority w:val="99"/>
    <w:pPr>
      <w:tabs>
        <w:tab w:val="left" w:pos="1077"/>
      </w:tabs>
      <w:spacing w:line="400" w:lineRule="exact"/>
      <w:jc w:val="center"/>
    </w:pPr>
    <w:rPr>
      <w:rFonts w:ascii="宋体" w:hAnsi="宋体"/>
      <w:color w:val="000000"/>
      <w:szCs w:val="21"/>
    </w:rPr>
  </w:style>
  <w:style w:type="paragraph" w:customStyle="1" w:styleId="87">
    <w:name w:val="Heading2"/>
    <w:basedOn w:val="1"/>
    <w:next w:val="1"/>
    <w:qFormat/>
    <w:uiPriority w:val="99"/>
    <w:pPr>
      <w:keepNext/>
      <w:keepLines/>
      <w:spacing w:before="260" w:after="260" w:line="415" w:lineRule="auto"/>
    </w:pPr>
    <w:rPr>
      <w:rFonts w:ascii="Arial" w:hAnsi="Arial" w:eastAsia="黑体"/>
      <w:b/>
      <w:sz w:val="32"/>
      <w:szCs w:val="20"/>
    </w:rPr>
  </w:style>
  <w:style w:type="paragraph" w:customStyle="1" w:styleId="88">
    <w:name w:val="Heading3"/>
    <w:basedOn w:val="1"/>
    <w:next w:val="1"/>
    <w:autoRedefine/>
    <w:qFormat/>
    <w:uiPriority w:val="99"/>
    <w:pPr>
      <w:keepNext/>
      <w:keepLines/>
      <w:spacing w:before="260" w:after="260" w:line="416" w:lineRule="atLeast"/>
    </w:pPr>
    <w:rPr>
      <w:b/>
      <w:kern w:val="0"/>
      <w:sz w:val="24"/>
      <w:szCs w:val="20"/>
    </w:rPr>
  </w:style>
  <w:style w:type="paragraph" w:customStyle="1" w:styleId="89">
    <w:name w:val="Heading4"/>
    <w:basedOn w:val="1"/>
    <w:next w:val="1"/>
    <w:link w:val="328"/>
    <w:autoRedefine/>
    <w:qFormat/>
    <w:uiPriority w:val="99"/>
    <w:pPr>
      <w:keepNext/>
      <w:keepLines/>
      <w:tabs>
        <w:tab w:val="left" w:pos="1680"/>
      </w:tabs>
      <w:spacing w:before="280" w:after="290" w:line="376" w:lineRule="atLeast"/>
    </w:pPr>
    <w:rPr>
      <w:rFonts w:ascii="Arial" w:hAnsi="Arial" w:eastAsia="黑体"/>
      <w:b/>
      <w:kern w:val="0"/>
      <w:sz w:val="28"/>
      <w:szCs w:val="20"/>
    </w:rPr>
  </w:style>
  <w:style w:type="paragraph" w:customStyle="1" w:styleId="90">
    <w:name w:val="Heading5"/>
    <w:basedOn w:val="1"/>
    <w:next w:val="1"/>
    <w:link w:val="186"/>
    <w:autoRedefine/>
    <w:qFormat/>
    <w:uiPriority w:val="99"/>
    <w:pPr>
      <w:keepNext/>
      <w:keepLines/>
      <w:tabs>
        <w:tab w:val="left" w:pos="2100"/>
      </w:tabs>
      <w:spacing w:before="280" w:after="290" w:line="376" w:lineRule="atLeast"/>
    </w:pPr>
    <w:rPr>
      <w:rFonts w:ascii="Calibri" w:hAnsi="Calibri"/>
      <w:b/>
      <w:kern w:val="0"/>
      <w:sz w:val="28"/>
      <w:szCs w:val="20"/>
    </w:rPr>
  </w:style>
  <w:style w:type="paragraph" w:customStyle="1" w:styleId="91">
    <w:name w:val="Heading6"/>
    <w:basedOn w:val="1"/>
    <w:next w:val="1"/>
    <w:link w:val="193"/>
    <w:autoRedefine/>
    <w:qFormat/>
    <w:uiPriority w:val="99"/>
    <w:pPr>
      <w:keepNext/>
      <w:keepLines/>
      <w:tabs>
        <w:tab w:val="left" w:pos="2520"/>
      </w:tabs>
      <w:spacing w:before="240" w:after="64" w:line="320" w:lineRule="atLeast"/>
    </w:pPr>
    <w:rPr>
      <w:rFonts w:ascii="Arial" w:hAnsi="Arial" w:eastAsia="黑体"/>
      <w:b/>
      <w:kern w:val="0"/>
      <w:sz w:val="24"/>
      <w:szCs w:val="20"/>
    </w:rPr>
  </w:style>
  <w:style w:type="paragraph" w:customStyle="1" w:styleId="92">
    <w:name w:val="Heading7"/>
    <w:basedOn w:val="1"/>
    <w:next w:val="1"/>
    <w:link w:val="220"/>
    <w:autoRedefine/>
    <w:qFormat/>
    <w:uiPriority w:val="99"/>
    <w:pPr>
      <w:keepNext/>
      <w:keepLines/>
      <w:tabs>
        <w:tab w:val="left" w:pos="2940"/>
      </w:tabs>
      <w:spacing w:before="240" w:after="64" w:line="320" w:lineRule="atLeast"/>
    </w:pPr>
    <w:rPr>
      <w:rFonts w:ascii="Calibri" w:hAnsi="Calibri"/>
      <w:b/>
      <w:kern w:val="0"/>
      <w:sz w:val="24"/>
      <w:szCs w:val="20"/>
    </w:rPr>
  </w:style>
  <w:style w:type="paragraph" w:customStyle="1" w:styleId="93">
    <w:name w:val="Heading8"/>
    <w:basedOn w:val="1"/>
    <w:next w:val="1"/>
    <w:link w:val="322"/>
    <w:autoRedefine/>
    <w:qFormat/>
    <w:uiPriority w:val="99"/>
    <w:pPr>
      <w:keepNext/>
      <w:keepLines/>
      <w:tabs>
        <w:tab w:val="left" w:pos="3360"/>
      </w:tabs>
      <w:spacing w:before="240" w:after="64" w:line="320" w:lineRule="atLeast"/>
    </w:pPr>
    <w:rPr>
      <w:rFonts w:ascii="Arial" w:hAnsi="Arial" w:eastAsia="黑体"/>
      <w:kern w:val="0"/>
      <w:sz w:val="24"/>
      <w:szCs w:val="20"/>
    </w:rPr>
  </w:style>
  <w:style w:type="paragraph" w:customStyle="1" w:styleId="94">
    <w:name w:val="Heading9"/>
    <w:basedOn w:val="1"/>
    <w:next w:val="1"/>
    <w:link w:val="103"/>
    <w:qFormat/>
    <w:uiPriority w:val="99"/>
    <w:pPr>
      <w:keepNext/>
      <w:keepLines/>
      <w:tabs>
        <w:tab w:val="left" w:pos="3780"/>
      </w:tabs>
      <w:spacing w:before="240" w:after="64" w:line="320" w:lineRule="atLeast"/>
    </w:pPr>
    <w:rPr>
      <w:rFonts w:ascii="Arial" w:hAnsi="Arial" w:eastAsia="黑体"/>
      <w:kern w:val="0"/>
      <w:szCs w:val="20"/>
    </w:rPr>
  </w:style>
  <w:style w:type="character" w:customStyle="1" w:styleId="95">
    <w:name w:val="NormalCharacter"/>
    <w:autoRedefine/>
    <w:qFormat/>
    <w:uiPriority w:val="99"/>
  </w:style>
  <w:style w:type="table" w:customStyle="1" w:styleId="96">
    <w:name w:val="TableNormal"/>
    <w:autoRedefine/>
    <w:qFormat/>
    <w:uiPriority w:val="99"/>
    <w:tblPr>
      <w:tblCellMar>
        <w:top w:w="0" w:type="dxa"/>
        <w:left w:w="0" w:type="dxa"/>
        <w:bottom w:w="0" w:type="dxa"/>
        <w:right w:w="0" w:type="dxa"/>
      </w:tblCellMar>
    </w:tblPr>
  </w:style>
  <w:style w:type="character" w:customStyle="1" w:styleId="97">
    <w:name w:val="AnnotationReference"/>
    <w:qFormat/>
    <w:uiPriority w:val="99"/>
    <w:rPr>
      <w:sz w:val="21"/>
    </w:rPr>
  </w:style>
  <w:style w:type="character" w:customStyle="1" w:styleId="98">
    <w:name w:val="FootnoteReference"/>
    <w:autoRedefine/>
    <w:qFormat/>
    <w:uiPriority w:val="99"/>
    <w:rPr>
      <w:vertAlign w:val="superscript"/>
    </w:rPr>
  </w:style>
  <w:style w:type="character" w:customStyle="1" w:styleId="99">
    <w:name w:val="LineNumber"/>
    <w:qFormat/>
    <w:uiPriority w:val="99"/>
  </w:style>
  <w:style w:type="character" w:customStyle="1" w:styleId="100">
    <w:name w:val="EndnoteReference"/>
    <w:autoRedefine/>
    <w:qFormat/>
    <w:uiPriority w:val="99"/>
    <w:rPr>
      <w:vertAlign w:val="superscript"/>
    </w:rPr>
  </w:style>
  <w:style w:type="character" w:customStyle="1" w:styleId="101">
    <w:name w:val="PageNumber"/>
    <w:autoRedefine/>
    <w:qFormat/>
    <w:uiPriority w:val="99"/>
    <w:rPr>
      <w:rFonts w:cs="Times New Roman"/>
    </w:rPr>
  </w:style>
  <w:style w:type="character" w:customStyle="1" w:styleId="102">
    <w:name w:val="HtmlCode"/>
    <w:qFormat/>
    <w:uiPriority w:val="99"/>
    <w:rPr>
      <w:rFonts w:ascii="Courier New" w:hAnsi="Courier New"/>
      <w:sz w:val="20"/>
    </w:rPr>
  </w:style>
  <w:style w:type="character" w:customStyle="1" w:styleId="103">
    <w:name w:val="UserStyle_0"/>
    <w:link w:val="94"/>
    <w:qFormat/>
    <w:locked/>
    <w:uiPriority w:val="99"/>
    <w:rPr>
      <w:rFonts w:ascii="Arial" w:hAnsi="Arial" w:eastAsia="黑体"/>
      <w:sz w:val="21"/>
    </w:rPr>
  </w:style>
  <w:style w:type="character" w:customStyle="1" w:styleId="104">
    <w:name w:val="UserStyle_2"/>
    <w:autoRedefine/>
    <w:qFormat/>
    <w:uiPriority w:val="99"/>
    <w:rPr>
      <w:rFonts w:ascii="Times New Roman" w:hAnsi="Times New Roman"/>
      <w:color w:val="000000"/>
      <w:spacing w:val="80"/>
      <w:position w:val="0"/>
      <w:sz w:val="26"/>
      <w:lang w:val="en-US" w:eastAsia="en-US"/>
    </w:rPr>
  </w:style>
  <w:style w:type="character" w:customStyle="1" w:styleId="105">
    <w:name w:val="UserStyle_3"/>
    <w:link w:val="106"/>
    <w:qFormat/>
    <w:locked/>
    <w:uiPriority w:val="99"/>
    <w:rPr>
      <w:rFonts w:ascii="宋体" w:hAnsi="宋体" w:eastAsia="宋体"/>
      <w:spacing w:val="10"/>
      <w:kern w:val="2"/>
      <w:sz w:val="24"/>
      <w:lang w:val="en-US" w:eastAsia="zh-CN"/>
    </w:rPr>
  </w:style>
  <w:style w:type="paragraph" w:customStyle="1" w:styleId="106">
    <w:name w:val="UserStyle_4"/>
    <w:basedOn w:val="1"/>
    <w:link w:val="105"/>
    <w:autoRedefine/>
    <w:qFormat/>
    <w:uiPriority w:val="99"/>
    <w:pPr>
      <w:spacing w:line="480" w:lineRule="exact"/>
      <w:ind w:firstLine="600" w:firstLineChars="200"/>
      <w:jc w:val="left"/>
    </w:pPr>
    <w:rPr>
      <w:rFonts w:ascii="宋体" w:hAnsi="宋体"/>
      <w:spacing w:val="10"/>
      <w:sz w:val="24"/>
      <w:szCs w:val="20"/>
    </w:rPr>
  </w:style>
  <w:style w:type="character" w:customStyle="1" w:styleId="107">
    <w:name w:val="UserStyle_5"/>
    <w:autoRedefine/>
    <w:qFormat/>
    <w:uiPriority w:val="99"/>
    <w:rPr>
      <w:rFonts w:cs="Times New Roman"/>
    </w:rPr>
  </w:style>
  <w:style w:type="character" w:customStyle="1" w:styleId="108">
    <w:name w:val="UserStyle_6"/>
    <w:qFormat/>
    <w:uiPriority w:val="99"/>
    <w:rPr>
      <w:rFonts w:ascii="PMingLiUfalt" w:hAnsi="PMingLiUfalt" w:eastAsia="PMingLiUfalt"/>
      <w:color w:val="000000"/>
      <w:spacing w:val="50"/>
      <w:position w:val="0"/>
      <w:sz w:val="22"/>
      <w:lang w:val="zh-CN" w:eastAsia="zh-CN"/>
    </w:rPr>
  </w:style>
  <w:style w:type="character" w:customStyle="1" w:styleId="109">
    <w:name w:val="UserStyle_7"/>
    <w:link w:val="110"/>
    <w:qFormat/>
    <w:locked/>
    <w:uiPriority w:val="99"/>
    <w:rPr>
      <w:rFonts w:ascii="PMingLiUfalt" w:hAnsi="PMingLiUfalt" w:eastAsia="PMingLiUfalt"/>
      <w:spacing w:val="70"/>
      <w:sz w:val="26"/>
    </w:rPr>
  </w:style>
  <w:style w:type="paragraph" w:customStyle="1" w:styleId="110">
    <w:name w:val="UserStyle_8"/>
    <w:basedOn w:val="1"/>
    <w:link w:val="109"/>
    <w:qFormat/>
    <w:uiPriority w:val="99"/>
    <w:pPr>
      <w:shd w:val="clear" w:color="auto" w:fill="FFFFFF"/>
      <w:spacing w:before="300" w:line="655" w:lineRule="exact"/>
    </w:pPr>
    <w:rPr>
      <w:rFonts w:ascii="PMingLiUfalt" w:hAnsi="PMingLiUfalt" w:eastAsia="PMingLiUfalt"/>
      <w:spacing w:val="70"/>
      <w:kern w:val="0"/>
      <w:sz w:val="26"/>
      <w:szCs w:val="20"/>
    </w:rPr>
  </w:style>
  <w:style w:type="character" w:customStyle="1" w:styleId="111">
    <w:name w:val="UserStyle_9"/>
    <w:autoRedefine/>
    <w:qFormat/>
    <w:uiPriority w:val="99"/>
    <w:rPr>
      <w:rFonts w:ascii="宋体" w:hAnsi="宋体" w:eastAsia="宋体"/>
      <w:color w:val="000000"/>
      <w:sz w:val="20"/>
    </w:rPr>
  </w:style>
  <w:style w:type="character" w:customStyle="1" w:styleId="112">
    <w:name w:val="UserStyle_11"/>
    <w:qFormat/>
    <w:uiPriority w:val="99"/>
    <w:rPr>
      <w:rFonts w:eastAsia="宋体"/>
      <w:kern w:val="2"/>
      <w:sz w:val="18"/>
      <w:lang w:val="en-US" w:eastAsia="zh-CN"/>
    </w:rPr>
  </w:style>
  <w:style w:type="character" w:customStyle="1" w:styleId="113">
    <w:name w:val="UserStyle_12"/>
    <w:qFormat/>
    <w:uiPriority w:val="99"/>
    <w:rPr>
      <w:rFonts w:ascii="Arial" w:hAnsi="Arial" w:eastAsia="黑体"/>
      <w:b/>
      <w:sz w:val="24"/>
    </w:rPr>
  </w:style>
  <w:style w:type="character" w:customStyle="1" w:styleId="114">
    <w:name w:val="UserStyle_13"/>
    <w:autoRedefine/>
    <w:qFormat/>
    <w:uiPriority w:val="99"/>
    <w:rPr>
      <w:rFonts w:ascii="宋体" w:hAnsi="宋体" w:eastAsia="宋体"/>
      <w:b/>
      <w:color w:val="000000"/>
      <w:position w:val="0"/>
      <w:sz w:val="24"/>
      <w:lang w:val="zh-CN" w:eastAsia="zh-CN"/>
    </w:rPr>
  </w:style>
  <w:style w:type="character" w:customStyle="1" w:styleId="115">
    <w:name w:val="UserStyle_14"/>
    <w:link w:val="116"/>
    <w:autoRedefine/>
    <w:qFormat/>
    <w:locked/>
    <w:uiPriority w:val="99"/>
    <w:rPr>
      <w:rFonts w:ascii="宋体" w:eastAsia="MS Gothicfalt"/>
      <w:kern w:val="2"/>
      <w:sz w:val="21"/>
    </w:rPr>
  </w:style>
  <w:style w:type="paragraph" w:customStyle="1" w:styleId="116">
    <w:name w:val="UserStyle_15"/>
    <w:basedOn w:val="1"/>
    <w:link w:val="115"/>
    <w:qFormat/>
    <w:uiPriority w:val="99"/>
    <w:pPr>
      <w:snapToGrid w:val="0"/>
      <w:spacing w:line="360" w:lineRule="auto"/>
      <w:ind w:firstLine="200" w:firstLineChars="200"/>
    </w:pPr>
    <w:rPr>
      <w:rFonts w:ascii="宋体" w:hAnsi="Calibri" w:eastAsia="MS Gothicfalt"/>
      <w:szCs w:val="20"/>
    </w:rPr>
  </w:style>
  <w:style w:type="character" w:customStyle="1" w:styleId="117">
    <w:name w:val="UserStyle_16"/>
    <w:qFormat/>
    <w:uiPriority w:val="99"/>
    <w:rPr>
      <w:rFonts w:ascii="Times New Roman" w:hAnsi="Times New Roman"/>
      <w:b/>
      <w:color w:val="000000"/>
      <w:position w:val="0"/>
      <w:sz w:val="14"/>
      <w:lang w:val="en-US" w:eastAsia="en-US"/>
    </w:rPr>
  </w:style>
  <w:style w:type="character" w:customStyle="1" w:styleId="118">
    <w:name w:val="UserStyle_17"/>
    <w:link w:val="119"/>
    <w:qFormat/>
    <w:locked/>
    <w:uiPriority w:val="99"/>
    <w:rPr>
      <w:rFonts w:ascii="PMingLiUfalt" w:hAnsi="PMingLiUfalt" w:eastAsia="PMingLiUfalt"/>
      <w:sz w:val="22"/>
    </w:rPr>
  </w:style>
  <w:style w:type="paragraph" w:customStyle="1" w:styleId="119">
    <w:name w:val="UserStyle_18"/>
    <w:basedOn w:val="1"/>
    <w:link w:val="118"/>
    <w:autoRedefine/>
    <w:qFormat/>
    <w:uiPriority w:val="99"/>
    <w:pPr>
      <w:shd w:val="clear" w:color="auto" w:fill="FFFFFF"/>
      <w:spacing w:after="260" w:line="220" w:lineRule="exact"/>
      <w:jc w:val="right"/>
    </w:pPr>
    <w:rPr>
      <w:rFonts w:ascii="PMingLiUfalt" w:hAnsi="PMingLiUfalt" w:eastAsia="PMingLiUfalt"/>
      <w:kern w:val="0"/>
      <w:sz w:val="22"/>
      <w:szCs w:val="20"/>
    </w:rPr>
  </w:style>
  <w:style w:type="character" w:customStyle="1" w:styleId="120">
    <w:name w:val="UserStyle_19"/>
    <w:qFormat/>
    <w:uiPriority w:val="99"/>
    <w:rPr>
      <w:sz w:val="20"/>
    </w:rPr>
  </w:style>
  <w:style w:type="character" w:customStyle="1" w:styleId="121">
    <w:name w:val="UserStyle_20"/>
    <w:link w:val="122"/>
    <w:autoRedefine/>
    <w:qFormat/>
    <w:locked/>
    <w:uiPriority w:val="99"/>
    <w:rPr>
      <w:kern w:val="2"/>
      <w:sz w:val="21"/>
    </w:rPr>
  </w:style>
  <w:style w:type="paragraph" w:customStyle="1" w:styleId="122">
    <w:name w:val="EndnoteText"/>
    <w:basedOn w:val="1"/>
    <w:link w:val="121"/>
    <w:autoRedefine/>
    <w:qFormat/>
    <w:uiPriority w:val="99"/>
    <w:pPr>
      <w:snapToGrid w:val="0"/>
      <w:jc w:val="left"/>
    </w:pPr>
    <w:rPr>
      <w:rFonts w:ascii="Calibri" w:hAnsi="Calibri"/>
      <w:szCs w:val="20"/>
    </w:rPr>
  </w:style>
  <w:style w:type="character" w:customStyle="1" w:styleId="123">
    <w:name w:val="UserStyle_21"/>
    <w:autoRedefine/>
    <w:qFormat/>
    <w:uiPriority w:val="99"/>
    <w:rPr>
      <w:rFonts w:ascii="Arial" w:hAnsi="Arial" w:eastAsia="黑体"/>
      <w:sz w:val="30"/>
      <w:lang w:val="en-US" w:eastAsia="zh-CN"/>
    </w:rPr>
  </w:style>
  <w:style w:type="character" w:customStyle="1" w:styleId="124">
    <w:name w:val="UserStyle_22"/>
    <w:autoRedefine/>
    <w:qFormat/>
    <w:uiPriority w:val="99"/>
    <w:rPr>
      <w:rFonts w:ascii="宋体" w:eastAsia="宋体"/>
      <w:color w:val="000000"/>
      <w:spacing w:val="20"/>
      <w:sz w:val="24"/>
      <w:lang w:val="en-US" w:eastAsia="zh-CN"/>
    </w:rPr>
  </w:style>
  <w:style w:type="character" w:customStyle="1" w:styleId="125">
    <w:name w:val="UserStyle_23"/>
    <w:autoRedefine/>
    <w:qFormat/>
    <w:uiPriority w:val="99"/>
    <w:rPr>
      <w:rFonts w:ascii="PMingLiUfalt" w:hAnsi="PMingLiUfalt" w:eastAsia="PMingLiUfalt"/>
      <w:color w:val="000000"/>
      <w:position w:val="0"/>
      <w:sz w:val="22"/>
      <w:lang w:val="en-US" w:eastAsia="en-US"/>
    </w:rPr>
  </w:style>
  <w:style w:type="character" w:customStyle="1" w:styleId="126">
    <w:name w:val="UserStyle_24"/>
    <w:link w:val="127"/>
    <w:autoRedefine/>
    <w:qFormat/>
    <w:locked/>
    <w:uiPriority w:val="99"/>
    <w:rPr>
      <w:rFonts w:ascii="PMingLiUfalt" w:hAnsi="PMingLiUfalt" w:eastAsia="PMingLiUfalt"/>
      <w:spacing w:val="70"/>
      <w:sz w:val="26"/>
    </w:rPr>
  </w:style>
  <w:style w:type="paragraph" w:customStyle="1" w:styleId="127">
    <w:name w:val="UserStyle_25"/>
    <w:basedOn w:val="1"/>
    <w:link w:val="126"/>
    <w:qFormat/>
    <w:uiPriority w:val="99"/>
    <w:pPr>
      <w:shd w:val="clear" w:color="auto" w:fill="FFFFFF"/>
      <w:spacing w:before="160" w:after="340" w:line="260" w:lineRule="exact"/>
      <w:jc w:val="distribute"/>
    </w:pPr>
    <w:rPr>
      <w:rFonts w:ascii="PMingLiUfalt" w:hAnsi="PMingLiUfalt" w:eastAsia="PMingLiUfalt"/>
      <w:spacing w:val="70"/>
      <w:kern w:val="0"/>
      <w:sz w:val="26"/>
      <w:szCs w:val="20"/>
    </w:rPr>
  </w:style>
  <w:style w:type="character" w:customStyle="1" w:styleId="128">
    <w:name w:val="UserStyle_26"/>
    <w:link w:val="129"/>
    <w:autoRedefine/>
    <w:qFormat/>
    <w:locked/>
    <w:uiPriority w:val="99"/>
    <w:rPr>
      <w:rFonts w:ascii="Courier New" w:hAnsi="Courier New"/>
      <w:spacing w:val="10"/>
      <w:sz w:val="24"/>
    </w:rPr>
  </w:style>
  <w:style w:type="paragraph" w:customStyle="1" w:styleId="129">
    <w:name w:val="宏文本1"/>
    <w:basedOn w:val="85"/>
    <w:link w:val="128"/>
    <w:autoRedefine/>
    <w:qFormat/>
    <w:uiPriority w:val="99"/>
    <w:pPr>
      <w:spacing w:after="120" w:line="396" w:lineRule="atLeast"/>
      <w:ind w:right="-79"/>
    </w:pPr>
    <w:rPr>
      <w:rFonts w:ascii="Courier New" w:hAnsi="Courier New"/>
      <w:color w:val="auto"/>
      <w:spacing w:val="10"/>
      <w:kern w:val="0"/>
    </w:rPr>
  </w:style>
  <w:style w:type="character" w:customStyle="1" w:styleId="130">
    <w:name w:val="UserStyle_27"/>
    <w:link w:val="131"/>
    <w:qFormat/>
    <w:locked/>
    <w:uiPriority w:val="99"/>
    <w:rPr>
      <w:rFonts w:ascii="宋体"/>
      <w:sz w:val="21"/>
    </w:rPr>
  </w:style>
  <w:style w:type="paragraph" w:customStyle="1" w:styleId="131">
    <w:name w:val="NoteHeading"/>
    <w:basedOn w:val="1"/>
    <w:next w:val="1"/>
    <w:link w:val="130"/>
    <w:autoRedefine/>
    <w:qFormat/>
    <w:uiPriority w:val="99"/>
    <w:pPr>
      <w:spacing w:line="460" w:lineRule="exact"/>
      <w:jc w:val="center"/>
    </w:pPr>
    <w:rPr>
      <w:rFonts w:ascii="宋体" w:hAnsi="Calibri"/>
      <w:kern w:val="0"/>
      <w:szCs w:val="20"/>
    </w:rPr>
  </w:style>
  <w:style w:type="character" w:customStyle="1" w:styleId="132">
    <w:name w:val="UserStyle_28"/>
    <w:link w:val="133"/>
    <w:autoRedefine/>
    <w:qFormat/>
    <w:locked/>
    <w:uiPriority w:val="99"/>
    <w:rPr>
      <w:rFonts w:ascii="宋体" w:hAnsi="Times New Roman"/>
      <w:sz w:val="34"/>
      <w:lang w:val="en-US" w:eastAsia="zh-CN"/>
    </w:rPr>
  </w:style>
  <w:style w:type="paragraph" w:customStyle="1" w:styleId="133">
    <w:name w:val="UserStyle_29"/>
    <w:link w:val="132"/>
    <w:qFormat/>
    <w:uiPriority w:val="99"/>
    <w:pPr>
      <w:spacing w:line="312" w:lineRule="atLeast"/>
      <w:jc w:val="both"/>
      <w:textAlignment w:val="baseline"/>
    </w:pPr>
    <w:rPr>
      <w:rFonts w:ascii="宋体" w:hAnsi="Times New Roman" w:eastAsia="宋体" w:cs="Times New Roman"/>
      <w:sz w:val="34"/>
      <w:lang w:val="en-US" w:eastAsia="zh-CN" w:bidi="ar-SA"/>
    </w:rPr>
  </w:style>
  <w:style w:type="character" w:customStyle="1" w:styleId="134">
    <w:name w:val="UserStyle_30"/>
    <w:link w:val="135"/>
    <w:autoRedefine/>
    <w:qFormat/>
    <w:locked/>
    <w:uiPriority w:val="99"/>
    <w:rPr>
      <w:rFonts w:ascii="宋体" w:eastAsia="宋体"/>
      <w:kern w:val="44"/>
      <w:sz w:val="24"/>
    </w:rPr>
  </w:style>
  <w:style w:type="paragraph" w:customStyle="1" w:styleId="135">
    <w:name w:val="UserStyle_31"/>
    <w:basedOn w:val="1"/>
    <w:link w:val="134"/>
    <w:autoRedefine/>
    <w:qFormat/>
    <w:uiPriority w:val="99"/>
    <w:pPr>
      <w:tabs>
        <w:tab w:val="left" w:pos="567"/>
      </w:tabs>
      <w:snapToGrid w:val="0"/>
      <w:spacing w:line="440" w:lineRule="atLeast"/>
    </w:pPr>
    <w:rPr>
      <w:rFonts w:ascii="宋体" w:hAnsi="Calibri"/>
      <w:kern w:val="44"/>
      <w:sz w:val="24"/>
      <w:szCs w:val="20"/>
    </w:rPr>
  </w:style>
  <w:style w:type="character" w:customStyle="1" w:styleId="136">
    <w:name w:val="UserStyle_32"/>
    <w:autoRedefine/>
    <w:qFormat/>
    <w:uiPriority w:val="99"/>
    <w:rPr>
      <w:rFonts w:ascii="PMingLiUfalt" w:hAnsi="PMingLiUfalt" w:eastAsia="PMingLiUfalt"/>
      <w:color w:val="000000"/>
      <w:w w:val="80"/>
      <w:position w:val="0"/>
      <w:sz w:val="9"/>
      <w:lang w:val="zh-CN" w:eastAsia="zh-CN"/>
    </w:rPr>
  </w:style>
  <w:style w:type="character" w:customStyle="1" w:styleId="137">
    <w:name w:val="UserStyle_33"/>
    <w:autoRedefine/>
    <w:qFormat/>
    <w:uiPriority w:val="99"/>
    <w:rPr>
      <w:rFonts w:eastAsia="宋体"/>
      <w:b/>
      <w:kern w:val="2"/>
      <w:sz w:val="24"/>
      <w:lang w:val="en-US" w:eastAsia="zh-CN"/>
    </w:rPr>
  </w:style>
  <w:style w:type="character" w:customStyle="1" w:styleId="138">
    <w:name w:val="UserStyle_34"/>
    <w:autoRedefine/>
    <w:qFormat/>
    <w:uiPriority w:val="99"/>
    <w:rPr>
      <w:rFonts w:ascii="Swis721 BT" w:hAnsi="Swis721 BT" w:eastAsia="黑体"/>
      <w:kern w:val="2"/>
      <w:sz w:val="30"/>
    </w:rPr>
  </w:style>
  <w:style w:type="character" w:customStyle="1" w:styleId="139">
    <w:name w:val="UserStyle_35"/>
    <w:semiHidden/>
    <w:qFormat/>
    <w:uiPriority w:val="99"/>
    <w:rPr>
      <w:rFonts w:eastAsia="宋体"/>
      <w:kern w:val="2"/>
      <w:sz w:val="24"/>
      <w:lang w:val="en-US" w:eastAsia="zh-CN"/>
    </w:rPr>
  </w:style>
  <w:style w:type="character" w:customStyle="1" w:styleId="140">
    <w:name w:val="UserStyle_36"/>
    <w:autoRedefine/>
    <w:qFormat/>
    <w:uiPriority w:val="99"/>
    <w:rPr>
      <w:rFonts w:ascii="Arial" w:hAnsi="Arial" w:eastAsia="黑体"/>
      <w:b/>
      <w:kern w:val="2"/>
      <w:sz w:val="32"/>
      <w:lang w:val="en-US" w:eastAsia="zh-CN"/>
    </w:rPr>
  </w:style>
  <w:style w:type="character" w:customStyle="1" w:styleId="141">
    <w:name w:val="UserStyle_37"/>
    <w:autoRedefine/>
    <w:qFormat/>
    <w:uiPriority w:val="99"/>
    <w:rPr>
      <w:rFonts w:eastAsia="宋体"/>
      <w:b/>
      <w:sz w:val="24"/>
      <w:lang w:val="en-US" w:eastAsia="zh-CN"/>
    </w:rPr>
  </w:style>
  <w:style w:type="character" w:customStyle="1" w:styleId="142">
    <w:name w:val="UserStyle_38"/>
    <w:autoRedefine/>
    <w:qFormat/>
    <w:uiPriority w:val="99"/>
    <w:rPr>
      <w:rFonts w:ascii="宋体" w:hAnsi="宋体" w:eastAsia="仿宋_GB2312"/>
      <w:color w:val="000000"/>
      <w:kern w:val="2"/>
      <w:sz w:val="28"/>
      <w:lang w:val="en-US" w:eastAsia="zh-CN"/>
    </w:rPr>
  </w:style>
  <w:style w:type="character" w:customStyle="1" w:styleId="143">
    <w:name w:val="UserStyle_39"/>
    <w:autoRedefine/>
    <w:semiHidden/>
    <w:qFormat/>
    <w:uiPriority w:val="99"/>
    <w:rPr>
      <w:kern w:val="2"/>
      <w:sz w:val="24"/>
    </w:rPr>
  </w:style>
  <w:style w:type="character" w:customStyle="1" w:styleId="144">
    <w:name w:val="UserStyle_40"/>
    <w:qFormat/>
    <w:uiPriority w:val="99"/>
    <w:rPr>
      <w:rFonts w:ascii="Arial" w:hAnsi="Arial" w:eastAsia="仿宋_GB2312"/>
      <w:b/>
      <w:kern w:val="44"/>
      <w:sz w:val="32"/>
    </w:rPr>
  </w:style>
  <w:style w:type="character" w:customStyle="1" w:styleId="145">
    <w:name w:val="UserStyle_41"/>
    <w:link w:val="146"/>
    <w:autoRedefine/>
    <w:qFormat/>
    <w:locked/>
    <w:uiPriority w:val="99"/>
    <w:rPr>
      <w:rFonts w:ascii="宋体" w:hAnsi="Times New Roman"/>
    </w:rPr>
  </w:style>
  <w:style w:type="paragraph" w:customStyle="1" w:styleId="146">
    <w:name w:val="UserStyle_42"/>
    <w:link w:val="145"/>
    <w:qFormat/>
    <w:uiPriority w:val="99"/>
    <w:pPr>
      <w:textAlignment w:val="baseline"/>
    </w:pPr>
    <w:rPr>
      <w:rFonts w:ascii="宋体" w:hAnsi="Times New Roman" w:eastAsia="宋体" w:cs="Times New Roman"/>
      <w:lang w:val="en-US" w:eastAsia="zh-CN" w:bidi="ar-SA"/>
    </w:rPr>
  </w:style>
  <w:style w:type="character" w:customStyle="1" w:styleId="147">
    <w:name w:val="UserStyle_43"/>
    <w:autoRedefine/>
    <w:qFormat/>
    <w:uiPriority w:val="99"/>
    <w:rPr>
      <w:rFonts w:eastAsia="宋体"/>
      <w:sz w:val="18"/>
      <w:lang w:val="en-US" w:eastAsia="zh-CN"/>
    </w:rPr>
  </w:style>
  <w:style w:type="character" w:customStyle="1" w:styleId="148">
    <w:name w:val="UserStyle_44"/>
    <w:autoRedefine/>
    <w:qFormat/>
    <w:uiPriority w:val="99"/>
    <w:rPr>
      <w:rFonts w:ascii="宋体" w:hAnsi="宋体" w:eastAsia="宋体"/>
      <w:sz w:val="24"/>
    </w:rPr>
  </w:style>
  <w:style w:type="character" w:customStyle="1" w:styleId="149">
    <w:name w:val="UserStyle_46"/>
    <w:link w:val="150"/>
    <w:autoRedefine/>
    <w:qFormat/>
    <w:locked/>
    <w:uiPriority w:val="99"/>
    <w:rPr>
      <w:rFonts w:ascii="黑体" w:eastAsia="黑体"/>
      <w:b/>
      <w:kern w:val="2"/>
      <w:sz w:val="18"/>
    </w:rPr>
  </w:style>
  <w:style w:type="paragraph" w:customStyle="1" w:styleId="150">
    <w:name w:val="页脚1"/>
    <w:basedOn w:val="1"/>
    <w:link w:val="149"/>
    <w:qFormat/>
    <w:uiPriority w:val="99"/>
    <w:pPr>
      <w:tabs>
        <w:tab w:val="center" w:pos="4153"/>
        <w:tab w:val="right" w:pos="8306"/>
      </w:tabs>
      <w:snapToGrid w:val="0"/>
      <w:jc w:val="left"/>
    </w:pPr>
    <w:rPr>
      <w:rFonts w:ascii="黑体" w:hAnsi="Calibri" w:eastAsia="黑体"/>
      <w:b/>
      <w:sz w:val="18"/>
      <w:szCs w:val="20"/>
    </w:rPr>
  </w:style>
  <w:style w:type="character" w:customStyle="1" w:styleId="151">
    <w:name w:val="UserStyle_47"/>
    <w:link w:val="152"/>
    <w:autoRedefine/>
    <w:qFormat/>
    <w:locked/>
    <w:uiPriority w:val="99"/>
    <w:rPr>
      <w:rFonts w:eastAsia="黑体"/>
      <w:spacing w:val="10"/>
      <w:kern w:val="2"/>
      <w:sz w:val="24"/>
      <w:lang w:val="en-US" w:eastAsia="zh-CN"/>
    </w:rPr>
  </w:style>
  <w:style w:type="paragraph" w:customStyle="1" w:styleId="152">
    <w:name w:val="UserStyle_48"/>
    <w:basedOn w:val="1"/>
    <w:link w:val="151"/>
    <w:autoRedefine/>
    <w:qFormat/>
    <w:uiPriority w:val="99"/>
    <w:pPr>
      <w:spacing w:line="240" w:lineRule="atLeast"/>
      <w:jc w:val="center"/>
    </w:pPr>
    <w:rPr>
      <w:rFonts w:ascii="Calibri" w:hAnsi="Calibri" w:eastAsia="黑体"/>
      <w:spacing w:val="10"/>
      <w:sz w:val="24"/>
      <w:szCs w:val="20"/>
    </w:rPr>
  </w:style>
  <w:style w:type="character" w:customStyle="1" w:styleId="153">
    <w:name w:val="UserStyle_49"/>
    <w:qFormat/>
    <w:uiPriority w:val="99"/>
    <w:rPr>
      <w:rFonts w:eastAsia="仿宋_GB2312"/>
      <w:b/>
      <w:kern w:val="44"/>
      <w:sz w:val="44"/>
      <w:lang w:val="en-US" w:eastAsia="zh-CN"/>
    </w:rPr>
  </w:style>
  <w:style w:type="character" w:customStyle="1" w:styleId="154">
    <w:name w:val="UserStyle_50"/>
    <w:qFormat/>
    <w:uiPriority w:val="99"/>
    <w:rPr>
      <w:rFonts w:ascii="宋体" w:hAnsi="宋体" w:eastAsia="宋体"/>
      <w:sz w:val="21"/>
      <w:lang w:val="en-US" w:eastAsia="zh-CN"/>
    </w:rPr>
  </w:style>
  <w:style w:type="character" w:customStyle="1" w:styleId="155">
    <w:name w:val="UserStyle_51"/>
    <w:link w:val="156"/>
    <w:qFormat/>
    <w:locked/>
    <w:uiPriority w:val="99"/>
    <w:rPr>
      <w:rFonts w:hAnsi="宋体"/>
      <w:b/>
      <w:kern w:val="15"/>
      <w:sz w:val="32"/>
    </w:rPr>
  </w:style>
  <w:style w:type="paragraph" w:customStyle="1" w:styleId="156">
    <w:name w:val="UserStyle_52"/>
    <w:basedOn w:val="1"/>
    <w:link w:val="155"/>
    <w:autoRedefine/>
    <w:qFormat/>
    <w:uiPriority w:val="99"/>
    <w:pPr>
      <w:spacing w:line="360" w:lineRule="auto"/>
      <w:ind w:firstLine="480" w:firstLineChars="200"/>
    </w:pPr>
    <w:rPr>
      <w:rFonts w:ascii="Calibri" w:hAnsi="宋体"/>
      <w:b/>
      <w:kern w:val="15"/>
      <w:sz w:val="32"/>
      <w:szCs w:val="20"/>
    </w:rPr>
  </w:style>
  <w:style w:type="character" w:customStyle="1" w:styleId="157">
    <w:name w:val="UserStyle_53"/>
    <w:autoRedefine/>
    <w:semiHidden/>
    <w:qFormat/>
    <w:uiPriority w:val="99"/>
    <w:rPr>
      <w:kern w:val="2"/>
      <w:sz w:val="24"/>
    </w:rPr>
  </w:style>
  <w:style w:type="character" w:customStyle="1" w:styleId="158">
    <w:name w:val="UserStyle_54"/>
    <w:autoRedefine/>
    <w:qFormat/>
    <w:uiPriority w:val="99"/>
    <w:rPr>
      <w:rFonts w:eastAsia="宋体"/>
      <w:b/>
      <w:sz w:val="32"/>
      <w:lang w:val="en-US" w:eastAsia="zh-CN"/>
    </w:rPr>
  </w:style>
  <w:style w:type="character" w:customStyle="1" w:styleId="159">
    <w:name w:val="UserStyle_55"/>
    <w:qFormat/>
    <w:uiPriority w:val="99"/>
    <w:rPr>
      <w:rFonts w:eastAsia="宋体"/>
      <w:kern w:val="2"/>
      <w:sz w:val="21"/>
      <w:lang w:val="en-US" w:eastAsia="zh-CN"/>
    </w:rPr>
  </w:style>
  <w:style w:type="character" w:customStyle="1" w:styleId="160">
    <w:name w:val="UserStyle_56"/>
    <w:autoRedefine/>
    <w:qFormat/>
    <w:uiPriority w:val="99"/>
    <w:rPr>
      <w:rFonts w:eastAsia="宋体"/>
      <w:kern w:val="2"/>
      <w:sz w:val="24"/>
      <w:lang w:val="en-US" w:eastAsia="zh-CN"/>
    </w:rPr>
  </w:style>
  <w:style w:type="character" w:customStyle="1" w:styleId="161">
    <w:name w:val="UserStyle_57"/>
    <w:autoRedefine/>
    <w:qFormat/>
    <w:uiPriority w:val="99"/>
    <w:rPr>
      <w:rFonts w:ascii="宋体" w:hAnsi="宋体" w:eastAsia="宋体"/>
      <w:kern w:val="28"/>
      <w:sz w:val="28"/>
    </w:rPr>
  </w:style>
  <w:style w:type="character" w:customStyle="1" w:styleId="162">
    <w:name w:val="UserStyle_58"/>
    <w:autoRedefine/>
    <w:semiHidden/>
    <w:qFormat/>
    <w:uiPriority w:val="99"/>
    <w:rPr>
      <w:kern w:val="2"/>
      <w:sz w:val="24"/>
    </w:rPr>
  </w:style>
  <w:style w:type="character" w:customStyle="1" w:styleId="163">
    <w:name w:val="UserStyle_59"/>
    <w:qFormat/>
    <w:uiPriority w:val="99"/>
    <w:rPr>
      <w:rFonts w:ascii="Times New Roman" w:hAnsi="Times New Roman"/>
      <w:color w:val="000000"/>
      <w:position w:val="0"/>
      <w:sz w:val="24"/>
      <w:lang w:val="en-US" w:eastAsia="en-US"/>
    </w:rPr>
  </w:style>
  <w:style w:type="character" w:customStyle="1" w:styleId="164">
    <w:name w:val="UserStyle_60"/>
    <w:autoRedefine/>
    <w:qFormat/>
    <w:uiPriority w:val="99"/>
    <w:rPr>
      <w:rFonts w:ascii="宋体" w:hAnsi="Arial" w:eastAsia="宋体"/>
      <w:b/>
      <w:kern w:val="2"/>
      <w:sz w:val="28"/>
      <w:lang w:val="en-US" w:eastAsia="zh-CN"/>
    </w:rPr>
  </w:style>
  <w:style w:type="character" w:customStyle="1" w:styleId="165">
    <w:name w:val="UserStyle_61"/>
    <w:autoRedefine/>
    <w:qFormat/>
    <w:uiPriority w:val="99"/>
    <w:rPr>
      <w:rFonts w:ascii="Times New Roman" w:hAnsi="Times New Roman"/>
      <w:color w:val="000000"/>
      <w:position w:val="0"/>
      <w:sz w:val="17"/>
      <w:lang w:val="zh-CN" w:eastAsia="zh-CN"/>
    </w:rPr>
  </w:style>
  <w:style w:type="character" w:customStyle="1" w:styleId="166">
    <w:name w:val="UserStyle_62"/>
    <w:link w:val="167"/>
    <w:autoRedefine/>
    <w:qFormat/>
    <w:locked/>
    <w:uiPriority w:val="99"/>
    <w:rPr>
      <w:sz w:val="17"/>
    </w:rPr>
  </w:style>
  <w:style w:type="paragraph" w:customStyle="1" w:styleId="167">
    <w:name w:val="UserStyle_63"/>
    <w:basedOn w:val="1"/>
    <w:link w:val="166"/>
    <w:autoRedefine/>
    <w:qFormat/>
    <w:uiPriority w:val="99"/>
    <w:pPr>
      <w:shd w:val="clear" w:color="auto" w:fill="FFFFFF"/>
      <w:spacing w:line="188" w:lineRule="exact"/>
    </w:pPr>
    <w:rPr>
      <w:rFonts w:ascii="Calibri" w:hAnsi="Calibri"/>
      <w:kern w:val="0"/>
      <w:sz w:val="17"/>
      <w:szCs w:val="20"/>
    </w:rPr>
  </w:style>
  <w:style w:type="character" w:customStyle="1" w:styleId="168">
    <w:name w:val="UserStyle_64"/>
    <w:qFormat/>
    <w:uiPriority w:val="99"/>
    <w:rPr>
      <w:rFonts w:ascii="宋体" w:eastAsia="宋体"/>
      <w:sz w:val="28"/>
    </w:rPr>
  </w:style>
  <w:style w:type="character" w:customStyle="1" w:styleId="169">
    <w:name w:val="UserStyle_65"/>
    <w:qFormat/>
    <w:uiPriority w:val="99"/>
    <w:rPr>
      <w:rFonts w:ascii="仿宋_GB2312" w:eastAsia="仿宋_GB2312"/>
      <w:sz w:val="28"/>
      <w:lang w:val="en-US" w:eastAsia="zh-CN"/>
    </w:rPr>
  </w:style>
  <w:style w:type="character" w:customStyle="1" w:styleId="170">
    <w:name w:val="UserStyle_66"/>
    <w:link w:val="171"/>
    <w:autoRedefine/>
    <w:qFormat/>
    <w:locked/>
    <w:uiPriority w:val="99"/>
    <w:rPr>
      <w:rFonts w:eastAsia="仿宋_GB2312"/>
      <w:b/>
      <w:kern w:val="2"/>
      <w:sz w:val="22"/>
    </w:rPr>
  </w:style>
  <w:style w:type="paragraph" w:customStyle="1" w:styleId="171">
    <w:name w:val="181"/>
    <w:basedOn w:val="1"/>
    <w:next w:val="1"/>
    <w:link w:val="170"/>
    <w:autoRedefine/>
    <w:qFormat/>
    <w:uiPriority w:val="99"/>
    <w:pPr>
      <w:pBdr>
        <w:bottom w:val="single" w:color="808080" w:sz="4" w:space="4"/>
      </w:pBdr>
      <w:spacing w:line="360" w:lineRule="auto"/>
      <w:ind w:left="936" w:right="936"/>
    </w:pPr>
    <w:rPr>
      <w:rFonts w:ascii="Calibri" w:hAnsi="Calibri" w:eastAsia="仿宋_GB2312"/>
      <w:b/>
      <w:sz w:val="22"/>
      <w:szCs w:val="20"/>
    </w:rPr>
  </w:style>
  <w:style w:type="character" w:customStyle="1" w:styleId="172">
    <w:name w:val="UserStyle_67"/>
    <w:autoRedefine/>
    <w:qFormat/>
    <w:uiPriority w:val="99"/>
    <w:rPr>
      <w:rFonts w:eastAsia="黑体"/>
      <w:color w:val="000000"/>
      <w:kern w:val="44"/>
      <w:sz w:val="32"/>
      <w:lang w:val="en-US" w:eastAsia="zh-CN"/>
    </w:rPr>
  </w:style>
  <w:style w:type="character" w:customStyle="1" w:styleId="173">
    <w:name w:val="UserStyle_68"/>
    <w:link w:val="174"/>
    <w:autoRedefine/>
    <w:qFormat/>
    <w:locked/>
    <w:uiPriority w:val="99"/>
    <w:rPr>
      <w:rFonts w:ascii="Swis721 BT" w:hAnsi="Swis721 BT" w:eastAsia="黑体"/>
      <w:kern w:val="2"/>
      <w:sz w:val="24"/>
    </w:rPr>
  </w:style>
  <w:style w:type="paragraph" w:customStyle="1" w:styleId="174">
    <w:name w:val="UserStyle_69"/>
    <w:basedOn w:val="87"/>
    <w:link w:val="173"/>
    <w:autoRedefine/>
    <w:qFormat/>
    <w:uiPriority w:val="99"/>
    <w:pPr>
      <w:snapToGrid w:val="0"/>
      <w:spacing w:line="360" w:lineRule="auto"/>
    </w:pPr>
    <w:rPr>
      <w:rFonts w:ascii="Swis721 BT" w:hAnsi="Swis721 BT"/>
      <w:b w:val="0"/>
      <w:sz w:val="24"/>
    </w:rPr>
  </w:style>
  <w:style w:type="character" w:customStyle="1" w:styleId="175">
    <w:name w:val="UserStyle_70"/>
    <w:autoRedefine/>
    <w:qFormat/>
    <w:uiPriority w:val="99"/>
    <w:rPr>
      <w:rFonts w:ascii="宋体" w:hAnsi="Courier New"/>
      <w:kern w:val="2"/>
      <w:sz w:val="21"/>
    </w:rPr>
  </w:style>
  <w:style w:type="character" w:customStyle="1" w:styleId="176">
    <w:name w:val="UserStyle_71"/>
    <w:qFormat/>
    <w:uiPriority w:val="99"/>
    <w:rPr>
      <w:rFonts w:ascii="宋体" w:hAnsi="宋体" w:eastAsia="宋体"/>
      <w:b/>
      <w:spacing w:val="20"/>
      <w:kern w:val="2"/>
      <w:sz w:val="24"/>
      <w:lang w:val="en-US" w:eastAsia="zh-CN"/>
    </w:rPr>
  </w:style>
  <w:style w:type="character" w:customStyle="1" w:styleId="177">
    <w:name w:val="UserStyle_72"/>
    <w:autoRedefine/>
    <w:qFormat/>
    <w:uiPriority w:val="99"/>
    <w:rPr>
      <w:rFonts w:eastAsia="宋体"/>
      <w:b/>
      <w:kern w:val="2"/>
      <w:sz w:val="24"/>
      <w:lang w:val="en-US" w:eastAsia="zh-CN"/>
    </w:rPr>
  </w:style>
  <w:style w:type="character" w:customStyle="1" w:styleId="178">
    <w:name w:val="UserStyle_73"/>
    <w:autoRedefine/>
    <w:qFormat/>
    <w:uiPriority w:val="99"/>
    <w:rPr>
      <w:rFonts w:eastAsia="宋体"/>
      <w:kern w:val="2"/>
      <w:sz w:val="24"/>
      <w:lang w:val="en-US" w:eastAsia="zh-CN"/>
    </w:rPr>
  </w:style>
  <w:style w:type="character" w:customStyle="1" w:styleId="179">
    <w:name w:val="UserStyle_74"/>
    <w:autoRedefine/>
    <w:qFormat/>
    <w:uiPriority w:val="99"/>
    <w:rPr>
      <w:rFonts w:ascii="宋体" w:hAnsi="宋体" w:eastAsia="宋体"/>
      <w:b/>
      <w:kern w:val="2"/>
      <w:sz w:val="24"/>
      <w:lang w:val="en-US" w:eastAsia="zh-CN"/>
    </w:rPr>
  </w:style>
  <w:style w:type="character" w:customStyle="1" w:styleId="180">
    <w:name w:val="263"/>
    <w:qFormat/>
    <w:uiPriority w:val="99"/>
    <w:rPr>
      <w:rFonts w:ascii="Times New Roman" w:hAnsi="Times New Roman" w:eastAsia="宋体"/>
      <w:b/>
      <w:smallCaps/>
      <w:color w:val="000000"/>
      <w:spacing w:val="5"/>
      <w:u w:val="single"/>
    </w:rPr>
  </w:style>
  <w:style w:type="character" w:customStyle="1" w:styleId="181">
    <w:name w:val="UserStyle_75"/>
    <w:link w:val="182"/>
    <w:autoRedefine/>
    <w:qFormat/>
    <w:locked/>
    <w:uiPriority w:val="99"/>
    <w:rPr>
      <w:rFonts w:eastAsia="方正书宋简体"/>
      <w:kern w:val="2"/>
      <w:sz w:val="24"/>
    </w:rPr>
  </w:style>
  <w:style w:type="paragraph" w:customStyle="1" w:styleId="182">
    <w:name w:val="UserStyle_76"/>
    <w:basedOn w:val="1"/>
    <w:next w:val="183"/>
    <w:link w:val="181"/>
    <w:autoRedefine/>
    <w:qFormat/>
    <w:uiPriority w:val="99"/>
    <w:pPr>
      <w:topLinePunct/>
      <w:ind w:firstLine="200" w:firstLineChars="200"/>
    </w:pPr>
    <w:rPr>
      <w:rFonts w:ascii="Calibri" w:hAnsi="Calibri" w:eastAsia="方正书宋简体"/>
      <w:sz w:val="24"/>
      <w:szCs w:val="20"/>
    </w:rPr>
  </w:style>
  <w:style w:type="paragraph" w:customStyle="1" w:styleId="183">
    <w:name w:val="PlainText"/>
    <w:basedOn w:val="1"/>
    <w:link w:val="242"/>
    <w:qFormat/>
    <w:uiPriority w:val="99"/>
    <w:rPr>
      <w:rFonts w:ascii="宋体" w:hAnsi="Courier New"/>
      <w:szCs w:val="20"/>
    </w:rPr>
  </w:style>
  <w:style w:type="character" w:customStyle="1" w:styleId="184">
    <w:name w:val="UserStyle_78"/>
    <w:link w:val="185"/>
    <w:autoRedefine/>
    <w:qFormat/>
    <w:locked/>
    <w:uiPriority w:val="99"/>
    <w:rPr>
      <w:rFonts w:ascii="宋体"/>
      <w:sz w:val="24"/>
    </w:rPr>
  </w:style>
  <w:style w:type="paragraph" w:customStyle="1" w:styleId="185">
    <w:name w:val="UserStyle_79"/>
    <w:basedOn w:val="146"/>
    <w:next w:val="1"/>
    <w:link w:val="184"/>
    <w:qFormat/>
    <w:uiPriority w:val="99"/>
    <w:pPr>
      <w:spacing w:after="418"/>
    </w:pPr>
    <w:rPr>
      <w:rFonts w:hAnsi="Calibri"/>
      <w:sz w:val="24"/>
    </w:rPr>
  </w:style>
  <w:style w:type="character" w:customStyle="1" w:styleId="186">
    <w:name w:val="UserStyle_81"/>
    <w:link w:val="90"/>
    <w:autoRedefine/>
    <w:qFormat/>
    <w:locked/>
    <w:uiPriority w:val="99"/>
    <w:rPr>
      <w:b/>
      <w:sz w:val="28"/>
    </w:rPr>
  </w:style>
  <w:style w:type="character" w:customStyle="1" w:styleId="187">
    <w:name w:val="UserStyle_82"/>
    <w:autoRedefine/>
    <w:qFormat/>
    <w:uiPriority w:val="99"/>
    <w:rPr>
      <w:rFonts w:ascii="Arial" w:hAnsi="Arial"/>
      <w:b/>
      <w:color w:val="000000"/>
      <w:position w:val="0"/>
      <w:sz w:val="21"/>
      <w:lang w:val="en-US" w:eastAsia="en-US"/>
    </w:rPr>
  </w:style>
  <w:style w:type="character" w:customStyle="1" w:styleId="188">
    <w:name w:val="UserStyle_83"/>
    <w:link w:val="189"/>
    <w:autoRedefine/>
    <w:qFormat/>
    <w:locked/>
    <w:uiPriority w:val="99"/>
    <w:rPr>
      <w:rFonts w:ascii="PMingLiUfalt" w:hAnsi="PMingLiUfalt" w:eastAsia="PMingLiUfalt"/>
      <w:sz w:val="22"/>
    </w:rPr>
  </w:style>
  <w:style w:type="paragraph" w:customStyle="1" w:styleId="189">
    <w:name w:val="UserStyle_84"/>
    <w:basedOn w:val="1"/>
    <w:link w:val="188"/>
    <w:qFormat/>
    <w:uiPriority w:val="99"/>
    <w:pPr>
      <w:shd w:val="clear" w:color="auto" w:fill="FFFFFF"/>
      <w:spacing w:before="220" w:line="392" w:lineRule="exact"/>
      <w:jc w:val="distribute"/>
    </w:pPr>
    <w:rPr>
      <w:rFonts w:ascii="PMingLiUfalt" w:hAnsi="PMingLiUfalt" w:eastAsia="PMingLiUfalt"/>
      <w:kern w:val="0"/>
      <w:sz w:val="22"/>
      <w:szCs w:val="20"/>
    </w:rPr>
  </w:style>
  <w:style w:type="character" w:customStyle="1" w:styleId="190">
    <w:name w:val="UserStyle_85"/>
    <w:qFormat/>
    <w:uiPriority w:val="99"/>
    <w:rPr>
      <w:rFonts w:eastAsia="宋体"/>
      <w:kern w:val="2"/>
      <w:sz w:val="21"/>
      <w:lang w:val="en-US" w:eastAsia="zh-CN"/>
    </w:rPr>
  </w:style>
  <w:style w:type="character" w:customStyle="1" w:styleId="191">
    <w:name w:val="UserStyle_86"/>
    <w:autoRedefine/>
    <w:qFormat/>
    <w:uiPriority w:val="99"/>
    <w:rPr>
      <w:rFonts w:ascii="Times New Roman" w:hAnsi="Times New Roman"/>
      <w:color w:val="000000"/>
      <w:spacing w:val="40"/>
      <w:position w:val="0"/>
      <w:sz w:val="22"/>
      <w:lang w:val="en-US" w:eastAsia="en-US"/>
    </w:rPr>
  </w:style>
  <w:style w:type="character" w:customStyle="1" w:styleId="192">
    <w:name w:val="UserStyle_87"/>
    <w:qFormat/>
    <w:uiPriority w:val="99"/>
    <w:rPr>
      <w:rFonts w:eastAsia="宋体"/>
      <w:b/>
      <w:color w:val="000000"/>
      <w:kern w:val="44"/>
      <w:sz w:val="32"/>
      <w:lang w:val="en-US" w:eastAsia="zh-CN"/>
    </w:rPr>
  </w:style>
  <w:style w:type="character" w:customStyle="1" w:styleId="193">
    <w:name w:val="UserStyle_88"/>
    <w:link w:val="91"/>
    <w:autoRedefine/>
    <w:qFormat/>
    <w:locked/>
    <w:uiPriority w:val="99"/>
    <w:rPr>
      <w:rFonts w:ascii="Arial" w:hAnsi="Arial" w:eastAsia="黑体"/>
      <w:b/>
      <w:sz w:val="24"/>
    </w:rPr>
  </w:style>
  <w:style w:type="character" w:customStyle="1" w:styleId="194">
    <w:name w:val="UserStyle_89"/>
    <w:autoRedefine/>
    <w:qFormat/>
    <w:uiPriority w:val="99"/>
    <w:rPr>
      <w:b/>
      <w:sz w:val="32"/>
    </w:rPr>
  </w:style>
  <w:style w:type="character" w:customStyle="1" w:styleId="195">
    <w:name w:val="UserStyle_90"/>
    <w:link w:val="196"/>
    <w:autoRedefine/>
    <w:qFormat/>
    <w:locked/>
    <w:uiPriority w:val="99"/>
    <w:rPr>
      <w:rFonts w:ascii="宋体" w:eastAsia="宋体"/>
      <w:smallCaps/>
      <w:color w:val="800080"/>
      <w:sz w:val="24"/>
    </w:rPr>
  </w:style>
  <w:style w:type="paragraph" w:customStyle="1" w:styleId="196">
    <w:name w:val="UserStyle_91"/>
    <w:basedOn w:val="1"/>
    <w:link w:val="195"/>
    <w:qFormat/>
    <w:uiPriority w:val="99"/>
    <w:pPr>
      <w:tabs>
        <w:tab w:val="right" w:leader="dot" w:pos="8382"/>
      </w:tabs>
      <w:snapToGrid w:val="0"/>
      <w:spacing w:line="360" w:lineRule="auto"/>
      <w:ind w:firstLine="240" w:firstLineChars="100"/>
      <w:jc w:val="left"/>
    </w:pPr>
    <w:rPr>
      <w:rFonts w:ascii="宋体" w:hAnsi="Calibri"/>
      <w:smallCaps/>
      <w:color w:val="800080"/>
      <w:kern w:val="0"/>
      <w:sz w:val="24"/>
      <w:szCs w:val="20"/>
    </w:rPr>
  </w:style>
  <w:style w:type="character" w:customStyle="1" w:styleId="197">
    <w:name w:val="UserStyle_92"/>
    <w:autoRedefine/>
    <w:qFormat/>
    <w:uiPriority w:val="99"/>
    <w:rPr>
      <w:rFonts w:ascii="宋体" w:eastAsia="宋体"/>
      <w:sz w:val="24"/>
      <w:lang w:val="en-US" w:eastAsia="zh-CN"/>
    </w:rPr>
  </w:style>
  <w:style w:type="character" w:customStyle="1" w:styleId="198">
    <w:name w:val="UserStyle_93"/>
    <w:qFormat/>
    <w:uiPriority w:val="99"/>
    <w:rPr>
      <w:rFonts w:ascii="Arial" w:hAnsi="Arial" w:eastAsia="黑体"/>
      <w:sz w:val="24"/>
      <w:lang w:val="en-US" w:eastAsia="zh-CN"/>
    </w:rPr>
  </w:style>
  <w:style w:type="character" w:customStyle="1" w:styleId="199">
    <w:name w:val="UserStyle_94"/>
    <w:link w:val="200"/>
    <w:qFormat/>
    <w:locked/>
    <w:uiPriority w:val="99"/>
    <w:rPr>
      <w:rFonts w:ascii="Arial" w:hAnsi="宋体" w:eastAsia="方正小标宋_GBK"/>
      <w:color w:val="000000"/>
      <w:kern w:val="2"/>
      <w:sz w:val="24"/>
    </w:rPr>
  </w:style>
  <w:style w:type="paragraph" w:customStyle="1" w:styleId="200">
    <w:name w:val="UserStyle_95"/>
    <w:basedOn w:val="201"/>
    <w:link w:val="199"/>
    <w:qFormat/>
    <w:uiPriority w:val="99"/>
    <w:pPr>
      <w:snapToGrid w:val="0"/>
      <w:spacing w:line="240" w:lineRule="auto"/>
      <w:ind w:firstLine="100" w:firstLineChars="100"/>
      <w:jc w:val="both"/>
    </w:pPr>
    <w:rPr>
      <w:rFonts w:ascii="Arial" w:eastAsia="方正小标宋_GBK"/>
      <w:b w:val="0"/>
      <w:color w:val="000000"/>
      <w:kern w:val="2"/>
      <w:szCs w:val="20"/>
    </w:rPr>
  </w:style>
  <w:style w:type="paragraph" w:customStyle="1" w:styleId="201">
    <w:name w:val="UserStyle_495"/>
    <w:basedOn w:val="88"/>
    <w:qFormat/>
    <w:uiPriority w:val="99"/>
    <w:pPr>
      <w:spacing w:before="0" w:after="0" w:line="360" w:lineRule="auto"/>
      <w:jc w:val="center"/>
    </w:pPr>
    <w:rPr>
      <w:rFonts w:ascii="黑体" w:hAnsi="宋体" w:eastAsia="黑体"/>
      <w:szCs w:val="24"/>
    </w:rPr>
  </w:style>
  <w:style w:type="character" w:customStyle="1" w:styleId="202">
    <w:name w:val="UserStyle_96"/>
    <w:qFormat/>
    <w:uiPriority w:val="99"/>
    <w:rPr>
      <w:rFonts w:eastAsia="宋体"/>
      <w:kern w:val="2"/>
      <w:sz w:val="24"/>
      <w:lang w:val="en-US" w:eastAsia="zh-CN"/>
    </w:rPr>
  </w:style>
  <w:style w:type="character" w:customStyle="1" w:styleId="203">
    <w:name w:val="UserStyle_97"/>
    <w:autoRedefine/>
    <w:qFormat/>
    <w:uiPriority w:val="99"/>
    <w:rPr>
      <w:rFonts w:ascii="宋体" w:hAnsi="宋体" w:eastAsia="宋体"/>
      <w:b/>
      <w:spacing w:val="20"/>
      <w:kern w:val="2"/>
      <w:sz w:val="24"/>
      <w:lang w:val="en-US" w:eastAsia="zh-CN"/>
    </w:rPr>
  </w:style>
  <w:style w:type="character" w:customStyle="1" w:styleId="204">
    <w:name w:val="UserStyle_98"/>
    <w:link w:val="205"/>
    <w:qFormat/>
    <w:locked/>
    <w:uiPriority w:val="99"/>
    <w:rPr>
      <w:rFonts w:eastAsia="宋体"/>
      <w:kern w:val="2"/>
      <w:sz w:val="24"/>
      <w:lang w:val="en-US" w:eastAsia="zh-CN"/>
    </w:rPr>
  </w:style>
  <w:style w:type="paragraph" w:customStyle="1" w:styleId="205">
    <w:name w:val="BodyTextIndent3"/>
    <w:basedOn w:val="1"/>
    <w:link w:val="204"/>
    <w:autoRedefine/>
    <w:qFormat/>
    <w:uiPriority w:val="99"/>
    <w:pPr>
      <w:ind w:left="899" w:leftChars="428"/>
    </w:pPr>
    <w:rPr>
      <w:rFonts w:ascii="Calibri" w:hAnsi="Calibri"/>
      <w:sz w:val="24"/>
      <w:szCs w:val="20"/>
    </w:rPr>
  </w:style>
  <w:style w:type="character" w:customStyle="1" w:styleId="206">
    <w:name w:val="UserStyle_99"/>
    <w:qFormat/>
    <w:uiPriority w:val="99"/>
    <w:rPr>
      <w:rFonts w:ascii="Times New Roman" w:hAnsi="Times New Roman"/>
      <w:color w:val="000000"/>
      <w:position w:val="0"/>
      <w:sz w:val="26"/>
      <w:lang w:val="en-US" w:eastAsia="en-US"/>
    </w:rPr>
  </w:style>
  <w:style w:type="character" w:customStyle="1" w:styleId="207">
    <w:name w:val="UserStyle_100"/>
    <w:autoRedefine/>
    <w:qFormat/>
    <w:uiPriority w:val="99"/>
    <w:rPr>
      <w:rFonts w:ascii="Arial Black" w:hAnsi="Arial Black"/>
      <w:sz w:val="18"/>
    </w:rPr>
  </w:style>
  <w:style w:type="character" w:customStyle="1" w:styleId="208">
    <w:name w:val="UserStyle_101"/>
    <w:link w:val="209"/>
    <w:autoRedefine/>
    <w:qFormat/>
    <w:locked/>
    <w:uiPriority w:val="99"/>
    <w:rPr>
      <w:rFonts w:eastAsia="宋体"/>
      <w:sz w:val="24"/>
      <w:lang w:val="en-US" w:eastAsia="zh-CN"/>
    </w:rPr>
  </w:style>
  <w:style w:type="paragraph" w:customStyle="1" w:styleId="209">
    <w:name w:val="AnnotationText"/>
    <w:basedOn w:val="1"/>
    <w:link w:val="208"/>
    <w:autoRedefine/>
    <w:qFormat/>
    <w:uiPriority w:val="99"/>
    <w:pPr>
      <w:spacing w:line="360" w:lineRule="atLeast"/>
      <w:jc w:val="left"/>
    </w:pPr>
    <w:rPr>
      <w:rFonts w:ascii="Calibri" w:hAnsi="Calibri"/>
      <w:kern w:val="0"/>
      <w:sz w:val="24"/>
      <w:szCs w:val="20"/>
    </w:rPr>
  </w:style>
  <w:style w:type="character" w:customStyle="1" w:styleId="210">
    <w:name w:val="UserStyle_102"/>
    <w:autoRedefine/>
    <w:qFormat/>
    <w:uiPriority w:val="99"/>
    <w:rPr>
      <w:rFonts w:ascii="宋体" w:hAnsi="宋体" w:eastAsia="宋体" w:cs="Times New Roman"/>
      <w:color w:val="000000"/>
      <w:kern w:val="2"/>
      <w:sz w:val="24"/>
      <w:lang w:val="en-US" w:eastAsia="zh-CN" w:bidi="ar-SA"/>
    </w:rPr>
  </w:style>
  <w:style w:type="character" w:customStyle="1" w:styleId="211">
    <w:name w:val="UserStyle_103"/>
    <w:autoRedefine/>
    <w:qFormat/>
    <w:uiPriority w:val="99"/>
    <w:rPr>
      <w:rFonts w:ascii="宋体" w:hAnsi="宋体" w:eastAsia="宋体" w:cs="Times New Roman"/>
      <w:color w:val="000000"/>
      <w:kern w:val="2"/>
      <w:sz w:val="24"/>
      <w:lang w:val="en-US" w:eastAsia="zh-CN" w:bidi="ar-SA"/>
    </w:rPr>
  </w:style>
  <w:style w:type="character" w:customStyle="1" w:styleId="212">
    <w:name w:val="UserStyle_104"/>
    <w:qFormat/>
    <w:uiPriority w:val="99"/>
    <w:rPr>
      <w:rFonts w:ascii="宋体" w:hAnsi="宋体" w:eastAsia="宋体"/>
      <w:color w:val="000000"/>
      <w:kern w:val="2"/>
      <w:sz w:val="24"/>
      <w:lang w:val="en-US" w:eastAsia="zh-CN"/>
    </w:rPr>
  </w:style>
  <w:style w:type="character" w:customStyle="1" w:styleId="213">
    <w:name w:val="UserStyle_105"/>
    <w:semiHidden/>
    <w:qFormat/>
    <w:uiPriority w:val="99"/>
    <w:rPr>
      <w:kern w:val="2"/>
      <w:sz w:val="16"/>
    </w:rPr>
  </w:style>
  <w:style w:type="character" w:customStyle="1" w:styleId="214">
    <w:name w:val="UserStyle_106"/>
    <w:link w:val="215"/>
    <w:qFormat/>
    <w:locked/>
    <w:uiPriority w:val="99"/>
    <w:rPr>
      <w:kern w:val="2"/>
      <w:sz w:val="24"/>
    </w:rPr>
  </w:style>
  <w:style w:type="paragraph" w:customStyle="1" w:styleId="215">
    <w:name w:val="UserStyle_107"/>
    <w:basedOn w:val="1"/>
    <w:link w:val="214"/>
    <w:autoRedefine/>
    <w:qFormat/>
    <w:uiPriority w:val="99"/>
    <w:pPr>
      <w:spacing w:line="360" w:lineRule="auto"/>
      <w:ind w:firstLine="480" w:firstLineChars="200"/>
    </w:pPr>
    <w:rPr>
      <w:rFonts w:ascii="Calibri" w:hAnsi="Calibri"/>
      <w:sz w:val="24"/>
      <w:szCs w:val="20"/>
    </w:rPr>
  </w:style>
  <w:style w:type="character" w:customStyle="1" w:styleId="216">
    <w:name w:val="UserStyle_108"/>
    <w:autoRedefine/>
    <w:qFormat/>
    <w:uiPriority w:val="99"/>
    <w:rPr>
      <w:rFonts w:ascii="宋体" w:hAnsi="宋体" w:eastAsia="黑体"/>
      <w:spacing w:val="1"/>
      <w:kern w:val="2"/>
      <w:sz w:val="28"/>
      <w:lang w:val="en-US" w:eastAsia="zh-CN"/>
    </w:rPr>
  </w:style>
  <w:style w:type="character" w:customStyle="1" w:styleId="217">
    <w:name w:val="UserStyle_109"/>
    <w:qFormat/>
    <w:uiPriority w:val="99"/>
    <w:rPr>
      <w:rFonts w:ascii="黑体" w:hAnsi="宋体" w:eastAsia="宋体"/>
      <w:b/>
      <w:kern w:val="44"/>
      <w:sz w:val="44"/>
      <w:lang w:val="en-US" w:eastAsia="zh-CN"/>
    </w:rPr>
  </w:style>
  <w:style w:type="character" w:customStyle="1" w:styleId="218">
    <w:name w:val="UserStyle_110"/>
    <w:autoRedefine/>
    <w:qFormat/>
    <w:uiPriority w:val="99"/>
    <w:rPr>
      <w:kern w:val="2"/>
      <w:sz w:val="24"/>
    </w:rPr>
  </w:style>
  <w:style w:type="character" w:customStyle="1" w:styleId="219">
    <w:name w:val="UserStyle_111"/>
    <w:qFormat/>
    <w:uiPriority w:val="99"/>
    <w:rPr>
      <w:rFonts w:ascii="宋体" w:hAnsi="Courier New" w:eastAsia="宋体"/>
      <w:sz w:val="21"/>
    </w:rPr>
  </w:style>
  <w:style w:type="character" w:customStyle="1" w:styleId="220">
    <w:name w:val="UserStyle_112"/>
    <w:link w:val="92"/>
    <w:autoRedefine/>
    <w:qFormat/>
    <w:locked/>
    <w:uiPriority w:val="99"/>
    <w:rPr>
      <w:b/>
      <w:sz w:val="24"/>
    </w:rPr>
  </w:style>
  <w:style w:type="character" w:customStyle="1" w:styleId="221">
    <w:name w:val="UserStyle_113"/>
    <w:qFormat/>
    <w:uiPriority w:val="99"/>
    <w:rPr>
      <w:rFonts w:ascii="Times New Roman" w:hAnsi="Times New Roman"/>
      <w:b/>
      <w:color w:val="000000"/>
      <w:position w:val="0"/>
      <w:sz w:val="13"/>
      <w:lang w:val="en-US" w:eastAsia="en-US"/>
    </w:rPr>
  </w:style>
  <w:style w:type="character" w:customStyle="1" w:styleId="222">
    <w:name w:val="UserStyle_114"/>
    <w:autoRedefine/>
    <w:qFormat/>
    <w:uiPriority w:val="99"/>
    <w:rPr>
      <w:rFonts w:ascii="PMingLiUfalt" w:hAnsi="PMingLiUfalt" w:eastAsia="PMingLiUfalt"/>
      <w:color w:val="000000"/>
      <w:spacing w:val="50"/>
      <w:position w:val="0"/>
      <w:sz w:val="44"/>
      <w:lang w:val="zh-CN" w:eastAsia="zh-CN"/>
    </w:rPr>
  </w:style>
  <w:style w:type="character" w:customStyle="1" w:styleId="223">
    <w:name w:val="UserStyle_115"/>
    <w:link w:val="224"/>
    <w:qFormat/>
    <w:locked/>
    <w:uiPriority w:val="99"/>
    <w:rPr>
      <w:rFonts w:ascii="PMingLiUfalt" w:hAnsi="PMingLiUfalt" w:eastAsia="PMingLiUfalt"/>
      <w:spacing w:val="60"/>
      <w:sz w:val="44"/>
    </w:rPr>
  </w:style>
  <w:style w:type="paragraph" w:customStyle="1" w:styleId="224">
    <w:name w:val="UserStyle_116"/>
    <w:basedOn w:val="1"/>
    <w:link w:val="223"/>
    <w:autoRedefine/>
    <w:qFormat/>
    <w:uiPriority w:val="99"/>
    <w:pPr>
      <w:shd w:val="clear" w:color="auto" w:fill="FFFFFF"/>
      <w:spacing w:before="2320" w:after="760" w:line="440" w:lineRule="exact"/>
      <w:jc w:val="right"/>
    </w:pPr>
    <w:rPr>
      <w:rFonts w:ascii="PMingLiUfalt" w:hAnsi="PMingLiUfalt" w:eastAsia="PMingLiUfalt"/>
      <w:spacing w:val="60"/>
      <w:kern w:val="0"/>
      <w:sz w:val="44"/>
      <w:szCs w:val="20"/>
    </w:rPr>
  </w:style>
  <w:style w:type="character" w:customStyle="1" w:styleId="225">
    <w:name w:val="UserStyle_117"/>
    <w:link w:val="226"/>
    <w:autoRedefine/>
    <w:qFormat/>
    <w:locked/>
    <w:uiPriority w:val="99"/>
    <w:rPr>
      <w:b/>
      <w:kern w:val="2"/>
      <w:sz w:val="24"/>
    </w:rPr>
  </w:style>
  <w:style w:type="paragraph" w:customStyle="1" w:styleId="226">
    <w:name w:val="AnnotationSubject"/>
    <w:basedOn w:val="209"/>
    <w:next w:val="209"/>
    <w:link w:val="225"/>
    <w:autoRedefine/>
    <w:qFormat/>
    <w:uiPriority w:val="99"/>
    <w:pPr>
      <w:spacing w:line="240" w:lineRule="auto"/>
      <w:textAlignment w:val="auto"/>
    </w:pPr>
    <w:rPr>
      <w:b/>
      <w:kern w:val="2"/>
    </w:rPr>
  </w:style>
  <w:style w:type="character" w:customStyle="1" w:styleId="227">
    <w:name w:val="UserStyle_118"/>
    <w:qFormat/>
    <w:uiPriority w:val="99"/>
    <w:rPr>
      <w:rFonts w:ascii="Times New Roman" w:hAnsi="Times New Roman"/>
      <w:color w:val="000000"/>
      <w:spacing w:val="30"/>
      <w:position w:val="0"/>
      <w:sz w:val="24"/>
      <w:lang w:val="zh-CN" w:eastAsia="zh-CN"/>
    </w:rPr>
  </w:style>
  <w:style w:type="character" w:customStyle="1" w:styleId="228">
    <w:name w:val="UserStyle_119"/>
    <w:autoRedefine/>
    <w:qFormat/>
    <w:uiPriority w:val="99"/>
    <w:rPr>
      <w:rFonts w:eastAsia="宋体"/>
      <w:kern w:val="2"/>
      <w:sz w:val="24"/>
      <w:lang w:val="en-US" w:eastAsia="zh-CN"/>
    </w:rPr>
  </w:style>
  <w:style w:type="character" w:customStyle="1" w:styleId="229">
    <w:name w:val="UserStyle_120"/>
    <w:link w:val="230"/>
    <w:qFormat/>
    <w:locked/>
    <w:uiPriority w:val="99"/>
    <w:rPr>
      <w:rFonts w:ascii="Arial" w:hAnsi="Arial"/>
      <w:kern w:val="2"/>
      <w:sz w:val="24"/>
    </w:rPr>
  </w:style>
  <w:style w:type="paragraph" w:customStyle="1" w:styleId="230">
    <w:name w:val="MessageHeader"/>
    <w:basedOn w:val="1"/>
    <w:link w:val="229"/>
    <w:qFormat/>
    <w:uiPriority w:val="99"/>
    <w:pPr>
      <w:pBdr>
        <w:top w:val="single" w:color="000000" w:sz="6" w:space="1"/>
        <w:left w:val="single" w:color="000000" w:sz="6" w:space="1"/>
        <w:bottom w:val="single" w:color="000000" w:sz="6" w:space="1"/>
        <w:right w:val="single" w:color="000000" w:sz="6" w:space="1"/>
      </w:pBdr>
      <w:ind w:left="1080" w:hanging="1080"/>
    </w:pPr>
    <w:rPr>
      <w:rFonts w:ascii="Arial" w:hAnsi="Arial"/>
      <w:sz w:val="24"/>
      <w:szCs w:val="20"/>
    </w:rPr>
  </w:style>
  <w:style w:type="character" w:customStyle="1" w:styleId="231">
    <w:name w:val="UserStyle_121"/>
    <w:qFormat/>
    <w:uiPriority w:val="99"/>
    <w:rPr>
      <w:rFonts w:ascii="宋体" w:eastAsia="宋体"/>
      <w:b/>
      <w:kern w:val="28"/>
      <w:sz w:val="28"/>
    </w:rPr>
  </w:style>
  <w:style w:type="character" w:customStyle="1" w:styleId="232">
    <w:name w:val="UserStyle_122"/>
    <w:qFormat/>
    <w:uiPriority w:val="99"/>
    <w:rPr>
      <w:rFonts w:ascii="Times New Roman" w:hAnsi="Times New Roman"/>
      <w:b/>
      <w:color w:val="000000"/>
      <w:position w:val="0"/>
      <w:sz w:val="22"/>
      <w:lang w:val="en-US" w:eastAsia="en-US"/>
    </w:rPr>
  </w:style>
  <w:style w:type="character" w:customStyle="1" w:styleId="233">
    <w:name w:val="UserStyle_123"/>
    <w:link w:val="234"/>
    <w:qFormat/>
    <w:locked/>
    <w:uiPriority w:val="99"/>
    <w:rPr>
      <w:rFonts w:eastAsia="楷体_GB2312"/>
      <w:color w:val="000000"/>
      <w:kern w:val="2"/>
      <w:sz w:val="22"/>
    </w:rPr>
  </w:style>
  <w:style w:type="paragraph" w:customStyle="1" w:styleId="234">
    <w:name w:val="180"/>
    <w:basedOn w:val="1"/>
    <w:next w:val="1"/>
    <w:link w:val="233"/>
    <w:autoRedefine/>
    <w:qFormat/>
    <w:uiPriority w:val="99"/>
    <w:pPr>
      <w:spacing w:line="360" w:lineRule="auto"/>
      <w:jc w:val="center"/>
    </w:pPr>
    <w:rPr>
      <w:rFonts w:ascii="Calibri" w:hAnsi="Calibri" w:eastAsia="楷体_GB2312"/>
      <w:color w:val="000000"/>
      <w:sz w:val="22"/>
      <w:szCs w:val="20"/>
    </w:rPr>
  </w:style>
  <w:style w:type="character" w:customStyle="1" w:styleId="235">
    <w:name w:val="UserStyle_124"/>
    <w:qFormat/>
    <w:uiPriority w:val="99"/>
    <w:rPr>
      <w:rFonts w:ascii="宋体" w:hAnsi="宋体" w:eastAsia="黑体"/>
      <w:color w:val="000000"/>
      <w:spacing w:val="1"/>
      <w:kern w:val="2"/>
      <w:sz w:val="28"/>
      <w:lang w:val="en-US" w:eastAsia="zh-CN"/>
    </w:rPr>
  </w:style>
  <w:style w:type="character" w:customStyle="1" w:styleId="236">
    <w:name w:val="UserStyle_125"/>
    <w:autoRedefine/>
    <w:qFormat/>
    <w:uiPriority w:val="99"/>
    <w:rPr>
      <w:rFonts w:ascii="Times New Roman" w:hAnsi="Times New Roman"/>
      <w:b/>
      <w:color w:val="000000"/>
      <w:w w:val="150"/>
      <w:position w:val="0"/>
      <w:sz w:val="22"/>
      <w:lang w:val="en-US" w:eastAsia="en-US"/>
    </w:rPr>
  </w:style>
  <w:style w:type="character" w:customStyle="1" w:styleId="237">
    <w:name w:val="UserStyle_126"/>
    <w:link w:val="238"/>
    <w:qFormat/>
    <w:locked/>
    <w:uiPriority w:val="99"/>
    <w:rPr>
      <w:rFonts w:eastAsia="宋体"/>
      <w:kern w:val="2"/>
      <w:sz w:val="18"/>
      <w:lang w:val="en-US" w:eastAsia="zh-CN"/>
    </w:rPr>
  </w:style>
  <w:style w:type="paragraph" w:customStyle="1" w:styleId="238">
    <w:name w:val="页眉1"/>
    <w:basedOn w:val="1"/>
    <w:link w:val="237"/>
    <w:autoRedefine/>
    <w:qFormat/>
    <w:uiPriority w:val="99"/>
    <w:pPr>
      <w:pBdr>
        <w:bottom w:val="single" w:color="000000" w:sz="6" w:space="1"/>
      </w:pBdr>
      <w:tabs>
        <w:tab w:val="center" w:pos="4153"/>
        <w:tab w:val="right" w:pos="8306"/>
      </w:tabs>
      <w:snapToGrid w:val="0"/>
      <w:jc w:val="center"/>
    </w:pPr>
    <w:rPr>
      <w:rFonts w:ascii="Calibri" w:hAnsi="Calibri"/>
      <w:sz w:val="18"/>
      <w:szCs w:val="20"/>
    </w:rPr>
  </w:style>
  <w:style w:type="character" w:customStyle="1" w:styleId="239">
    <w:name w:val="UserStyle_127"/>
    <w:link w:val="240"/>
    <w:autoRedefine/>
    <w:qFormat/>
    <w:locked/>
    <w:uiPriority w:val="99"/>
    <w:rPr>
      <w:rFonts w:ascii="Swis721 BT" w:hAnsi="Swis721 BT" w:eastAsia="黑体"/>
      <w:kern w:val="2"/>
      <w:sz w:val="30"/>
    </w:rPr>
  </w:style>
  <w:style w:type="paragraph" w:customStyle="1" w:styleId="240">
    <w:name w:val="UserStyle_128"/>
    <w:basedOn w:val="1"/>
    <w:link w:val="239"/>
    <w:autoRedefine/>
    <w:qFormat/>
    <w:uiPriority w:val="99"/>
    <w:pPr>
      <w:keepNext/>
      <w:keepLines/>
      <w:snapToGrid w:val="0"/>
      <w:spacing w:line="353" w:lineRule="auto"/>
    </w:pPr>
    <w:rPr>
      <w:rFonts w:ascii="Swis721 BT" w:hAnsi="Swis721 BT" w:eastAsia="黑体"/>
      <w:sz w:val="30"/>
      <w:szCs w:val="20"/>
    </w:rPr>
  </w:style>
  <w:style w:type="character" w:customStyle="1" w:styleId="241">
    <w:name w:val="UserStyle_129"/>
    <w:autoRedefine/>
    <w:qFormat/>
    <w:uiPriority w:val="99"/>
    <w:rPr>
      <w:rFonts w:eastAsia="宋体"/>
      <w:b/>
      <w:kern w:val="2"/>
      <w:sz w:val="24"/>
      <w:lang w:val="en-US" w:eastAsia="zh-CN"/>
    </w:rPr>
  </w:style>
  <w:style w:type="character" w:customStyle="1" w:styleId="242">
    <w:name w:val="UserStyle_130"/>
    <w:link w:val="183"/>
    <w:autoRedefine/>
    <w:qFormat/>
    <w:locked/>
    <w:uiPriority w:val="99"/>
    <w:rPr>
      <w:rFonts w:ascii="宋体" w:hAnsi="Courier New" w:eastAsia="宋体"/>
      <w:kern w:val="2"/>
      <w:sz w:val="21"/>
      <w:lang w:val="en-US" w:eastAsia="zh-CN"/>
    </w:rPr>
  </w:style>
  <w:style w:type="character" w:customStyle="1" w:styleId="243">
    <w:name w:val="UserStyle_131"/>
    <w:qFormat/>
    <w:uiPriority w:val="99"/>
    <w:rPr>
      <w:rFonts w:ascii="Courier New" w:hAnsi="Courier New"/>
      <w:sz w:val="20"/>
    </w:rPr>
  </w:style>
  <w:style w:type="character" w:customStyle="1" w:styleId="244">
    <w:name w:val="UserStyle_132"/>
    <w:link w:val="245"/>
    <w:qFormat/>
    <w:locked/>
    <w:uiPriority w:val="99"/>
    <w:rPr>
      <w:rFonts w:eastAsia="宋体"/>
      <w:b/>
      <w:kern w:val="2"/>
      <w:sz w:val="28"/>
      <w:lang w:val="en-US" w:eastAsia="zh-CN"/>
    </w:rPr>
  </w:style>
  <w:style w:type="paragraph" w:customStyle="1" w:styleId="245">
    <w:name w:val="BodyText2"/>
    <w:basedOn w:val="1"/>
    <w:link w:val="244"/>
    <w:qFormat/>
    <w:uiPriority w:val="99"/>
    <w:rPr>
      <w:rFonts w:ascii="Calibri" w:hAnsi="Calibri"/>
      <w:b/>
      <w:sz w:val="28"/>
      <w:szCs w:val="20"/>
    </w:rPr>
  </w:style>
  <w:style w:type="character" w:customStyle="1" w:styleId="246">
    <w:name w:val="UserStyle_133"/>
    <w:autoRedefine/>
    <w:qFormat/>
    <w:uiPriority w:val="99"/>
    <w:rPr>
      <w:kern w:val="2"/>
      <w:sz w:val="24"/>
    </w:rPr>
  </w:style>
  <w:style w:type="character" w:customStyle="1" w:styleId="247">
    <w:name w:val="UserStyle_134"/>
    <w:autoRedefine/>
    <w:qFormat/>
    <w:uiPriority w:val="99"/>
    <w:rPr>
      <w:kern w:val="2"/>
      <w:sz w:val="18"/>
    </w:rPr>
  </w:style>
  <w:style w:type="character" w:customStyle="1" w:styleId="248">
    <w:name w:val="UserStyle_135"/>
    <w:link w:val="249"/>
    <w:qFormat/>
    <w:locked/>
    <w:uiPriority w:val="99"/>
    <w:rPr>
      <w:rFonts w:eastAsia="仿宋_GB2312"/>
      <w:sz w:val="24"/>
    </w:rPr>
  </w:style>
  <w:style w:type="paragraph" w:customStyle="1" w:styleId="249">
    <w:name w:val="UserStyle_136"/>
    <w:basedOn w:val="1"/>
    <w:link w:val="248"/>
    <w:autoRedefine/>
    <w:qFormat/>
    <w:uiPriority w:val="99"/>
    <w:pPr>
      <w:spacing w:line="360" w:lineRule="auto"/>
      <w:ind w:firstLine="480" w:firstLineChars="200"/>
      <w:jc w:val="left"/>
    </w:pPr>
    <w:rPr>
      <w:rFonts w:ascii="Calibri" w:hAnsi="Calibri" w:eastAsia="仿宋_GB2312"/>
      <w:kern w:val="0"/>
      <w:sz w:val="24"/>
      <w:szCs w:val="20"/>
    </w:rPr>
  </w:style>
  <w:style w:type="character" w:customStyle="1" w:styleId="250">
    <w:name w:val="UserStyle_137"/>
    <w:qFormat/>
    <w:uiPriority w:val="99"/>
    <w:rPr>
      <w:rFonts w:eastAsia="宋体"/>
      <w:b/>
      <w:color w:val="FF0000"/>
      <w:kern w:val="44"/>
      <w:sz w:val="30"/>
      <w:lang w:val="en-US" w:eastAsia="zh-CN"/>
    </w:rPr>
  </w:style>
  <w:style w:type="character" w:customStyle="1" w:styleId="251">
    <w:name w:val="UserStyle_138"/>
    <w:autoRedefine/>
    <w:qFormat/>
    <w:uiPriority w:val="99"/>
    <w:rPr>
      <w:kern w:val="2"/>
      <w:sz w:val="24"/>
    </w:rPr>
  </w:style>
  <w:style w:type="character" w:customStyle="1" w:styleId="252">
    <w:name w:val="UserStyle_139"/>
    <w:qFormat/>
    <w:uiPriority w:val="99"/>
    <w:rPr>
      <w:rFonts w:ascii="Calibri Light" w:hAnsi="Calibri Light"/>
      <w:b/>
      <w:kern w:val="2"/>
      <w:sz w:val="32"/>
    </w:rPr>
  </w:style>
  <w:style w:type="character" w:customStyle="1" w:styleId="253">
    <w:name w:val="UserStyle_140"/>
    <w:autoRedefine/>
    <w:qFormat/>
    <w:uiPriority w:val="99"/>
    <w:rPr>
      <w:rFonts w:ascii="宋体" w:hAnsi="宋体" w:eastAsia="宋体"/>
      <w:sz w:val="24"/>
    </w:rPr>
  </w:style>
  <w:style w:type="character" w:customStyle="1" w:styleId="254">
    <w:name w:val="UserStyle_141"/>
    <w:qFormat/>
    <w:uiPriority w:val="99"/>
    <w:rPr>
      <w:rFonts w:ascii="Arial" w:hAnsi="Arial" w:eastAsia="黑体"/>
      <w:b/>
      <w:sz w:val="24"/>
    </w:rPr>
  </w:style>
  <w:style w:type="character" w:customStyle="1" w:styleId="255">
    <w:name w:val="UserStyle_142"/>
    <w:link w:val="256"/>
    <w:autoRedefine/>
    <w:qFormat/>
    <w:locked/>
    <w:uiPriority w:val="99"/>
    <w:rPr>
      <w:rFonts w:ascii="宋体" w:hAnsi="宋体" w:eastAsia="仿宋_GB2312"/>
      <w:sz w:val="24"/>
    </w:rPr>
  </w:style>
  <w:style w:type="paragraph" w:customStyle="1" w:styleId="256">
    <w:name w:val="UserStyle_143"/>
    <w:basedOn w:val="1"/>
    <w:link w:val="255"/>
    <w:autoRedefine/>
    <w:qFormat/>
    <w:uiPriority w:val="99"/>
    <w:pPr>
      <w:snapToGrid w:val="0"/>
      <w:spacing w:line="353" w:lineRule="auto"/>
      <w:ind w:firstLine="200" w:firstLineChars="200"/>
    </w:pPr>
    <w:rPr>
      <w:rFonts w:ascii="宋体" w:hAnsi="宋体" w:eastAsia="仿宋_GB2312"/>
      <w:kern w:val="0"/>
      <w:sz w:val="24"/>
      <w:szCs w:val="20"/>
    </w:rPr>
  </w:style>
  <w:style w:type="character" w:customStyle="1" w:styleId="257">
    <w:name w:val="UserStyle_144"/>
    <w:autoRedefine/>
    <w:qFormat/>
    <w:uiPriority w:val="99"/>
    <w:rPr>
      <w:rFonts w:ascii="宋体" w:hAnsi="宋体" w:eastAsia="黑体"/>
      <w:spacing w:val="1"/>
      <w:kern w:val="2"/>
      <w:sz w:val="24"/>
      <w:lang w:val="zh-CN" w:eastAsia="zh-CN"/>
    </w:rPr>
  </w:style>
  <w:style w:type="character" w:customStyle="1" w:styleId="258">
    <w:name w:val="UserStyle_145"/>
    <w:qFormat/>
    <w:uiPriority w:val="99"/>
    <w:rPr>
      <w:rFonts w:ascii="Arial" w:hAnsi="Arial"/>
      <w:color w:val="000000"/>
      <w:w w:val="80"/>
      <w:position w:val="0"/>
      <w:sz w:val="22"/>
      <w:lang w:val="en-US" w:eastAsia="en-US"/>
    </w:rPr>
  </w:style>
  <w:style w:type="character" w:customStyle="1" w:styleId="259">
    <w:name w:val="UserStyle_146"/>
    <w:autoRedefine/>
    <w:semiHidden/>
    <w:qFormat/>
    <w:uiPriority w:val="99"/>
    <w:rPr>
      <w:kern w:val="2"/>
      <w:sz w:val="24"/>
    </w:rPr>
  </w:style>
  <w:style w:type="character" w:customStyle="1" w:styleId="260">
    <w:name w:val="UserStyle_147"/>
    <w:qFormat/>
    <w:uiPriority w:val="99"/>
    <w:rPr>
      <w:rFonts w:ascii="宋体" w:hAnsi="宋体" w:eastAsia="宋体"/>
      <w:color w:val="000000"/>
      <w:kern w:val="2"/>
      <w:sz w:val="21"/>
    </w:rPr>
  </w:style>
  <w:style w:type="character" w:customStyle="1" w:styleId="261">
    <w:name w:val="UserStyle_148"/>
    <w:semiHidden/>
    <w:qFormat/>
    <w:uiPriority w:val="99"/>
    <w:rPr>
      <w:rFonts w:ascii="Cambria" w:hAnsi="Cambria" w:eastAsia="宋体"/>
      <w:sz w:val="24"/>
    </w:rPr>
  </w:style>
  <w:style w:type="character" w:customStyle="1" w:styleId="262">
    <w:name w:val="UserStyle_149"/>
    <w:link w:val="263"/>
    <w:qFormat/>
    <w:locked/>
    <w:uiPriority w:val="99"/>
    <w:rPr>
      <w:kern w:val="2"/>
      <w:sz w:val="18"/>
    </w:rPr>
  </w:style>
  <w:style w:type="paragraph" w:customStyle="1" w:styleId="263">
    <w:name w:val="FootnoteText"/>
    <w:basedOn w:val="1"/>
    <w:link w:val="262"/>
    <w:qFormat/>
    <w:uiPriority w:val="99"/>
    <w:pPr>
      <w:snapToGrid w:val="0"/>
      <w:jc w:val="left"/>
    </w:pPr>
    <w:rPr>
      <w:rFonts w:ascii="Calibri" w:hAnsi="Calibri"/>
      <w:sz w:val="18"/>
      <w:szCs w:val="20"/>
    </w:rPr>
  </w:style>
  <w:style w:type="character" w:customStyle="1" w:styleId="264">
    <w:name w:val="UserStyle_150"/>
    <w:link w:val="265"/>
    <w:qFormat/>
    <w:locked/>
    <w:uiPriority w:val="99"/>
    <w:rPr>
      <w:rFonts w:ascii="宋体" w:eastAsia="宋体"/>
      <w:color w:val="000000"/>
      <w:sz w:val="24"/>
    </w:rPr>
  </w:style>
  <w:style w:type="paragraph" w:customStyle="1" w:styleId="265">
    <w:name w:val="UserStyle_151"/>
    <w:basedOn w:val="1"/>
    <w:link w:val="264"/>
    <w:autoRedefine/>
    <w:qFormat/>
    <w:uiPriority w:val="99"/>
    <w:pPr>
      <w:tabs>
        <w:tab w:val="left" w:pos="576"/>
        <w:tab w:val="left" w:pos="8222"/>
      </w:tabs>
      <w:snapToGrid w:val="0"/>
      <w:spacing w:line="440" w:lineRule="atLeast"/>
      <w:ind w:firstLine="480" w:firstLineChars="200"/>
    </w:pPr>
    <w:rPr>
      <w:rFonts w:ascii="宋体" w:hAnsi="Calibri"/>
      <w:color w:val="000000"/>
      <w:kern w:val="0"/>
      <w:sz w:val="24"/>
      <w:szCs w:val="20"/>
    </w:rPr>
  </w:style>
  <w:style w:type="character" w:customStyle="1" w:styleId="266">
    <w:name w:val="UserStyle_152"/>
    <w:link w:val="267"/>
    <w:qFormat/>
    <w:locked/>
    <w:uiPriority w:val="99"/>
    <w:rPr>
      <w:rFonts w:eastAsia="宋体"/>
      <w:kern w:val="2"/>
      <w:sz w:val="24"/>
      <w:lang w:val="en-US" w:eastAsia="zh-CN"/>
    </w:rPr>
  </w:style>
  <w:style w:type="paragraph" w:customStyle="1" w:styleId="267">
    <w:name w:val="NormalIndent"/>
    <w:basedOn w:val="1"/>
    <w:link w:val="266"/>
    <w:autoRedefine/>
    <w:qFormat/>
    <w:uiPriority w:val="99"/>
    <w:pPr>
      <w:ind w:firstLine="420" w:firstLineChars="200"/>
    </w:pPr>
    <w:rPr>
      <w:rFonts w:ascii="Calibri" w:hAnsi="Calibri"/>
      <w:sz w:val="24"/>
      <w:szCs w:val="20"/>
    </w:rPr>
  </w:style>
  <w:style w:type="character" w:customStyle="1" w:styleId="268">
    <w:name w:val="UserStyle_153"/>
    <w:qFormat/>
    <w:uiPriority w:val="99"/>
    <w:rPr>
      <w:rFonts w:ascii="PMingLiUfalt" w:hAnsi="PMingLiUfalt" w:eastAsia="PMingLiUfalt"/>
      <w:color w:val="000000"/>
      <w:position w:val="0"/>
      <w:sz w:val="26"/>
      <w:lang w:val="zh-CN" w:eastAsia="zh-CN"/>
    </w:rPr>
  </w:style>
  <w:style w:type="character" w:customStyle="1" w:styleId="269">
    <w:name w:val="UserStyle_154"/>
    <w:autoRedefine/>
    <w:qFormat/>
    <w:uiPriority w:val="99"/>
    <w:rPr>
      <w:rFonts w:ascii="Arial" w:hAnsi="Arial"/>
      <w:sz w:val="20"/>
    </w:rPr>
  </w:style>
  <w:style w:type="character" w:customStyle="1" w:styleId="270">
    <w:name w:val="UserStyle_155"/>
    <w:autoRedefine/>
    <w:qFormat/>
    <w:uiPriority w:val="99"/>
    <w:rPr>
      <w:rFonts w:ascii="宋体" w:hAnsi="Courier New" w:eastAsia="宋体"/>
      <w:kern w:val="2"/>
      <w:sz w:val="21"/>
      <w:lang w:val="en-US" w:eastAsia="zh-CN"/>
    </w:rPr>
  </w:style>
  <w:style w:type="character" w:customStyle="1" w:styleId="271">
    <w:name w:val="UserStyle_156"/>
    <w:link w:val="272"/>
    <w:autoRedefine/>
    <w:qFormat/>
    <w:locked/>
    <w:uiPriority w:val="99"/>
    <w:rPr>
      <w:kern w:val="2"/>
      <w:sz w:val="24"/>
    </w:rPr>
  </w:style>
  <w:style w:type="paragraph" w:customStyle="1" w:styleId="272">
    <w:name w:val="UserStyle_157"/>
    <w:basedOn w:val="273"/>
    <w:link w:val="271"/>
    <w:autoRedefine/>
    <w:qFormat/>
    <w:uiPriority w:val="99"/>
    <w:pPr>
      <w:tabs>
        <w:tab w:val="left" w:pos="420"/>
      </w:tabs>
      <w:spacing w:line="500" w:lineRule="exact"/>
      <w:ind w:firstLine="0" w:firstLineChars="0"/>
    </w:pPr>
    <w:rPr>
      <w:rFonts w:ascii="Calibri" w:hAnsi="Calibri"/>
      <w:sz w:val="24"/>
    </w:rPr>
  </w:style>
  <w:style w:type="paragraph" w:customStyle="1" w:styleId="273">
    <w:name w:val="179"/>
    <w:basedOn w:val="1"/>
    <w:autoRedefine/>
    <w:qFormat/>
    <w:uiPriority w:val="99"/>
    <w:pPr>
      <w:ind w:firstLine="420" w:firstLineChars="200"/>
    </w:pPr>
    <w:rPr>
      <w:szCs w:val="20"/>
    </w:rPr>
  </w:style>
  <w:style w:type="character" w:customStyle="1" w:styleId="274">
    <w:name w:val="UserStyle_158"/>
    <w:semiHidden/>
    <w:qFormat/>
    <w:uiPriority w:val="99"/>
    <w:rPr>
      <w:kern w:val="2"/>
      <w:sz w:val="24"/>
    </w:rPr>
  </w:style>
  <w:style w:type="character" w:customStyle="1" w:styleId="275">
    <w:name w:val="UserStyle_159"/>
    <w:link w:val="276"/>
    <w:qFormat/>
    <w:locked/>
    <w:uiPriority w:val="99"/>
    <w:rPr>
      <w:rFonts w:ascii="Times New Roman" w:hAnsi="Times New Roman"/>
      <w:b/>
      <w:kern w:val="2"/>
      <w:sz w:val="24"/>
      <w:lang w:val="en-US" w:eastAsia="zh-CN"/>
    </w:rPr>
  </w:style>
  <w:style w:type="paragraph" w:customStyle="1" w:styleId="276">
    <w:name w:val="UserStyle_160"/>
    <w:link w:val="275"/>
    <w:qFormat/>
    <w:uiPriority w:val="99"/>
    <w:pPr>
      <w:spacing w:line="360" w:lineRule="auto"/>
      <w:ind w:left="600"/>
      <w:jc w:val="center"/>
      <w:textAlignment w:val="baseline"/>
    </w:pPr>
    <w:rPr>
      <w:rFonts w:ascii="Times New Roman" w:hAnsi="Times New Roman" w:eastAsia="宋体" w:cs="Times New Roman"/>
      <w:b/>
      <w:kern w:val="2"/>
      <w:sz w:val="24"/>
      <w:lang w:val="en-US" w:eastAsia="zh-CN" w:bidi="ar-SA"/>
    </w:rPr>
  </w:style>
  <w:style w:type="character" w:customStyle="1" w:styleId="277">
    <w:name w:val="UserStyle_161"/>
    <w:autoRedefine/>
    <w:qFormat/>
    <w:uiPriority w:val="99"/>
    <w:rPr>
      <w:rFonts w:ascii="宋体" w:hAnsi="宋体" w:eastAsia="宋体"/>
      <w:sz w:val="21"/>
      <w:lang w:val="en-US" w:eastAsia="zh-CN"/>
    </w:rPr>
  </w:style>
  <w:style w:type="character" w:customStyle="1" w:styleId="278">
    <w:name w:val="UserStyle_162"/>
    <w:autoRedefine/>
    <w:qFormat/>
    <w:uiPriority w:val="99"/>
  </w:style>
  <w:style w:type="character" w:customStyle="1" w:styleId="279">
    <w:name w:val="UserStyle_163"/>
    <w:link w:val="280"/>
    <w:qFormat/>
    <w:locked/>
    <w:uiPriority w:val="99"/>
    <w:rPr>
      <w:rFonts w:ascii="Arial" w:hAnsi="Arial" w:eastAsia="仿宋_GB2312"/>
      <w:kern w:val="2"/>
      <w:sz w:val="18"/>
      <w:lang w:val="en-US" w:eastAsia="zh-CN"/>
    </w:rPr>
  </w:style>
  <w:style w:type="paragraph" w:customStyle="1" w:styleId="280">
    <w:name w:val="Acetate"/>
    <w:basedOn w:val="1"/>
    <w:link w:val="279"/>
    <w:autoRedefine/>
    <w:qFormat/>
    <w:uiPriority w:val="99"/>
    <w:pPr>
      <w:snapToGrid w:val="0"/>
      <w:spacing w:line="480" w:lineRule="exact"/>
      <w:ind w:firstLine="567"/>
    </w:pPr>
    <w:rPr>
      <w:rFonts w:ascii="Arial" w:hAnsi="Arial" w:eastAsia="仿宋_GB2312"/>
      <w:sz w:val="18"/>
      <w:szCs w:val="20"/>
    </w:rPr>
  </w:style>
  <w:style w:type="character" w:customStyle="1" w:styleId="281">
    <w:name w:val="UserStyle_164"/>
    <w:qFormat/>
    <w:uiPriority w:val="99"/>
    <w:rPr>
      <w:rFonts w:ascii="宋体" w:hAnsi="宋体" w:eastAsia="宋体"/>
      <w:color w:val="000000"/>
      <w:kern w:val="2"/>
      <w:sz w:val="24"/>
      <w:lang w:val="en-US" w:eastAsia="zh-CN"/>
    </w:rPr>
  </w:style>
  <w:style w:type="character" w:customStyle="1" w:styleId="282">
    <w:name w:val="UserStyle_165"/>
    <w:autoRedefine/>
    <w:qFormat/>
    <w:uiPriority w:val="99"/>
    <w:rPr>
      <w:rFonts w:ascii="宋体" w:hAnsi="Courier New" w:eastAsia="宋体"/>
      <w:kern w:val="2"/>
      <w:sz w:val="21"/>
      <w:lang w:val="en-US" w:eastAsia="zh-CN"/>
    </w:rPr>
  </w:style>
  <w:style w:type="character" w:customStyle="1" w:styleId="283">
    <w:name w:val="UserStyle_166"/>
    <w:qFormat/>
    <w:uiPriority w:val="99"/>
    <w:rPr>
      <w:rFonts w:ascii="宋体" w:hAnsi="宋体" w:eastAsia="宋体"/>
      <w:b/>
      <w:sz w:val="28"/>
    </w:rPr>
  </w:style>
  <w:style w:type="character" w:customStyle="1" w:styleId="284">
    <w:name w:val="UserStyle_167"/>
    <w:link w:val="285"/>
    <w:autoRedefine/>
    <w:qFormat/>
    <w:locked/>
    <w:uiPriority w:val="99"/>
    <w:rPr>
      <w:rFonts w:eastAsia="宋体"/>
      <w:kern w:val="2"/>
      <w:sz w:val="24"/>
      <w:lang w:val="en-US" w:eastAsia="zh-CN"/>
    </w:rPr>
  </w:style>
  <w:style w:type="paragraph" w:customStyle="1" w:styleId="285">
    <w:name w:val="BodyTextIndent2"/>
    <w:basedOn w:val="1"/>
    <w:link w:val="284"/>
    <w:autoRedefine/>
    <w:qFormat/>
    <w:uiPriority w:val="99"/>
    <w:pPr>
      <w:spacing w:line="360" w:lineRule="auto"/>
      <w:ind w:left="180"/>
    </w:pPr>
    <w:rPr>
      <w:rFonts w:ascii="Calibri" w:hAnsi="Calibri"/>
      <w:sz w:val="24"/>
      <w:szCs w:val="20"/>
    </w:rPr>
  </w:style>
  <w:style w:type="character" w:customStyle="1" w:styleId="286">
    <w:name w:val="UserStyle_168"/>
    <w:autoRedefine/>
    <w:qFormat/>
    <w:uiPriority w:val="99"/>
    <w:rPr>
      <w:rFonts w:eastAsia="宋体"/>
      <w:b/>
      <w:kern w:val="2"/>
      <w:sz w:val="24"/>
      <w:lang w:val="en-US" w:eastAsia="zh-CN"/>
    </w:rPr>
  </w:style>
  <w:style w:type="character" w:customStyle="1" w:styleId="287">
    <w:name w:val="UserStyle_169"/>
    <w:qFormat/>
    <w:uiPriority w:val="99"/>
    <w:rPr>
      <w:rFonts w:ascii="宋体" w:hAnsi="宋体" w:eastAsia="宋体"/>
      <w:i/>
      <w:color w:val="FF0000"/>
      <w:sz w:val="24"/>
      <w:lang w:val="en-US" w:eastAsia="zh-CN"/>
    </w:rPr>
  </w:style>
  <w:style w:type="character" w:customStyle="1" w:styleId="288">
    <w:name w:val="UserStyle_170"/>
    <w:qFormat/>
    <w:uiPriority w:val="99"/>
    <w:rPr>
      <w:rFonts w:ascii="PMingLiUfalt" w:hAnsi="PMingLiUfalt" w:eastAsia="PMingLiUfalt"/>
      <w:color w:val="000000"/>
      <w:spacing w:val="120"/>
      <w:position w:val="0"/>
      <w:sz w:val="22"/>
      <w:lang w:val="zh-CN" w:eastAsia="zh-CN"/>
    </w:rPr>
  </w:style>
  <w:style w:type="character" w:customStyle="1" w:styleId="289">
    <w:name w:val="UserStyle_171"/>
    <w:qFormat/>
    <w:uiPriority w:val="99"/>
    <w:rPr>
      <w:rFonts w:eastAsia="宋体"/>
      <w:kern w:val="2"/>
      <w:sz w:val="28"/>
      <w:lang w:val="en-US" w:eastAsia="zh-CN"/>
    </w:rPr>
  </w:style>
  <w:style w:type="character" w:customStyle="1" w:styleId="290">
    <w:name w:val="UserStyle_172"/>
    <w:qFormat/>
    <w:uiPriority w:val="99"/>
    <w:rPr>
      <w:rFonts w:ascii="..ì." w:eastAsia="..ì."/>
      <w:color w:val="000000"/>
      <w:sz w:val="24"/>
    </w:rPr>
  </w:style>
  <w:style w:type="character" w:customStyle="1" w:styleId="291">
    <w:name w:val="UserStyle_173"/>
    <w:semiHidden/>
    <w:qFormat/>
    <w:uiPriority w:val="99"/>
    <w:rPr>
      <w:kern w:val="2"/>
      <w:sz w:val="18"/>
    </w:rPr>
  </w:style>
  <w:style w:type="character" w:customStyle="1" w:styleId="292">
    <w:name w:val="UserStyle_174"/>
    <w:link w:val="293"/>
    <w:qFormat/>
    <w:locked/>
    <w:uiPriority w:val="99"/>
    <w:rPr>
      <w:rFonts w:ascii="宋体" w:eastAsia="宋体"/>
      <w:sz w:val="24"/>
    </w:rPr>
  </w:style>
  <w:style w:type="paragraph" w:customStyle="1" w:styleId="293">
    <w:name w:val="UserStyle_175"/>
    <w:basedOn w:val="183"/>
    <w:link w:val="292"/>
    <w:qFormat/>
    <w:uiPriority w:val="99"/>
    <w:pPr>
      <w:spacing w:line="500" w:lineRule="exact"/>
      <w:ind w:firstLine="200" w:firstLineChars="200"/>
    </w:pPr>
    <w:rPr>
      <w:rFonts w:hAnsi="Calibri"/>
      <w:kern w:val="0"/>
      <w:sz w:val="24"/>
    </w:rPr>
  </w:style>
  <w:style w:type="character" w:customStyle="1" w:styleId="294">
    <w:name w:val="UserStyle_176"/>
    <w:qFormat/>
    <w:uiPriority w:val="99"/>
    <w:rPr>
      <w:rFonts w:ascii="PMingLiUfalt" w:hAnsi="PMingLiUfalt" w:eastAsia="PMingLiUfalt"/>
      <w:color w:val="000000"/>
      <w:position w:val="0"/>
      <w:sz w:val="22"/>
      <w:lang w:val="zh-CN" w:eastAsia="zh-CN"/>
    </w:rPr>
  </w:style>
  <w:style w:type="character" w:customStyle="1" w:styleId="295">
    <w:name w:val="UserStyle_177"/>
    <w:link w:val="296"/>
    <w:autoRedefine/>
    <w:qFormat/>
    <w:locked/>
    <w:uiPriority w:val="99"/>
    <w:rPr>
      <w:lang w:val="en-US" w:eastAsia="en-US"/>
    </w:rPr>
  </w:style>
  <w:style w:type="paragraph" w:customStyle="1" w:styleId="296">
    <w:name w:val="UserStyle_178"/>
    <w:basedOn w:val="1"/>
    <w:link w:val="295"/>
    <w:autoRedefine/>
    <w:qFormat/>
    <w:uiPriority w:val="99"/>
    <w:pPr>
      <w:shd w:val="clear" w:color="auto" w:fill="FFFFFF"/>
      <w:spacing w:after="200" w:line="266" w:lineRule="exact"/>
      <w:ind w:firstLine="580"/>
    </w:pPr>
    <w:rPr>
      <w:rFonts w:ascii="Calibri" w:hAnsi="Calibri"/>
      <w:kern w:val="0"/>
      <w:sz w:val="20"/>
      <w:szCs w:val="20"/>
      <w:lang w:eastAsia="en-US"/>
    </w:rPr>
  </w:style>
  <w:style w:type="character" w:customStyle="1" w:styleId="297">
    <w:name w:val="UserStyle_179"/>
    <w:link w:val="298"/>
    <w:autoRedefine/>
    <w:qFormat/>
    <w:locked/>
    <w:uiPriority w:val="99"/>
    <w:rPr>
      <w:sz w:val="21"/>
    </w:rPr>
  </w:style>
  <w:style w:type="paragraph" w:customStyle="1" w:styleId="298">
    <w:name w:val="UserStyle_180"/>
    <w:basedOn w:val="1"/>
    <w:link w:val="297"/>
    <w:autoRedefine/>
    <w:qFormat/>
    <w:uiPriority w:val="99"/>
    <w:pPr>
      <w:spacing w:line="300" w:lineRule="auto"/>
      <w:jc w:val="center"/>
    </w:pPr>
    <w:rPr>
      <w:rFonts w:ascii="Calibri" w:hAnsi="Calibri"/>
      <w:kern w:val="0"/>
      <w:szCs w:val="20"/>
    </w:rPr>
  </w:style>
  <w:style w:type="character" w:customStyle="1" w:styleId="299">
    <w:name w:val="UserStyle_181"/>
    <w:autoRedefine/>
    <w:qFormat/>
    <w:uiPriority w:val="99"/>
    <w:rPr>
      <w:rFonts w:ascii="Arial" w:hAnsi="Arial" w:eastAsia="黑体"/>
      <w:sz w:val="21"/>
    </w:rPr>
  </w:style>
  <w:style w:type="character" w:customStyle="1" w:styleId="300">
    <w:name w:val="UserStyle_182"/>
    <w:qFormat/>
    <w:uiPriority w:val="99"/>
    <w:rPr>
      <w:b/>
      <w:sz w:val="24"/>
    </w:rPr>
  </w:style>
  <w:style w:type="character" w:customStyle="1" w:styleId="301">
    <w:name w:val="UserStyle_183"/>
    <w:autoRedefine/>
    <w:qFormat/>
    <w:uiPriority w:val="99"/>
    <w:rPr>
      <w:rFonts w:ascii="宋体" w:hAnsi="Arial" w:eastAsia="宋体"/>
      <w:kern w:val="2"/>
      <w:position w:val="-6"/>
      <w:sz w:val="32"/>
      <w:lang w:val="en-US" w:eastAsia="zh-CN"/>
    </w:rPr>
  </w:style>
  <w:style w:type="character" w:customStyle="1" w:styleId="302">
    <w:name w:val="UserStyle_184"/>
    <w:autoRedefine/>
    <w:qFormat/>
    <w:uiPriority w:val="99"/>
    <w:rPr>
      <w:rFonts w:ascii="Arial" w:hAnsi="Arial" w:eastAsia="宋体"/>
      <w:kern w:val="2"/>
      <w:sz w:val="24"/>
      <w:lang w:val="en-US" w:eastAsia="zh-CN"/>
    </w:rPr>
  </w:style>
  <w:style w:type="character" w:customStyle="1" w:styleId="303">
    <w:name w:val="UserStyle_185"/>
    <w:autoRedefine/>
    <w:qFormat/>
    <w:uiPriority w:val="99"/>
    <w:rPr>
      <w:sz w:val="21"/>
    </w:rPr>
  </w:style>
  <w:style w:type="character" w:customStyle="1" w:styleId="304">
    <w:name w:val="UserStyle_186"/>
    <w:qFormat/>
    <w:uiPriority w:val="99"/>
  </w:style>
  <w:style w:type="character" w:customStyle="1" w:styleId="305">
    <w:name w:val="UserStyle_187"/>
    <w:autoRedefine/>
    <w:qFormat/>
    <w:uiPriority w:val="99"/>
    <w:rPr>
      <w:rFonts w:eastAsia="宋体"/>
      <w:b/>
      <w:kern w:val="44"/>
      <w:sz w:val="32"/>
      <w:lang w:val="en-US" w:eastAsia="zh-CN"/>
    </w:rPr>
  </w:style>
  <w:style w:type="character" w:customStyle="1" w:styleId="306">
    <w:name w:val="UserStyle_188"/>
    <w:autoRedefine/>
    <w:qFormat/>
    <w:uiPriority w:val="99"/>
    <w:rPr>
      <w:rFonts w:eastAsia="宋体"/>
      <w:kern w:val="2"/>
      <w:sz w:val="32"/>
      <w:lang w:val="en-US" w:eastAsia="zh-CN"/>
    </w:rPr>
  </w:style>
  <w:style w:type="character" w:customStyle="1" w:styleId="307">
    <w:name w:val="UserStyle_189"/>
    <w:link w:val="308"/>
    <w:autoRedefine/>
    <w:qFormat/>
    <w:locked/>
    <w:uiPriority w:val="99"/>
    <w:rPr>
      <w:sz w:val="21"/>
    </w:rPr>
  </w:style>
  <w:style w:type="paragraph" w:customStyle="1" w:styleId="308">
    <w:name w:val="UserStyle_190"/>
    <w:basedOn w:val="1"/>
    <w:link w:val="307"/>
    <w:autoRedefine/>
    <w:qFormat/>
    <w:uiPriority w:val="99"/>
    <w:pPr>
      <w:spacing w:line="420" w:lineRule="atLeast"/>
      <w:jc w:val="left"/>
    </w:pPr>
    <w:rPr>
      <w:rFonts w:ascii="Calibri" w:hAnsi="Calibri"/>
      <w:kern w:val="0"/>
      <w:szCs w:val="20"/>
    </w:rPr>
  </w:style>
  <w:style w:type="character" w:customStyle="1" w:styleId="309">
    <w:name w:val="UserStyle_191"/>
    <w:autoRedefine/>
    <w:qFormat/>
    <w:uiPriority w:val="99"/>
    <w:rPr>
      <w:rFonts w:ascii="Times New Roman" w:hAnsi="Times New Roman"/>
      <w:b/>
      <w:color w:val="000000"/>
      <w:position w:val="0"/>
      <w:sz w:val="10"/>
      <w:lang w:val="en-US" w:eastAsia="en-US"/>
    </w:rPr>
  </w:style>
  <w:style w:type="character" w:customStyle="1" w:styleId="310">
    <w:name w:val="UserStyle_192"/>
    <w:link w:val="311"/>
    <w:autoRedefine/>
    <w:qFormat/>
    <w:locked/>
    <w:uiPriority w:val="99"/>
    <w:rPr>
      <w:rFonts w:ascii="宋体" w:hAnsi="宋体" w:eastAsia="宋体"/>
      <w:kern w:val="2"/>
      <w:sz w:val="21"/>
      <w:lang w:val="en-US" w:eastAsia="zh-CN"/>
    </w:rPr>
  </w:style>
  <w:style w:type="paragraph" w:customStyle="1" w:styleId="311">
    <w:name w:val="BodyText1I2"/>
    <w:basedOn w:val="312"/>
    <w:link w:val="310"/>
    <w:qFormat/>
    <w:uiPriority w:val="99"/>
    <w:pPr>
      <w:spacing w:after="120" w:line="312" w:lineRule="atLeast"/>
      <w:ind w:left="420" w:firstLine="0" w:firstLineChars="0"/>
    </w:pPr>
    <w:rPr>
      <w:sz w:val="21"/>
    </w:rPr>
  </w:style>
  <w:style w:type="paragraph" w:customStyle="1" w:styleId="312">
    <w:name w:val="BodyTextIndent"/>
    <w:basedOn w:val="1"/>
    <w:next w:val="313"/>
    <w:link w:val="369"/>
    <w:autoRedefine/>
    <w:qFormat/>
    <w:uiPriority w:val="99"/>
    <w:pPr>
      <w:ind w:firstLine="420" w:firstLineChars="200"/>
    </w:pPr>
    <w:rPr>
      <w:rFonts w:ascii="宋体" w:hAnsi="宋体"/>
      <w:sz w:val="24"/>
      <w:szCs w:val="20"/>
    </w:rPr>
  </w:style>
  <w:style w:type="paragraph" w:customStyle="1" w:styleId="313">
    <w:name w:val="EnvelopeReturn"/>
    <w:basedOn w:val="1"/>
    <w:autoRedefine/>
    <w:qFormat/>
    <w:uiPriority w:val="99"/>
    <w:pPr>
      <w:snapToGrid w:val="0"/>
    </w:pPr>
    <w:rPr>
      <w:rFonts w:ascii="Arial" w:hAnsi="Arial"/>
    </w:rPr>
  </w:style>
  <w:style w:type="character" w:customStyle="1" w:styleId="314">
    <w:name w:val="UserStyle_193"/>
    <w:link w:val="315"/>
    <w:autoRedefine/>
    <w:qFormat/>
    <w:locked/>
    <w:uiPriority w:val="99"/>
    <w:rPr>
      <w:rFonts w:eastAsia="宋体"/>
      <w:kern w:val="2"/>
      <w:sz w:val="28"/>
      <w:lang w:val="en-US" w:eastAsia="zh-CN"/>
    </w:rPr>
  </w:style>
  <w:style w:type="paragraph" w:customStyle="1" w:styleId="315">
    <w:name w:val="UserStyle_194"/>
    <w:basedOn w:val="1"/>
    <w:link w:val="314"/>
    <w:autoRedefine/>
    <w:qFormat/>
    <w:uiPriority w:val="99"/>
    <w:pPr>
      <w:spacing w:line="480" w:lineRule="exact"/>
      <w:ind w:firstLine="200" w:firstLineChars="200"/>
    </w:pPr>
    <w:rPr>
      <w:rFonts w:ascii="Calibri" w:hAnsi="Calibri"/>
      <w:sz w:val="28"/>
      <w:szCs w:val="20"/>
    </w:rPr>
  </w:style>
  <w:style w:type="character" w:customStyle="1" w:styleId="316">
    <w:name w:val="UserStyle_195"/>
    <w:autoRedefine/>
    <w:qFormat/>
    <w:uiPriority w:val="99"/>
  </w:style>
  <w:style w:type="character" w:customStyle="1" w:styleId="317">
    <w:name w:val="UserStyle_196"/>
    <w:autoRedefine/>
    <w:qFormat/>
    <w:uiPriority w:val="99"/>
    <w:rPr>
      <w:sz w:val="18"/>
    </w:rPr>
  </w:style>
  <w:style w:type="character" w:customStyle="1" w:styleId="318">
    <w:name w:val="UserStyle_197"/>
    <w:link w:val="319"/>
    <w:autoRedefine/>
    <w:qFormat/>
    <w:locked/>
    <w:uiPriority w:val="99"/>
    <w:rPr>
      <w:rFonts w:ascii="宋体" w:hAnsi="宋体" w:eastAsia="宋体"/>
      <w:color w:val="000000"/>
      <w:kern w:val="2"/>
      <w:sz w:val="24"/>
      <w:lang w:val="en-US" w:eastAsia="zh-CN"/>
    </w:rPr>
  </w:style>
  <w:style w:type="paragraph" w:customStyle="1" w:styleId="319">
    <w:name w:val="BodyText1I"/>
    <w:basedOn w:val="85"/>
    <w:link w:val="318"/>
    <w:autoRedefine/>
    <w:qFormat/>
    <w:uiPriority w:val="99"/>
    <w:pPr>
      <w:spacing w:after="120" w:line="240" w:lineRule="auto"/>
      <w:ind w:firstLine="420" w:firstLineChars="100"/>
    </w:pPr>
  </w:style>
  <w:style w:type="character" w:customStyle="1" w:styleId="320">
    <w:name w:val="UserStyle_198"/>
    <w:autoRedefine/>
    <w:qFormat/>
    <w:uiPriority w:val="99"/>
    <w:rPr>
      <w:rFonts w:ascii="Arial" w:hAnsi="Arial" w:eastAsia="黑体"/>
      <w:sz w:val="24"/>
      <w:lang w:val="en-US" w:eastAsia="zh-CN"/>
    </w:rPr>
  </w:style>
  <w:style w:type="character" w:customStyle="1" w:styleId="321">
    <w:name w:val="UserStyle_199"/>
    <w:autoRedefine/>
    <w:qFormat/>
    <w:uiPriority w:val="99"/>
    <w:rPr>
      <w:rFonts w:eastAsia="宋体"/>
      <w:sz w:val="16"/>
      <w:lang w:val="en-US" w:eastAsia="zh-CN"/>
    </w:rPr>
  </w:style>
  <w:style w:type="character" w:customStyle="1" w:styleId="322">
    <w:name w:val="UserStyle_200"/>
    <w:link w:val="93"/>
    <w:autoRedefine/>
    <w:qFormat/>
    <w:locked/>
    <w:uiPriority w:val="99"/>
    <w:rPr>
      <w:rFonts w:ascii="Arial" w:hAnsi="Arial" w:eastAsia="黑体"/>
      <w:sz w:val="24"/>
    </w:rPr>
  </w:style>
  <w:style w:type="character" w:customStyle="1" w:styleId="323">
    <w:name w:val="UserStyle_201"/>
    <w:link w:val="324"/>
    <w:autoRedefine/>
    <w:qFormat/>
    <w:locked/>
    <w:uiPriority w:val="99"/>
    <w:rPr>
      <w:kern w:val="2"/>
      <w:sz w:val="24"/>
    </w:rPr>
  </w:style>
  <w:style w:type="paragraph" w:customStyle="1" w:styleId="324">
    <w:name w:val="UserStyle_202"/>
    <w:basedOn w:val="1"/>
    <w:next w:val="238"/>
    <w:link w:val="323"/>
    <w:autoRedefine/>
    <w:qFormat/>
    <w:uiPriority w:val="99"/>
    <w:pPr>
      <w:snapToGrid w:val="0"/>
      <w:spacing w:line="520" w:lineRule="atLeast"/>
      <w:ind w:firstLine="549" w:firstLineChars="200"/>
    </w:pPr>
    <w:rPr>
      <w:rFonts w:ascii="Calibri" w:hAnsi="Calibri"/>
      <w:sz w:val="24"/>
      <w:szCs w:val="20"/>
    </w:rPr>
  </w:style>
  <w:style w:type="character" w:customStyle="1" w:styleId="325">
    <w:name w:val="UserStyle_203"/>
    <w:autoRedefine/>
    <w:qFormat/>
    <w:uiPriority w:val="99"/>
    <w:rPr>
      <w:rFonts w:eastAsia="宋体"/>
      <w:b/>
      <w:sz w:val="24"/>
      <w:lang w:val="en-US" w:eastAsia="zh-CN"/>
    </w:rPr>
  </w:style>
  <w:style w:type="character" w:customStyle="1" w:styleId="326">
    <w:name w:val="UserStyle_204"/>
    <w:autoRedefine/>
    <w:qFormat/>
    <w:uiPriority w:val="99"/>
    <w:rPr>
      <w:rFonts w:ascii="PMingLiUfalt" w:hAnsi="PMingLiUfalt" w:eastAsia="PMingLiUfalt"/>
      <w:color w:val="000000"/>
      <w:spacing w:val="150"/>
      <w:position w:val="0"/>
      <w:sz w:val="22"/>
      <w:lang w:val="zh-CN" w:eastAsia="zh-CN"/>
    </w:rPr>
  </w:style>
  <w:style w:type="character" w:customStyle="1" w:styleId="327">
    <w:name w:val="UserStyle_205"/>
    <w:autoRedefine/>
    <w:qFormat/>
    <w:uiPriority w:val="99"/>
    <w:rPr>
      <w:rFonts w:ascii="PMingLiUfalt" w:hAnsi="PMingLiUfalt" w:eastAsia="PMingLiUfalt"/>
      <w:color w:val="000000"/>
      <w:spacing w:val="130"/>
      <w:position w:val="0"/>
      <w:sz w:val="26"/>
      <w:lang w:val="zh-CN" w:eastAsia="zh-CN"/>
    </w:rPr>
  </w:style>
  <w:style w:type="character" w:customStyle="1" w:styleId="328">
    <w:name w:val="UserStyle_206"/>
    <w:link w:val="89"/>
    <w:autoRedefine/>
    <w:qFormat/>
    <w:locked/>
    <w:uiPriority w:val="99"/>
    <w:rPr>
      <w:rFonts w:ascii="Arial" w:hAnsi="Arial" w:eastAsia="黑体"/>
      <w:b/>
      <w:sz w:val="28"/>
    </w:rPr>
  </w:style>
  <w:style w:type="character" w:customStyle="1" w:styleId="329">
    <w:name w:val="UserStyle_207"/>
    <w:link w:val="330"/>
    <w:autoRedefine/>
    <w:qFormat/>
    <w:locked/>
    <w:uiPriority w:val="99"/>
    <w:rPr>
      <w:rFonts w:eastAsia="宋体"/>
      <w:kern w:val="2"/>
      <w:sz w:val="16"/>
      <w:lang w:val="en-US" w:eastAsia="zh-CN"/>
    </w:rPr>
  </w:style>
  <w:style w:type="paragraph" w:customStyle="1" w:styleId="330">
    <w:name w:val="BodyText3"/>
    <w:basedOn w:val="1"/>
    <w:link w:val="329"/>
    <w:autoRedefine/>
    <w:qFormat/>
    <w:uiPriority w:val="99"/>
    <w:pPr>
      <w:spacing w:after="120"/>
    </w:pPr>
    <w:rPr>
      <w:rFonts w:ascii="Calibri" w:hAnsi="Calibri"/>
      <w:sz w:val="16"/>
      <w:szCs w:val="20"/>
    </w:rPr>
  </w:style>
  <w:style w:type="character" w:customStyle="1" w:styleId="331">
    <w:name w:val="UserStyle_208"/>
    <w:autoRedefine/>
    <w:qFormat/>
    <w:uiPriority w:val="99"/>
    <w:rPr>
      <w:rFonts w:ascii="Arial" w:hAnsi="Arial"/>
      <w:b/>
      <w:color w:val="000000"/>
      <w:position w:val="0"/>
      <w:sz w:val="21"/>
      <w:lang w:val="en-US" w:eastAsia="en-US"/>
    </w:rPr>
  </w:style>
  <w:style w:type="character" w:customStyle="1" w:styleId="332">
    <w:name w:val="UserStyle_209"/>
    <w:autoRedefine/>
    <w:qFormat/>
    <w:uiPriority w:val="99"/>
    <w:rPr>
      <w:rFonts w:ascii="黑体" w:hAnsi="Arial" w:eastAsia="黑体"/>
      <w:sz w:val="32"/>
      <w:lang w:val="en-US" w:eastAsia="zh-CN"/>
    </w:rPr>
  </w:style>
  <w:style w:type="character" w:customStyle="1" w:styleId="333">
    <w:name w:val="UserStyle_210"/>
    <w:autoRedefine/>
    <w:qFormat/>
    <w:uiPriority w:val="99"/>
    <w:rPr>
      <w:rFonts w:ascii="宋体" w:hAnsi="宋体" w:eastAsia="宋体"/>
      <w:i/>
      <w:color w:val="000000"/>
      <w:position w:val="0"/>
      <w:sz w:val="26"/>
      <w:lang w:val="zh-CN" w:eastAsia="zh-CN"/>
    </w:rPr>
  </w:style>
  <w:style w:type="character" w:customStyle="1" w:styleId="334">
    <w:name w:val="UserStyle_211"/>
    <w:autoRedefine/>
    <w:qFormat/>
    <w:uiPriority w:val="99"/>
    <w:rPr>
      <w:rFonts w:ascii="PMingLiUfalt" w:hAnsi="PMingLiUfalt" w:eastAsia="PMingLiUfalt"/>
      <w:color w:val="000000"/>
      <w:spacing w:val="40"/>
      <w:position w:val="0"/>
      <w:sz w:val="22"/>
      <w:lang w:val="zh-CN" w:eastAsia="zh-CN"/>
    </w:rPr>
  </w:style>
  <w:style w:type="character" w:customStyle="1" w:styleId="335">
    <w:name w:val="UserStyle_212"/>
    <w:autoRedefine/>
    <w:semiHidden/>
    <w:qFormat/>
    <w:uiPriority w:val="99"/>
    <w:rPr>
      <w:kern w:val="2"/>
      <w:sz w:val="18"/>
    </w:rPr>
  </w:style>
  <w:style w:type="character" w:customStyle="1" w:styleId="336">
    <w:name w:val="UserStyle_213"/>
    <w:autoRedefine/>
    <w:qFormat/>
    <w:uiPriority w:val="99"/>
    <w:rPr>
      <w:rFonts w:ascii="Times New Roman" w:hAnsi="Times New Roman"/>
      <w:i/>
      <w:color w:val="000000"/>
      <w:position w:val="0"/>
      <w:sz w:val="24"/>
      <w:lang w:val="en-US" w:eastAsia="en-US"/>
    </w:rPr>
  </w:style>
  <w:style w:type="character" w:customStyle="1" w:styleId="337">
    <w:name w:val="UserStyle_214"/>
    <w:autoRedefine/>
    <w:qFormat/>
    <w:uiPriority w:val="99"/>
    <w:rPr>
      <w:rFonts w:ascii="Arial" w:hAnsi="Arial" w:eastAsia="宋体"/>
      <w:sz w:val="24"/>
    </w:rPr>
  </w:style>
  <w:style w:type="character" w:customStyle="1" w:styleId="338">
    <w:name w:val="UserStyle_215"/>
    <w:link w:val="339"/>
    <w:autoRedefine/>
    <w:qFormat/>
    <w:locked/>
    <w:uiPriority w:val="99"/>
    <w:rPr>
      <w:rFonts w:eastAsia="宋体"/>
      <w:kern w:val="2"/>
      <w:sz w:val="24"/>
      <w:lang w:val="en-US" w:eastAsia="zh-CN"/>
    </w:rPr>
  </w:style>
  <w:style w:type="paragraph" w:customStyle="1" w:styleId="339">
    <w:name w:val="NavPane"/>
    <w:basedOn w:val="1"/>
    <w:link w:val="338"/>
    <w:autoRedefine/>
    <w:qFormat/>
    <w:uiPriority w:val="99"/>
    <w:pPr>
      <w:shd w:val="clear" w:color="auto" w:fill="000080"/>
    </w:pPr>
    <w:rPr>
      <w:rFonts w:ascii="Calibri" w:hAnsi="Calibri"/>
      <w:sz w:val="24"/>
      <w:szCs w:val="20"/>
    </w:rPr>
  </w:style>
  <w:style w:type="character" w:customStyle="1" w:styleId="340">
    <w:name w:val="UserStyle_216"/>
    <w:link w:val="341"/>
    <w:autoRedefine/>
    <w:qFormat/>
    <w:locked/>
    <w:uiPriority w:val="99"/>
    <w:rPr>
      <w:rFonts w:ascii="Arial" w:hAnsi="Arial"/>
      <w:kern w:val="2"/>
      <w:sz w:val="18"/>
    </w:rPr>
  </w:style>
  <w:style w:type="paragraph" w:customStyle="1" w:styleId="341">
    <w:name w:val="UserStyle_217"/>
    <w:basedOn w:val="1"/>
    <w:link w:val="340"/>
    <w:autoRedefine/>
    <w:qFormat/>
    <w:uiPriority w:val="99"/>
    <w:pPr>
      <w:keepNext/>
      <w:ind w:firstLine="200" w:firstLineChars="200"/>
    </w:pPr>
    <w:rPr>
      <w:rFonts w:ascii="Arial" w:hAnsi="Arial"/>
      <w:sz w:val="18"/>
      <w:szCs w:val="20"/>
    </w:rPr>
  </w:style>
  <w:style w:type="character" w:customStyle="1" w:styleId="342">
    <w:name w:val="UserStyle_218"/>
    <w:autoRedefine/>
    <w:qFormat/>
    <w:uiPriority w:val="99"/>
    <w:rPr>
      <w:rFonts w:ascii="宋体" w:hAnsi="宋体" w:eastAsia="宋体"/>
      <w:kern w:val="2"/>
      <w:sz w:val="18"/>
      <w:lang w:val="en-US" w:eastAsia="zh-CN"/>
    </w:rPr>
  </w:style>
  <w:style w:type="character" w:customStyle="1" w:styleId="343">
    <w:name w:val="UserStyle_219"/>
    <w:autoRedefine/>
    <w:qFormat/>
    <w:uiPriority w:val="99"/>
    <w:rPr>
      <w:color w:val="000033"/>
    </w:rPr>
  </w:style>
  <w:style w:type="character" w:customStyle="1" w:styleId="344">
    <w:name w:val="UserStyle_220"/>
    <w:autoRedefine/>
    <w:qFormat/>
    <w:uiPriority w:val="99"/>
    <w:rPr>
      <w:rFonts w:ascii="宋体" w:hAnsi="宋体" w:eastAsia="宋体"/>
      <w:b/>
      <w:color w:val="000000"/>
      <w:sz w:val="20"/>
    </w:rPr>
  </w:style>
  <w:style w:type="character" w:customStyle="1" w:styleId="345">
    <w:name w:val="UserStyle_221"/>
    <w:autoRedefine/>
    <w:semiHidden/>
    <w:qFormat/>
    <w:uiPriority w:val="99"/>
    <w:rPr>
      <w:rFonts w:ascii="Microsoft YaHei UI" w:eastAsia="Microsoft YaHei UI"/>
      <w:kern w:val="2"/>
      <w:sz w:val="18"/>
    </w:rPr>
  </w:style>
  <w:style w:type="character" w:customStyle="1" w:styleId="346">
    <w:name w:val="UserStyle_222"/>
    <w:autoRedefine/>
    <w:qFormat/>
    <w:uiPriority w:val="99"/>
    <w:rPr>
      <w:rFonts w:eastAsia="Times New Roman"/>
      <w:sz w:val="24"/>
      <w:lang w:val="en-US" w:eastAsia="zh-CN"/>
    </w:rPr>
  </w:style>
  <w:style w:type="character" w:customStyle="1" w:styleId="347">
    <w:name w:val="UserStyle_223"/>
    <w:autoRedefine/>
    <w:qFormat/>
    <w:uiPriority w:val="99"/>
    <w:rPr>
      <w:rFonts w:ascii="Times New Roman" w:hAnsi="Times New Roman"/>
      <w:b/>
      <w:color w:val="000000"/>
      <w:position w:val="0"/>
      <w:sz w:val="24"/>
      <w:lang w:val="en-US" w:eastAsia="en-US"/>
    </w:rPr>
  </w:style>
  <w:style w:type="character" w:customStyle="1" w:styleId="348">
    <w:name w:val="UserStyle_224"/>
    <w:link w:val="349"/>
    <w:autoRedefine/>
    <w:qFormat/>
    <w:locked/>
    <w:uiPriority w:val="99"/>
    <w:rPr>
      <w:sz w:val="24"/>
      <w:lang w:val="zh-CN"/>
    </w:rPr>
  </w:style>
  <w:style w:type="paragraph" w:customStyle="1" w:styleId="349">
    <w:name w:val="UserStyle_225"/>
    <w:basedOn w:val="1"/>
    <w:link w:val="348"/>
    <w:autoRedefine/>
    <w:qFormat/>
    <w:uiPriority w:val="99"/>
    <w:pPr>
      <w:spacing w:line="500" w:lineRule="exact"/>
      <w:ind w:firstLine="480" w:firstLineChars="200"/>
    </w:pPr>
    <w:rPr>
      <w:rFonts w:ascii="Calibri" w:hAnsi="Calibri"/>
      <w:kern w:val="0"/>
      <w:sz w:val="24"/>
      <w:szCs w:val="20"/>
      <w:lang w:val="zh-CN"/>
    </w:rPr>
  </w:style>
  <w:style w:type="character" w:customStyle="1" w:styleId="350">
    <w:name w:val="UserStyle_226"/>
    <w:autoRedefine/>
    <w:qFormat/>
    <w:uiPriority w:val="99"/>
    <w:rPr>
      <w:rFonts w:ascii="宋体" w:hAnsi="宋体" w:eastAsia="宋体"/>
      <w:b/>
      <w:color w:val="FF0000"/>
      <w:kern w:val="32"/>
      <w:sz w:val="28"/>
      <w:lang w:val="en-US" w:eastAsia="zh-CN"/>
    </w:rPr>
  </w:style>
  <w:style w:type="character" w:customStyle="1" w:styleId="351">
    <w:name w:val="UserStyle_227"/>
    <w:link w:val="352"/>
    <w:autoRedefine/>
    <w:qFormat/>
    <w:locked/>
    <w:uiPriority w:val="99"/>
    <w:rPr>
      <w:rFonts w:ascii="宋体" w:eastAsia="宋体"/>
      <w:color w:val="000000"/>
      <w:sz w:val="24"/>
    </w:rPr>
  </w:style>
  <w:style w:type="paragraph" w:customStyle="1" w:styleId="352">
    <w:name w:val="UserStyle_228"/>
    <w:basedOn w:val="1"/>
    <w:link w:val="351"/>
    <w:autoRedefine/>
    <w:qFormat/>
    <w:uiPriority w:val="99"/>
    <w:pPr>
      <w:spacing w:before="156" w:after="156" w:line="300" w:lineRule="auto"/>
      <w:ind w:firstLine="480" w:firstLineChars="200"/>
    </w:pPr>
    <w:rPr>
      <w:rFonts w:ascii="宋体" w:hAnsi="Calibri"/>
      <w:color w:val="000000"/>
      <w:kern w:val="0"/>
      <w:sz w:val="24"/>
      <w:szCs w:val="20"/>
    </w:rPr>
  </w:style>
  <w:style w:type="character" w:customStyle="1" w:styleId="353">
    <w:name w:val="UserStyle_229"/>
    <w:link w:val="354"/>
    <w:autoRedefine/>
    <w:qFormat/>
    <w:locked/>
    <w:uiPriority w:val="99"/>
    <w:rPr>
      <w:rFonts w:ascii="宋体" w:hAnsi="宋体" w:eastAsia="宋体"/>
      <w:spacing w:val="120"/>
      <w:sz w:val="21"/>
    </w:rPr>
  </w:style>
  <w:style w:type="paragraph" w:customStyle="1" w:styleId="354">
    <w:name w:val="UserStyle_230"/>
    <w:basedOn w:val="1"/>
    <w:next w:val="355"/>
    <w:link w:val="353"/>
    <w:autoRedefine/>
    <w:qFormat/>
    <w:uiPriority w:val="99"/>
    <w:pPr>
      <w:spacing w:before="100" w:beforeAutospacing="1" w:after="100" w:afterAutospacing="1"/>
      <w:jc w:val="left"/>
    </w:pPr>
    <w:rPr>
      <w:rFonts w:ascii="宋体" w:hAnsi="宋体"/>
      <w:spacing w:val="120"/>
      <w:kern w:val="0"/>
      <w:szCs w:val="20"/>
    </w:rPr>
  </w:style>
  <w:style w:type="paragraph" w:customStyle="1" w:styleId="355">
    <w:name w:val="TOC1"/>
    <w:basedOn w:val="1"/>
    <w:next w:val="1"/>
    <w:autoRedefine/>
    <w:qFormat/>
    <w:uiPriority w:val="99"/>
    <w:pPr>
      <w:spacing w:before="120" w:after="120"/>
      <w:jc w:val="left"/>
    </w:pPr>
    <w:rPr>
      <w:b/>
      <w:bCs/>
      <w:caps/>
      <w:sz w:val="20"/>
      <w:szCs w:val="20"/>
    </w:rPr>
  </w:style>
  <w:style w:type="character" w:customStyle="1" w:styleId="356">
    <w:name w:val="UserStyle_231"/>
    <w:autoRedefine/>
    <w:semiHidden/>
    <w:qFormat/>
    <w:uiPriority w:val="99"/>
    <w:rPr>
      <w:kern w:val="2"/>
      <w:sz w:val="16"/>
    </w:rPr>
  </w:style>
  <w:style w:type="character" w:customStyle="1" w:styleId="357">
    <w:name w:val="UserStyle_232"/>
    <w:autoRedefine/>
    <w:qFormat/>
    <w:uiPriority w:val="99"/>
    <w:rPr>
      <w:rFonts w:ascii="PMingLiUfalt" w:hAnsi="PMingLiUfalt" w:eastAsia="PMingLiUfalt"/>
      <w:color w:val="000000"/>
      <w:position w:val="0"/>
      <w:sz w:val="22"/>
      <w:lang w:val="zh-CN" w:eastAsia="zh-CN"/>
    </w:rPr>
  </w:style>
  <w:style w:type="character" w:customStyle="1" w:styleId="358">
    <w:name w:val="UserStyle_233"/>
    <w:link w:val="85"/>
    <w:autoRedefine/>
    <w:qFormat/>
    <w:locked/>
    <w:uiPriority w:val="99"/>
    <w:rPr>
      <w:rFonts w:ascii="宋体" w:hAnsi="宋体" w:eastAsia="宋体"/>
      <w:color w:val="000000"/>
      <w:kern w:val="2"/>
      <w:sz w:val="24"/>
      <w:lang w:val="en-US" w:eastAsia="zh-CN"/>
    </w:rPr>
  </w:style>
  <w:style w:type="character" w:customStyle="1" w:styleId="359">
    <w:name w:val="UserStyle_234"/>
    <w:autoRedefine/>
    <w:qFormat/>
    <w:uiPriority w:val="99"/>
    <w:rPr>
      <w:vanish/>
      <w:color w:val="FF0000"/>
    </w:rPr>
  </w:style>
  <w:style w:type="character" w:customStyle="1" w:styleId="360">
    <w:name w:val="UserStyle_235"/>
    <w:autoRedefine/>
    <w:qFormat/>
    <w:uiPriority w:val="99"/>
    <w:rPr>
      <w:rFonts w:eastAsia="宋体"/>
      <w:sz w:val="24"/>
      <w:lang w:val="en-US" w:eastAsia="zh-CN"/>
    </w:rPr>
  </w:style>
  <w:style w:type="character" w:customStyle="1" w:styleId="361">
    <w:name w:val="UserStyle_236"/>
    <w:autoRedefine/>
    <w:qFormat/>
    <w:uiPriority w:val="99"/>
    <w:rPr>
      <w:rFonts w:eastAsia="宋体"/>
      <w:b/>
      <w:sz w:val="24"/>
      <w:lang w:val="en-US" w:eastAsia="zh-CN"/>
    </w:rPr>
  </w:style>
  <w:style w:type="character" w:customStyle="1" w:styleId="362">
    <w:name w:val="UserStyle_237"/>
    <w:autoRedefine/>
    <w:qFormat/>
    <w:uiPriority w:val="99"/>
    <w:rPr>
      <w:rFonts w:ascii="宋体" w:hAnsi="宋体" w:eastAsia="宋体"/>
      <w:b/>
      <w:color w:val="FF0000"/>
      <w:kern w:val="2"/>
      <w:sz w:val="24"/>
      <w:lang w:val="en-US" w:eastAsia="zh-CN"/>
    </w:rPr>
  </w:style>
  <w:style w:type="character" w:customStyle="1" w:styleId="363">
    <w:name w:val="UserStyle_238"/>
    <w:autoRedefine/>
    <w:qFormat/>
    <w:uiPriority w:val="99"/>
    <w:rPr>
      <w:rFonts w:eastAsia="宋体"/>
      <w:b/>
      <w:spacing w:val="10"/>
      <w:kern w:val="2"/>
      <w:sz w:val="24"/>
      <w:lang w:val="en-US" w:eastAsia="zh-CN"/>
    </w:rPr>
  </w:style>
  <w:style w:type="character" w:customStyle="1" w:styleId="364">
    <w:name w:val="UserStyle_239"/>
    <w:link w:val="365"/>
    <w:autoRedefine/>
    <w:qFormat/>
    <w:locked/>
    <w:uiPriority w:val="99"/>
    <w:rPr>
      <w:rFonts w:ascii="宋体" w:hAnsi="宋体" w:eastAsia="仿宋_GB2312"/>
      <w:kern w:val="2"/>
      <w:sz w:val="24"/>
    </w:rPr>
  </w:style>
  <w:style w:type="paragraph" w:customStyle="1" w:styleId="365">
    <w:name w:val="UserStyle_240"/>
    <w:basedOn w:val="267"/>
    <w:link w:val="364"/>
    <w:autoRedefine/>
    <w:qFormat/>
    <w:uiPriority w:val="99"/>
    <w:pPr>
      <w:snapToGrid w:val="0"/>
      <w:spacing w:line="353" w:lineRule="auto"/>
      <w:ind w:firstLine="200"/>
    </w:pPr>
    <w:rPr>
      <w:rFonts w:ascii="宋体" w:hAnsi="宋体" w:eastAsia="仿宋_GB2312"/>
    </w:rPr>
  </w:style>
  <w:style w:type="character" w:customStyle="1" w:styleId="366">
    <w:name w:val="UserStyle_241"/>
    <w:link w:val="367"/>
    <w:autoRedefine/>
    <w:qFormat/>
    <w:locked/>
    <w:uiPriority w:val="99"/>
    <w:rPr>
      <w:rFonts w:ascii="宋体" w:eastAsia="宋体"/>
      <w:b/>
      <w:spacing w:val="10"/>
      <w:kern w:val="2"/>
      <w:sz w:val="24"/>
      <w:lang w:val="en-US" w:eastAsia="zh-CN"/>
    </w:rPr>
  </w:style>
  <w:style w:type="paragraph" w:customStyle="1" w:styleId="367">
    <w:name w:val="UserStyle_242"/>
    <w:basedOn w:val="1"/>
    <w:link w:val="366"/>
    <w:autoRedefine/>
    <w:qFormat/>
    <w:uiPriority w:val="99"/>
    <w:pPr>
      <w:spacing w:line="360" w:lineRule="auto"/>
      <w:ind w:firstLine="200" w:firstLineChars="200"/>
      <w:jc w:val="left"/>
    </w:pPr>
    <w:rPr>
      <w:rFonts w:ascii="宋体" w:hAnsi="Calibri"/>
      <w:b/>
      <w:spacing w:val="10"/>
      <w:sz w:val="24"/>
      <w:szCs w:val="20"/>
    </w:rPr>
  </w:style>
  <w:style w:type="character" w:customStyle="1" w:styleId="368">
    <w:name w:val="UserStyle_243"/>
    <w:autoRedefine/>
    <w:qFormat/>
    <w:uiPriority w:val="99"/>
    <w:rPr>
      <w:rFonts w:ascii="PMingLiUfalt" w:hAnsi="PMingLiUfalt" w:eastAsia="PMingLiUfalt"/>
      <w:color w:val="000000"/>
      <w:spacing w:val="190"/>
      <w:position w:val="0"/>
      <w:sz w:val="22"/>
      <w:lang w:val="zh-CN" w:eastAsia="zh-CN"/>
    </w:rPr>
  </w:style>
  <w:style w:type="character" w:customStyle="1" w:styleId="369">
    <w:name w:val="UserStyle_244"/>
    <w:link w:val="312"/>
    <w:autoRedefine/>
    <w:qFormat/>
    <w:locked/>
    <w:uiPriority w:val="99"/>
    <w:rPr>
      <w:rFonts w:ascii="宋体" w:hAnsi="宋体" w:eastAsia="宋体"/>
      <w:kern w:val="2"/>
      <w:sz w:val="24"/>
      <w:lang w:val="en-US" w:eastAsia="zh-CN"/>
    </w:rPr>
  </w:style>
  <w:style w:type="character" w:customStyle="1" w:styleId="370">
    <w:name w:val="UserStyle_245"/>
    <w:link w:val="371"/>
    <w:autoRedefine/>
    <w:qFormat/>
    <w:locked/>
    <w:uiPriority w:val="99"/>
    <w:rPr>
      <w:rFonts w:ascii="Calibri" w:hAnsi="Calibri"/>
      <w:kern w:val="2"/>
      <w:sz w:val="22"/>
    </w:rPr>
  </w:style>
  <w:style w:type="paragraph" w:customStyle="1" w:styleId="371">
    <w:name w:val="UserStyle_246"/>
    <w:basedOn w:val="1"/>
    <w:link w:val="370"/>
    <w:autoRedefine/>
    <w:qFormat/>
    <w:uiPriority w:val="99"/>
    <w:pPr>
      <w:ind w:firstLine="420" w:firstLineChars="200"/>
    </w:pPr>
    <w:rPr>
      <w:rFonts w:ascii="Calibri" w:hAnsi="Calibri"/>
      <w:sz w:val="22"/>
      <w:szCs w:val="20"/>
    </w:rPr>
  </w:style>
  <w:style w:type="character" w:customStyle="1" w:styleId="372">
    <w:name w:val="UserStyle_247"/>
    <w:autoRedefine/>
    <w:qFormat/>
    <w:uiPriority w:val="99"/>
    <w:rPr>
      <w:rFonts w:eastAsia="宋体"/>
      <w:b/>
      <w:sz w:val="24"/>
      <w:lang w:val="en-US" w:eastAsia="zh-CN"/>
    </w:rPr>
  </w:style>
  <w:style w:type="character" w:customStyle="1" w:styleId="373">
    <w:name w:val="UserStyle_248"/>
    <w:link w:val="374"/>
    <w:autoRedefine/>
    <w:qFormat/>
    <w:locked/>
    <w:uiPriority w:val="99"/>
    <w:rPr>
      <w:rFonts w:eastAsia="黑体"/>
      <w:b/>
      <w:spacing w:val="10"/>
      <w:kern w:val="2"/>
      <w:sz w:val="28"/>
      <w:lang w:val="en-US" w:eastAsia="zh-CN"/>
    </w:rPr>
  </w:style>
  <w:style w:type="paragraph" w:customStyle="1" w:styleId="374">
    <w:name w:val="UserStyle_249"/>
    <w:basedOn w:val="1"/>
    <w:link w:val="373"/>
    <w:autoRedefine/>
    <w:qFormat/>
    <w:uiPriority w:val="99"/>
    <w:pPr>
      <w:keepLines/>
      <w:tabs>
        <w:tab w:val="left" w:pos="2550"/>
        <w:tab w:val="center" w:pos="4153"/>
      </w:tabs>
      <w:spacing w:before="156"/>
      <w:ind w:firstLine="200" w:firstLineChars="200"/>
      <w:jc w:val="left"/>
    </w:pPr>
    <w:rPr>
      <w:rFonts w:ascii="Calibri" w:hAnsi="Calibri" w:eastAsia="黑体"/>
      <w:b/>
      <w:spacing w:val="10"/>
      <w:sz w:val="28"/>
      <w:szCs w:val="20"/>
    </w:rPr>
  </w:style>
  <w:style w:type="character" w:customStyle="1" w:styleId="375">
    <w:name w:val="UserStyle_250"/>
    <w:autoRedefine/>
    <w:qFormat/>
    <w:uiPriority w:val="99"/>
    <w:rPr>
      <w:rFonts w:eastAsia="宋体"/>
      <w:sz w:val="24"/>
      <w:lang w:val="en-US" w:eastAsia="zh-CN"/>
    </w:rPr>
  </w:style>
  <w:style w:type="character" w:customStyle="1" w:styleId="376">
    <w:name w:val="UserStyle_251"/>
    <w:link w:val="377"/>
    <w:autoRedefine/>
    <w:qFormat/>
    <w:locked/>
    <w:uiPriority w:val="99"/>
    <w:rPr>
      <w:rFonts w:ascii="黑体" w:hAnsi="Courier New" w:eastAsia="黑体"/>
    </w:rPr>
  </w:style>
  <w:style w:type="paragraph" w:customStyle="1" w:styleId="377">
    <w:name w:val="HtmlPre"/>
    <w:basedOn w:val="1"/>
    <w:link w:val="376"/>
    <w:autoRedefine/>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kern w:val="0"/>
      <w:sz w:val="20"/>
      <w:szCs w:val="20"/>
    </w:rPr>
  </w:style>
  <w:style w:type="character" w:customStyle="1" w:styleId="378">
    <w:name w:val="UserStyle_252"/>
    <w:autoRedefine/>
    <w:qFormat/>
    <w:uiPriority w:val="99"/>
    <w:rPr>
      <w:rFonts w:ascii="Arial" w:hAnsi="Arial" w:eastAsia="黑体"/>
      <w:b/>
      <w:sz w:val="24"/>
      <w:lang w:val="en-US" w:eastAsia="zh-CN"/>
    </w:rPr>
  </w:style>
  <w:style w:type="character" w:customStyle="1" w:styleId="379">
    <w:name w:val="UserStyle_253"/>
    <w:autoRedefine/>
    <w:qFormat/>
    <w:uiPriority w:val="99"/>
    <w:rPr>
      <w:rFonts w:ascii="PMingLiUfalt" w:hAnsi="PMingLiUfalt" w:eastAsia="PMingLiUfalt"/>
      <w:color w:val="000000"/>
      <w:position w:val="0"/>
      <w:sz w:val="22"/>
      <w:lang w:val="zh-CN" w:eastAsia="zh-CN"/>
    </w:rPr>
  </w:style>
  <w:style w:type="character" w:customStyle="1" w:styleId="380">
    <w:name w:val="UserStyle_254"/>
    <w:autoRedefine/>
    <w:qFormat/>
    <w:uiPriority w:val="99"/>
    <w:rPr>
      <w:rFonts w:ascii="Arial" w:hAnsi="Arial"/>
      <w:b/>
      <w:color w:val="000000"/>
      <w:position w:val="0"/>
      <w:sz w:val="15"/>
      <w:lang w:val="en-US" w:eastAsia="en-US"/>
    </w:rPr>
  </w:style>
  <w:style w:type="character" w:customStyle="1" w:styleId="381">
    <w:name w:val="UserStyle_255"/>
    <w:autoRedefine/>
    <w:qFormat/>
    <w:uiPriority w:val="99"/>
    <w:rPr>
      <w:rFonts w:ascii="PMingLiUfalt" w:hAnsi="PMingLiUfalt" w:eastAsia="PMingLiUfalt"/>
      <w:i/>
      <w:color w:val="000000"/>
      <w:w w:val="150"/>
      <w:position w:val="0"/>
      <w:sz w:val="23"/>
      <w:lang w:val="en-US" w:eastAsia="en-US"/>
    </w:rPr>
  </w:style>
  <w:style w:type="character" w:customStyle="1" w:styleId="382">
    <w:name w:val="UserStyle_256"/>
    <w:autoRedefine/>
    <w:qFormat/>
    <w:uiPriority w:val="99"/>
    <w:rPr>
      <w:rFonts w:ascii="Times New Roman" w:hAnsi="Times New Roman"/>
      <w:b/>
      <w:color w:val="000000"/>
      <w:spacing w:val="40"/>
      <w:position w:val="0"/>
      <w:sz w:val="22"/>
      <w:lang w:val="en-US" w:eastAsia="en-US"/>
    </w:rPr>
  </w:style>
  <w:style w:type="character" w:customStyle="1" w:styleId="383">
    <w:name w:val="UserStyle_257"/>
    <w:autoRedefine/>
    <w:qFormat/>
    <w:uiPriority w:val="99"/>
    <w:rPr>
      <w:rFonts w:ascii="Cambria" w:hAnsi="Cambria"/>
      <w:b/>
      <w:kern w:val="28"/>
      <w:sz w:val="32"/>
    </w:rPr>
  </w:style>
  <w:style w:type="character" w:customStyle="1" w:styleId="384">
    <w:name w:val="UserStyle_258"/>
    <w:autoRedefine/>
    <w:qFormat/>
    <w:uiPriority w:val="99"/>
    <w:rPr>
      <w:rFonts w:ascii="宋体" w:hAnsi="宋体" w:eastAsia="宋体"/>
      <w:kern w:val="2"/>
      <w:sz w:val="24"/>
      <w:lang w:val="en-US" w:eastAsia="zh-CN"/>
    </w:rPr>
  </w:style>
  <w:style w:type="character" w:customStyle="1" w:styleId="385">
    <w:name w:val="UserStyle_259"/>
    <w:autoRedefine/>
    <w:qFormat/>
    <w:uiPriority w:val="99"/>
    <w:rPr>
      <w:color w:val="000000"/>
      <w:sz w:val="18"/>
    </w:rPr>
  </w:style>
  <w:style w:type="character" w:customStyle="1" w:styleId="386">
    <w:name w:val="UserStyle_260"/>
    <w:autoRedefine/>
    <w:qFormat/>
    <w:uiPriority w:val="99"/>
    <w:rPr>
      <w:rFonts w:ascii="Arial" w:hAnsi="Arial"/>
      <w:b/>
      <w:color w:val="000000"/>
      <w:position w:val="0"/>
      <w:sz w:val="17"/>
      <w:lang w:val="en-US" w:eastAsia="en-US"/>
    </w:rPr>
  </w:style>
  <w:style w:type="character" w:customStyle="1" w:styleId="387">
    <w:name w:val="UserStyle_261"/>
    <w:autoRedefine/>
    <w:qFormat/>
    <w:uiPriority w:val="99"/>
    <w:rPr>
      <w:rFonts w:ascii="Arial" w:hAnsi="Arial" w:eastAsia="黑体"/>
      <w:b/>
      <w:sz w:val="24"/>
      <w:lang w:val="en-US" w:eastAsia="zh-CN"/>
    </w:rPr>
  </w:style>
  <w:style w:type="character" w:customStyle="1" w:styleId="388">
    <w:name w:val="UserStyle_262"/>
    <w:autoRedefine/>
    <w:qFormat/>
    <w:uiPriority w:val="99"/>
    <w:rPr>
      <w:sz w:val="18"/>
    </w:rPr>
  </w:style>
  <w:style w:type="character" w:customStyle="1" w:styleId="389">
    <w:name w:val="UserStyle_263"/>
    <w:link w:val="390"/>
    <w:autoRedefine/>
    <w:qFormat/>
    <w:locked/>
    <w:uiPriority w:val="99"/>
    <w:rPr>
      <w:kern w:val="2"/>
      <w:sz w:val="24"/>
    </w:rPr>
  </w:style>
  <w:style w:type="paragraph" w:customStyle="1" w:styleId="390">
    <w:name w:val="UserStyle_264"/>
    <w:basedOn w:val="1"/>
    <w:link w:val="389"/>
    <w:autoRedefine/>
    <w:qFormat/>
    <w:uiPriority w:val="99"/>
    <w:pPr>
      <w:spacing w:line="360" w:lineRule="auto"/>
    </w:pPr>
    <w:rPr>
      <w:rFonts w:ascii="Calibri" w:hAnsi="Calibri"/>
      <w:sz w:val="24"/>
      <w:szCs w:val="20"/>
    </w:rPr>
  </w:style>
  <w:style w:type="character" w:customStyle="1" w:styleId="391">
    <w:name w:val="UserStyle_265"/>
    <w:autoRedefine/>
    <w:qFormat/>
    <w:uiPriority w:val="99"/>
    <w:rPr>
      <w:rFonts w:cs="Times New Roman"/>
    </w:rPr>
  </w:style>
  <w:style w:type="character" w:customStyle="1" w:styleId="392">
    <w:name w:val="UserStyle_266"/>
    <w:autoRedefine/>
    <w:qFormat/>
    <w:uiPriority w:val="99"/>
    <w:rPr>
      <w:rFonts w:ascii="宋体" w:hAnsi="宋体" w:eastAsia="宋体" w:cs="Times New Roman"/>
      <w:color w:val="000000"/>
      <w:kern w:val="2"/>
      <w:sz w:val="24"/>
      <w:lang w:val="en-US" w:eastAsia="zh-CN" w:bidi="ar-SA"/>
    </w:rPr>
  </w:style>
  <w:style w:type="character" w:customStyle="1" w:styleId="393">
    <w:name w:val="UserStyle_267"/>
    <w:autoRedefine/>
    <w:qFormat/>
    <w:uiPriority w:val="99"/>
    <w:rPr>
      <w:rFonts w:ascii="宋体" w:hAnsi="宋体" w:eastAsia="宋体" w:cs="Times New Roman"/>
      <w:color w:val="000000"/>
      <w:kern w:val="2"/>
      <w:sz w:val="24"/>
      <w:lang w:val="en-US" w:eastAsia="zh-CN" w:bidi="ar-SA"/>
    </w:rPr>
  </w:style>
  <w:style w:type="character" w:customStyle="1" w:styleId="394">
    <w:name w:val="UserStyle_268"/>
    <w:autoRedefine/>
    <w:qFormat/>
    <w:uiPriority w:val="99"/>
    <w:rPr>
      <w:spacing w:val="460"/>
      <w:sz w:val="18"/>
    </w:rPr>
  </w:style>
  <w:style w:type="character" w:customStyle="1" w:styleId="395">
    <w:name w:val="UserStyle_269"/>
    <w:link w:val="396"/>
    <w:autoRedefine/>
    <w:qFormat/>
    <w:locked/>
    <w:uiPriority w:val="99"/>
    <w:rPr>
      <w:rFonts w:ascii="宋体" w:eastAsia="宋体"/>
      <w:sz w:val="24"/>
    </w:rPr>
  </w:style>
  <w:style w:type="paragraph" w:customStyle="1" w:styleId="396">
    <w:name w:val="UserStyle_270"/>
    <w:basedOn w:val="85"/>
    <w:link w:val="395"/>
    <w:autoRedefine/>
    <w:qFormat/>
    <w:uiPriority w:val="99"/>
    <w:pPr>
      <w:spacing w:line="324" w:lineRule="auto"/>
      <w:ind w:firstLine="200" w:firstLineChars="200"/>
    </w:pPr>
    <w:rPr>
      <w:rFonts w:hAnsi="Calibri"/>
      <w:color w:val="auto"/>
      <w:kern w:val="0"/>
    </w:rPr>
  </w:style>
  <w:style w:type="paragraph" w:customStyle="1" w:styleId="397">
    <w:name w:val="Index7"/>
    <w:basedOn w:val="1"/>
    <w:next w:val="1"/>
    <w:autoRedefine/>
    <w:qFormat/>
    <w:uiPriority w:val="99"/>
    <w:pPr>
      <w:spacing w:line="240" w:lineRule="atLeast"/>
      <w:ind w:left="1680" w:hanging="240"/>
      <w:jc w:val="left"/>
    </w:pPr>
    <w:rPr>
      <w:kern w:val="0"/>
      <w:sz w:val="24"/>
      <w:szCs w:val="21"/>
    </w:rPr>
  </w:style>
  <w:style w:type="paragraph" w:customStyle="1" w:styleId="398">
    <w:name w:val="TOC7"/>
    <w:basedOn w:val="1"/>
    <w:next w:val="1"/>
    <w:autoRedefine/>
    <w:qFormat/>
    <w:uiPriority w:val="99"/>
    <w:pPr>
      <w:ind w:left="1260"/>
      <w:jc w:val="left"/>
    </w:pPr>
    <w:rPr>
      <w:sz w:val="18"/>
      <w:szCs w:val="18"/>
    </w:rPr>
  </w:style>
  <w:style w:type="paragraph" w:customStyle="1" w:styleId="399">
    <w:name w:val="UserStyle_271"/>
    <w:basedOn w:val="89"/>
    <w:autoRedefine/>
    <w:qFormat/>
    <w:uiPriority w:val="99"/>
    <w:pPr>
      <w:tabs>
        <w:tab w:val="left" w:pos="360"/>
        <w:tab w:val="left" w:pos="720"/>
      </w:tabs>
      <w:snapToGrid w:val="0"/>
      <w:spacing w:before="0" w:after="0" w:line="440" w:lineRule="atLeast"/>
      <w:jc w:val="left"/>
    </w:pPr>
    <w:rPr>
      <w:rFonts w:ascii="黑体" w:hAnsi="宋体"/>
      <w:bCs/>
      <w:sz w:val="24"/>
      <w:szCs w:val="24"/>
    </w:rPr>
  </w:style>
  <w:style w:type="paragraph" w:customStyle="1" w:styleId="400">
    <w:name w:val="ListContinue"/>
    <w:basedOn w:val="1"/>
    <w:autoRedefine/>
    <w:qFormat/>
    <w:uiPriority w:val="99"/>
    <w:pPr>
      <w:spacing w:after="120"/>
      <w:ind w:left="420" w:leftChars="200"/>
    </w:pPr>
    <w:rPr>
      <w:sz w:val="28"/>
    </w:rPr>
  </w:style>
  <w:style w:type="paragraph" w:customStyle="1" w:styleId="401">
    <w:name w:val="UserStyle_272"/>
    <w:basedOn w:val="1"/>
    <w:autoRedefine/>
    <w:qFormat/>
    <w:uiPriority w:val="99"/>
    <w:pPr>
      <w:spacing w:line="360" w:lineRule="auto"/>
    </w:pPr>
    <w:rPr>
      <w:kern w:val="0"/>
      <w:sz w:val="24"/>
      <w:szCs w:val="20"/>
    </w:rPr>
  </w:style>
  <w:style w:type="paragraph" w:customStyle="1" w:styleId="402">
    <w:name w:val="ToCaption"/>
    <w:basedOn w:val="1"/>
    <w:next w:val="1"/>
    <w:autoRedefine/>
    <w:qFormat/>
    <w:uiPriority w:val="99"/>
    <w:pPr>
      <w:snapToGrid w:val="0"/>
      <w:spacing w:line="600" w:lineRule="exact"/>
    </w:pPr>
    <w:rPr>
      <w:smallCaps/>
      <w:kern w:val="0"/>
      <w:sz w:val="28"/>
      <w:szCs w:val="20"/>
    </w:rPr>
  </w:style>
  <w:style w:type="paragraph" w:customStyle="1" w:styleId="403">
    <w:name w:val="List3"/>
    <w:basedOn w:val="146"/>
    <w:next w:val="146"/>
    <w:autoRedefine/>
    <w:qFormat/>
    <w:uiPriority w:val="99"/>
    <w:rPr>
      <w:szCs w:val="24"/>
    </w:rPr>
  </w:style>
  <w:style w:type="paragraph" w:customStyle="1" w:styleId="404">
    <w:name w:val="TOC4"/>
    <w:basedOn w:val="1"/>
    <w:next w:val="1"/>
    <w:autoRedefine/>
    <w:qFormat/>
    <w:uiPriority w:val="99"/>
    <w:pPr>
      <w:ind w:left="630"/>
      <w:jc w:val="left"/>
    </w:pPr>
    <w:rPr>
      <w:sz w:val="18"/>
      <w:szCs w:val="18"/>
    </w:rPr>
  </w:style>
  <w:style w:type="paragraph" w:customStyle="1" w:styleId="405">
    <w:name w:val="UserStyle_273"/>
    <w:basedOn w:val="146"/>
    <w:next w:val="146"/>
    <w:autoRedefine/>
    <w:qFormat/>
    <w:uiPriority w:val="99"/>
  </w:style>
  <w:style w:type="paragraph" w:customStyle="1" w:styleId="406">
    <w:name w:val="BlockQuote"/>
    <w:basedOn w:val="1"/>
    <w:autoRedefine/>
    <w:qFormat/>
    <w:uiPriority w:val="99"/>
    <w:pPr>
      <w:ind w:left="420" w:right="33"/>
      <w:jc w:val="left"/>
    </w:pPr>
    <w:rPr>
      <w:kern w:val="0"/>
      <w:sz w:val="24"/>
      <w:szCs w:val="20"/>
    </w:rPr>
  </w:style>
  <w:style w:type="paragraph" w:customStyle="1" w:styleId="407">
    <w:name w:val="Index2"/>
    <w:basedOn w:val="1"/>
    <w:next w:val="1"/>
    <w:autoRedefine/>
    <w:qFormat/>
    <w:uiPriority w:val="99"/>
    <w:pPr>
      <w:spacing w:line="460" w:lineRule="exact"/>
      <w:ind w:left="480" w:hanging="240"/>
      <w:jc w:val="left"/>
    </w:pPr>
    <w:rPr>
      <w:kern w:val="0"/>
      <w:sz w:val="20"/>
      <w:szCs w:val="20"/>
    </w:rPr>
  </w:style>
  <w:style w:type="paragraph" w:customStyle="1" w:styleId="408">
    <w:name w:val="TOC8"/>
    <w:basedOn w:val="1"/>
    <w:next w:val="1"/>
    <w:autoRedefine/>
    <w:qFormat/>
    <w:uiPriority w:val="99"/>
    <w:pPr>
      <w:ind w:left="1470"/>
      <w:jc w:val="left"/>
    </w:pPr>
    <w:rPr>
      <w:sz w:val="18"/>
      <w:szCs w:val="18"/>
    </w:rPr>
  </w:style>
  <w:style w:type="paragraph" w:customStyle="1" w:styleId="409">
    <w:name w:val="UserStyle_274"/>
    <w:basedOn w:val="1"/>
    <w:autoRedefine/>
    <w:qFormat/>
    <w:uiPriority w:val="99"/>
    <w:pPr>
      <w:pBdr>
        <w:top w:val="single" w:color="000000" w:sz="4" w:space="0"/>
        <w:left w:val="single" w:color="000000" w:sz="8" w:space="0"/>
        <w:bottom w:val="single" w:color="000000" w:sz="4" w:space="0"/>
        <w:right w:val="single" w:color="000000" w:sz="4" w:space="0"/>
      </w:pBdr>
      <w:spacing w:before="100" w:beforeAutospacing="1" w:after="100" w:afterAutospacing="1"/>
      <w:jc w:val="center"/>
    </w:pPr>
    <w:rPr>
      <w:rFonts w:ascii="Arial Unicode MS" w:hAnsi="Arial Unicode MS"/>
      <w:color w:val="000000"/>
      <w:kern w:val="0"/>
      <w:sz w:val="24"/>
      <w:szCs w:val="20"/>
    </w:rPr>
  </w:style>
  <w:style w:type="paragraph" w:customStyle="1" w:styleId="410">
    <w:name w:val="ListBullet2"/>
    <w:basedOn w:val="1"/>
    <w:autoRedefine/>
    <w:qFormat/>
    <w:uiPriority w:val="99"/>
    <w:pPr>
      <w:tabs>
        <w:tab w:val="left" w:pos="780"/>
      </w:tabs>
      <w:spacing w:line="460" w:lineRule="exact"/>
      <w:ind w:left="780" w:leftChars="200" w:hanging="360" w:hangingChars="200"/>
    </w:pPr>
    <w:rPr>
      <w:kern w:val="0"/>
    </w:rPr>
  </w:style>
  <w:style w:type="paragraph" w:customStyle="1" w:styleId="411">
    <w:name w:val="List2"/>
    <w:basedOn w:val="1"/>
    <w:autoRedefine/>
    <w:qFormat/>
    <w:uiPriority w:val="99"/>
    <w:pPr>
      <w:ind w:left="840" w:hanging="420"/>
      <w:jc w:val="left"/>
    </w:pPr>
    <w:rPr>
      <w:kern w:val="0"/>
      <w:sz w:val="20"/>
      <w:szCs w:val="20"/>
    </w:rPr>
  </w:style>
  <w:style w:type="paragraph" w:customStyle="1" w:styleId="412">
    <w:name w:val="UserStyle_275"/>
    <w:basedOn w:val="1"/>
    <w:next w:val="1"/>
    <w:autoRedefine/>
    <w:qFormat/>
    <w:uiPriority w:val="99"/>
    <w:rPr>
      <w:sz w:val="28"/>
      <w:szCs w:val="20"/>
    </w:rPr>
  </w:style>
  <w:style w:type="paragraph" w:customStyle="1" w:styleId="413">
    <w:name w:val="TOC3"/>
    <w:basedOn w:val="1"/>
    <w:next w:val="1"/>
    <w:autoRedefine/>
    <w:qFormat/>
    <w:uiPriority w:val="99"/>
    <w:pPr>
      <w:ind w:left="420"/>
      <w:jc w:val="left"/>
    </w:pPr>
    <w:rPr>
      <w:i/>
      <w:iCs/>
      <w:sz w:val="20"/>
      <w:szCs w:val="20"/>
    </w:rPr>
  </w:style>
  <w:style w:type="paragraph" w:customStyle="1" w:styleId="414">
    <w:name w:val="TOC5"/>
    <w:basedOn w:val="1"/>
    <w:next w:val="1"/>
    <w:autoRedefine/>
    <w:qFormat/>
    <w:uiPriority w:val="99"/>
    <w:pPr>
      <w:ind w:left="840"/>
      <w:jc w:val="left"/>
    </w:pPr>
    <w:rPr>
      <w:sz w:val="18"/>
      <w:szCs w:val="18"/>
    </w:rPr>
  </w:style>
  <w:style w:type="paragraph" w:customStyle="1" w:styleId="415">
    <w:name w:val="Index6"/>
    <w:basedOn w:val="1"/>
    <w:next w:val="1"/>
    <w:autoRedefine/>
    <w:qFormat/>
    <w:uiPriority w:val="99"/>
    <w:pPr>
      <w:spacing w:line="240" w:lineRule="atLeast"/>
      <w:ind w:left="1440" w:hanging="240"/>
      <w:jc w:val="left"/>
    </w:pPr>
    <w:rPr>
      <w:kern w:val="0"/>
      <w:sz w:val="24"/>
      <w:szCs w:val="21"/>
    </w:rPr>
  </w:style>
  <w:style w:type="paragraph" w:customStyle="1" w:styleId="416">
    <w:name w:val="List4"/>
    <w:basedOn w:val="146"/>
    <w:next w:val="146"/>
    <w:autoRedefine/>
    <w:qFormat/>
    <w:uiPriority w:val="99"/>
    <w:rPr>
      <w:szCs w:val="24"/>
    </w:rPr>
  </w:style>
  <w:style w:type="paragraph" w:customStyle="1" w:styleId="417">
    <w:name w:val="TOC2"/>
    <w:basedOn w:val="1"/>
    <w:next w:val="1"/>
    <w:autoRedefine/>
    <w:qFormat/>
    <w:uiPriority w:val="99"/>
    <w:pPr>
      <w:tabs>
        <w:tab w:val="right" w:leader="dot" w:pos="8845"/>
      </w:tabs>
      <w:ind w:left="210"/>
      <w:jc w:val="center"/>
    </w:pPr>
    <w:rPr>
      <w:b/>
      <w:smallCaps/>
      <w:sz w:val="32"/>
      <w:szCs w:val="32"/>
    </w:rPr>
  </w:style>
  <w:style w:type="paragraph" w:customStyle="1" w:styleId="418">
    <w:name w:val="Index4"/>
    <w:basedOn w:val="1"/>
    <w:next w:val="1"/>
    <w:autoRedefine/>
    <w:qFormat/>
    <w:uiPriority w:val="99"/>
    <w:pPr>
      <w:spacing w:line="240" w:lineRule="atLeast"/>
      <w:ind w:left="960" w:hanging="240"/>
      <w:jc w:val="left"/>
    </w:pPr>
    <w:rPr>
      <w:kern w:val="0"/>
      <w:sz w:val="24"/>
      <w:szCs w:val="21"/>
    </w:rPr>
  </w:style>
  <w:style w:type="paragraph" w:customStyle="1" w:styleId="419">
    <w:name w:val="TOAHeading"/>
    <w:basedOn w:val="1"/>
    <w:next w:val="1"/>
    <w:autoRedefine/>
    <w:qFormat/>
    <w:uiPriority w:val="99"/>
    <w:pPr>
      <w:spacing w:before="120" w:line="360" w:lineRule="atLeast"/>
      <w:jc w:val="left"/>
    </w:pPr>
    <w:rPr>
      <w:rFonts w:ascii="Arial" w:hAnsi="Arial" w:eastAsia="黑体"/>
      <w:kern w:val="0"/>
      <w:sz w:val="24"/>
      <w:szCs w:val="20"/>
    </w:rPr>
  </w:style>
  <w:style w:type="paragraph" w:customStyle="1" w:styleId="420">
    <w:name w:val="题注1"/>
    <w:basedOn w:val="1"/>
    <w:next w:val="1"/>
    <w:autoRedefine/>
    <w:qFormat/>
    <w:uiPriority w:val="99"/>
    <w:pPr>
      <w:spacing w:line="480" w:lineRule="auto"/>
    </w:pPr>
    <w:rPr>
      <w:rFonts w:ascii="华文中宋" w:eastAsia="Times New Roman"/>
      <w:sz w:val="36"/>
      <w:szCs w:val="20"/>
    </w:rPr>
  </w:style>
  <w:style w:type="paragraph" w:customStyle="1" w:styleId="421">
    <w:name w:val="ListBullet4"/>
    <w:basedOn w:val="1"/>
    <w:autoRedefine/>
    <w:qFormat/>
    <w:uiPriority w:val="99"/>
    <w:pPr>
      <w:tabs>
        <w:tab w:val="left" w:pos="1620"/>
      </w:tabs>
      <w:spacing w:line="460" w:lineRule="exact"/>
      <w:ind w:left="1620" w:leftChars="600" w:hanging="360" w:hangingChars="200"/>
    </w:pPr>
    <w:rPr>
      <w:kern w:val="0"/>
    </w:rPr>
  </w:style>
  <w:style w:type="paragraph" w:customStyle="1" w:styleId="422">
    <w:name w:val="Index9"/>
    <w:basedOn w:val="1"/>
    <w:next w:val="1"/>
    <w:autoRedefine/>
    <w:qFormat/>
    <w:uiPriority w:val="99"/>
    <w:pPr>
      <w:spacing w:line="240" w:lineRule="atLeast"/>
      <w:ind w:left="2160" w:hanging="240"/>
      <w:jc w:val="left"/>
    </w:pPr>
    <w:rPr>
      <w:kern w:val="0"/>
      <w:sz w:val="24"/>
      <w:szCs w:val="21"/>
    </w:rPr>
  </w:style>
  <w:style w:type="paragraph" w:customStyle="1" w:styleId="423">
    <w:name w:val="ListBullet5"/>
    <w:basedOn w:val="1"/>
    <w:autoRedefine/>
    <w:qFormat/>
    <w:uiPriority w:val="99"/>
    <w:pPr>
      <w:tabs>
        <w:tab w:val="left" w:pos="4680"/>
      </w:tabs>
      <w:spacing w:line="460" w:lineRule="exact"/>
      <w:ind w:left="4680" w:leftChars="800" w:hanging="360" w:hangingChars="200"/>
    </w:pPr>
    <w:rPr>
      <w:kern w:val="0"/>
    </w:rPr>
  </w:style>
  <w:style w:type="paragraph" w:customStyle="1" w:styleId="424">
    <w:name w:val="UserStyle_276"/>
    <w:basedOn w:val="1"/>
    <w:autoRedefine/>
    <w:qFormat/>
    <w:uiPriority w:val="99"/>
    <w:pPr>
      <w:snapToGrid w:val="0"/>
      <w:spacing w:line="520" w:lineRule="exact"/>
      <w:ind w:firstLine="560" w:firstLineChars="200"/>
    </w:pPr>
    <w:rPr>
      <w:rFonts w:ascii="宋体" w:hAnsi="宋体" w:eastAsia="仿宋_GB2312"/>
      <w:color w:val="000000"/>
      <w:kern w:val="0"/>
      <w:sz w:val="28"/>
      <w:szCs w:val="28"/>
    </w:rPr>
  </w:style>
  <w:style w:type="paragraph" w:customStyle="1" w:styleId="425">
    <w:name w:val="ListContinue2"/>
    <w:basedOn w:val="1"/>
    <w:autoRedefine/>
    <w:qFormat/>
    <w:uiPriority w:val="99"/>
    <w:pPr>
      <w:spacing w:after="120"/>
      <w:ind w:left="840" w:leftChars="400"/>
    </w:pPr>
  </w:style>
  <w:style w:type="paragraph" w:customStyle="1" w:styleId="426">
    <w:name w:val="ListNumber"/>
    <w:basedOn w:val="1"/>
    <w:autoRedefine/>
    <w:qFormat/>
    <w:uiPriority w:val="99"/>
    <w:pPr>
      <w:tabs>
        <w:tab w:val="left" w:pos="720"/>
      </w:tabs>
      <w:ind w:left="720" w:hanging="720"/>
    </w:pPr>
    <w:rPr>
      <w:sz w:val="24"/>
      <w:szCs w:val="20"/>
    </w:rPr>
  </w:style>
  <w:style w:type="paragraph" w:customStyle="1" w:styleId="427">
    <w:name w:val="Index1"/>
    <w:basedOn w:val="1"/>
    <w:next w:val="1"/>
    <w:autoRedefine/>
    <w:qFormat/>
    <w:uiPriority w:val="99"/>
    <w:pPr>
      <w:spacing w:line="440" w:lineRule="atLeast"/>
      <w:ind w:left="12" w:hanging="12"/>
      <w:jc w:val="center"/>
    </w:pPr>
    <w:rPr>
      <w:sz w:val="24"/>
      <w:szCs w:val="20"/>
    </w:rPr>
  </w:style>
  <w:style w:type="paragraph" w:customStyle="1" w:styleId="428">
    <w:name w:val="IndexHeading"/>
    <w:basedOn w:val="1"/>
    <w:next w:val="427"/>
    <w:autoRedefine/>
    <w:qFormat/>
    <w:uiPriority w:val="99"/>
    <w:pPr>
      <w:pBdr>
        <w:top w:val="single" w:color="000000" w:sz="12" w:space="0"/>
      </w:pBdr>
      <w:tabs>
        <w:tab w:val="right" w:pos="737"/>
      </w:tabs>
      <w:spacing w:before="360" w:after="240" w:line="240" w:lineRule="atLeast"/>
      <w:jc w:val="left"/>
    </w:pPr>
    <w:rPr>
      <w:b/>
      <w:bCs/>
      <w:i/>
      <w:iCs/>
      <w:kern w:val="0"/>
      <w:sz w:val="24"/>
      <w:szCs w:val="31"/>
    </w:rPr>
  </w:style>
  <w:style w:type="paragraph" w:customStyle="1" w:styleId="429">
    <w:name w:val="UserStyle_277"/>
    <w:basedOn w:val="430"/>
    <w:autoRedefine/>
    <w:qFormat/>
    <w:uiPriority w:val="99"/>
  </w:style>
  <w:style w:type="paragraph" w:customStyle="1" w:styleId="430">
    <w:name w:val="UserStyle_278"/>
    <w:basedOn w:val="1"/>
    <w:autoRedefine/>
    <w:qFormat/>
    <w:uiPriority w:val="99"/>
    <w:pPr>
      <w:snapToGrid w:val="0"/>
      <w:spacing w:line="460" w:lineRule="exact"/>
      <w:ind w:firstLine="200" w:firstLineChars="200"/>
      <w:jc w:val="center"/>
    </w:pPr>
    <w:rPr>
      <w:rFonts w:ascii="楷体_GB2312" w:eastAsia="楷体_GB2312"/>
      <w:kern w:val="0"/>
      <w:sz w:val="24"/>
      <w:szCs w:val="20"/>
    </w:rPr>
  </w:style>
  <w:style w:type="paragraph" w:customStyle="1" w:styleId="431">
    <w:name w:val="ListBullet3"/>
    <w:basedOn w:val="1"/>
    <w:autoRedefine/>
    <w:qFormat/>
    <w:uiPriority w:val="99"/>
    <w:pPr>
      <w:tabs>
        <w:tab w:val="left" w:pos="1200"/>
      </w:tabs>
      <w:spacing w:line="460" w:lineRule="exact"/>
      <w:ind w:left="1200" w:leftChars="400" w:hanging="360" w:hangingChars="200"/>
    </w:pPr>
    <w:rPr>
      <w:kern w:val="0"/>
    </w:rPr>
  </w:style>
  <w:style w:type="paragraph" w:customStyle="1" w:styleId="432">
    <w:name w:val="UserStyle_279"/>
    <w:basedOn w:val="1"/>
    <w:autoRedefine/>
    <w:qFormat/>
    <w:uiPriority w:val="99"/>
    <w:pPr>
      <w:spacing w:before="312" w:line="200" w:lineRule="exact"/>
    </w:pPr>
    <w:rPr>
      <w:rFonts w:ascii="宋体" w:hAnsi="宋体"/>
      <w:bCs/>
      <w:sz w:val="24"/>
    </w:rPr>
  </w:style>
  <w:style w:type="paragraph" w:customStyle="1" w:styleId="433">
    <w:name w:val="ListBullet"/>
    <w:basedOn w:val="1"/>
    <w:autoRedefine/>
    <w:qFormat/>
    <w:uiPriority w:val="99"/>
    <w:pPr>
      <w:tabs>
        <w:tab w:val="left" w:pos="425"/>
      </w:tabs>
      <w:ind w:left="425" w:firstLine="100"/>
    </w:pPr>
    <w:rPr>
      <w:szCs w:val="20"/>
    </w:rPr>
  </w:style>
  <w:style w:type="paragraph" w:customStyle="1" w:styleId="434">
    <w:name w:val="TOC9"/>
    <w:basedOn w:val="1"/>
    <w:next w:val="1"/>
    <w:autoRedefine/>
    <w:qFormat/>
    <w:uiPriority w:val="99"/>
    <w:pPr>
      <w:ind w:left="1680"/>
      <w:jc w:val="left"/>
    </w:pPr>
    <w:rPr>
      <w:sz w:val="18"/>
      <w:szCs w:val="18"/>
    </w:rPr>
  </w:style>
  <w:style w:type="paragraph" w:customStyle="1" w:styleId="435">
    <w:name w:val="TOC6"/>
    <w:basedOn w:val="1"/>
    <w:next w:val="1"/>
    <w:autoRedefine/>
    <w:qFormat/>
    <w:uiPriority w:val="99"/>
    <w:pPr>
      <w:ind w:left="1050"/>
      <w:jc w:val="left"/>
    </w:pPr>
    <w:rPr>
      <w:sz w:val="18"/>
      <w:szCs w:val="18"/>
    </w:rPr>
  </w:style>
  <w:style w:type="paragraph" w:customStyle="1" w:styleId="436">
    <w:name w:val="UserStyle_280"/>
    <w:basedOn w:val="1"/>
    <w:next w:val="1"/>
    <w:autoRedefine/>
    <w:qFormat/>
    <w:uiPriority w:val="99"/>
    <w:pPr>
      <w:tabs>
        <w:tab w:val="left" w:pos="1440"/>
      </w:tabs>
      <w:ind w:left="2880" w:hanging="720"/>
      <w:jc w:val="left"/>
    </w:pPr>
    <w:rPr>
      <w:rFonts w:ascii="Arial" w:hAnsi="Arial"/>
      <w:kern w:val="0"/>
      <w:sz w:val="20"/>
      <w:szCs w:val="20"/>
      <w:lang w:eastAsia="en-US"/>
    </w:rPr>
  </w:style>
  <w:style w:type="paragraph" w:customStyle="1" w:styleId="437">
    <w:name w:val="Index3"/>
    <w:basedOn w:val="1"/>
    <w:next w:val="1"/>
    <w:autoRedefine/>
    <w:qFormat/>
    <w:uiPriority w:val="99"/>
    <w:pPr>
      <w:spacing w:line="240" w:lineRule="atLeast"/>
      <w:ind w:left="720" w:hanging="240"/>
      <w:jc w:val="left"/>
    </w:pPr>
    <w:rPr>
      <w:kern w:val="0"/>
      <w:sz w:val="24"/>
      <w:szCs w:val="21"/>
    </w:rPr>
  </w:style>
  <w:style w:type="paragraph" w:customStyle="1" w:styleId="438">
    <w:name w:val="HtmlNormal"/>
    <w:basedOn w:val="1"/>
    <w:autoRedefine/>
    <w:qFormat/>
    <w:uiPriority w:val="99"/>
    <w:pPr>
      <w:spacing w:before="100" w:beforeAutospacing="1" w:after="100" w:afterAutospacing="1"/>
      <w:jc w:val="left"/>
    </w:pPr>
    <w:rPr>
      <w:rFonts w:ascii="宋体" w:hAnsi="宋体"/>
      <w:kern w:val="0"/>
      <w:sz w:val="24"/>
    </w:rPr>
  </w:style>
  <w:style w:type="paragraph" w:customStyle="1" w:styleId="439">
    <w:name w:val="Index5"/>
    <w:basedOn w:val="1"/>
    <w:next w:val="1"/>
    <w:autoRedefine/>
    <w:qFormat/>
    <w:uiPriority w:val="99"/>
    <w:pPr>
      <w:spacing w:line="240" w:lineRule="atLeast"/>
      <w:ind w:left="1200" w:hanging="240"/>
      <w:jc w:val="left"/>
    </w:pPr>
    <w:rPr>
      <w:kern w:val="0"/>
      <w:sz w:val="24"/>
      <w:szCs w:val="21"/>
    </w:rPr>
  </w:style>
  <w:style w:type="paragraph" w:customStyle="1" w:styleId="440">
    <w:name w:val="Index8"/>
    <w:basedOn w:val="1"/>
    <w:next w:val="1"/>
    <w:autoRedefine/>
    <w:qFormat/>
    <w:uiPriority w:val="99"/>
    <w:pPr>
      <w:spacing w:line="240" w:lineRule="atLeast"/>
      <w:ind w:left="1920" w:hanging="240"/>
      <w:jc w:val="left"/>
    </w:pPr>
    <w:rPr>
      <w:kern w:val="0"/>
      <w:sz w:val="24"/>
      <w:szCs w:val="21"/>
    </w:rPr>
  </w:style>
  <w:style w:type="paragraph" w:customStyle="1" w:styleId="441">
    <w:name w:val="UserStyle_281"/>
    <w:basedOn w:val="1"/>
    <w:next w:val="1"/>
    <w:autoRedefine/>
    <w:qFormat/>
    <w:uiPriority w:val="99"/>
    <w:pPr>
      <w:tabs>
        <w:tab w:val="left" w:pos="1440"/>
      </w:tabs>
      <w:ind w:left="3600" w:hanging="720"/>
      <w:jc w:val="left"/>
    </w:pPr>
    <w:rPr>
      <w:rFonts w:ascii="Arial" w:hAnsi="Arial"/>
      <w:kern w:val="0"/>
      <w:sz w:val="20"/>
      <w:szCs w:val="20"/>
      <w:lang w:eastAsia="en-US"/>
    </w:rPr>
  </w:style>
  <w:style w:type="paragraph" w:customStyle="1" w:styleId="442">
    <w:name w:val="UserStyle_282"/>
    <w:basedOn w:val="1"/>
    <w:autoRedefine/>
    <w:qFormat/>
    <w:uiPriority w:val="99"/>
    <w:pPr>
      <w:spacing w:line="460" w:lineRule="exact"/>
    </w:pPr>
    <w:rPr>
      <w:rFonts w:ascii="黑体"/>
      <w:kern w:val="0"/>
      <w:sz w:val="28"/>
      <w:szCs w:val="20"/>
    </w:rPr>
  </w:style>
  <w:style w:type="paragraph" w:customStyle="1" w:styleId="443">
    <w:name w:val="UserStyle_283"/>
    <w:basedOn w:val="1"/>
    <w:autoRedefine/>
    <w:qFormat/>
    <w:uiPriority w:val="99"/>
    <w:pPr>
      <w:spacing w:line="360" w:lineRule="auto"/>
      <w:ind w:firstLine="510"/>
      <w:jc w:val="left"/>
    </w:pPr>
    <w:rPr>
      <w:i/>
      <w:sz w:val="24"/>
      <w:szCs w:val="20"/>
    </w:rPr>
  </w:style>
  <w:style w:type="paragraph" w:customStyle="1" w:styleId="444">
    <w:name w:val="UserStyle_284"/>
    <w:basedOn w:val="1"/>
    <w:autoRedefine/>
    <w:qFormat/>
    <w:uiPriority w:val="99"/>
    <w:pPr>
      <w:spacing w:line="312" w:lineRule="atLeast"/>
      <w:ind w:left="1191" w:hanging="1191"/>
    </w:pPr>
    <w:rPr>
      <w:kern w:val="0"/>
      <w:sz w:val="26"/>
      <w:szCs w:val="26"/>
    </w:rPr>
  </w:style>
  <w:style w:type="paragraph" w:customStyle="1" w:styleId="445">
    <w:name w:val="UserStyle_285"/>
    <w:basedOn w:val="1"/>
    <w:autoRedefine/>
    <w:qFormat/>
    <w:uiPriority w:val="99"/>
    <w:pPr>
      <w:spacing w:line="360" w:lineRule="auto"/>
      <w:ind w:firstLine="200" w:firstLineChars="200"/>
    </w:pPr>
    <w:rPr>
      <w:rFonts w:ascii="宋体" w:hAnsi="宋体"/>
      <w:sz w:val="24"/>
    </w:rPr>
  </w:style>
  <w:style w:type="paragraph" w:customStyle="1" w:styleId="446">
    <w:name w:val="UserStyle_286"/>
    <w:basedOn w:val="1"/>
    <w:autoRedefine/>
    <w:qFormat/>
    <w:uiPriority w:val="99"/>
    <w:pPr>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kern w:val="0"/>
      <w:sz w:val="32"/>
      <w:szCs w:val="20"/>
    </w:rPr>
  </w:style>
  <w:style w:type="paragraph" w:customStyle="1" w:styleId="447">
    <w:name w:val="UserStyle_287"/>
    <w:autoRedefine/>
    <w:qFormat/>
    <w:uiPriority w:val="99"/>
    <w:pPr>
      <w:spacing w:line="360" w:lineRule="atLeast"/>
      <w:textAlignment w:val="baseline"/>
    </w:pPr>
    <w:rPr>
      <w:rFonts w:ascii="宋体" w:hAnsi="Times New Roman" w:eastAsia="宋体" w:cs="Times New Roman"/>
      <w:color w:val="000000"/>
      <w:sz w:val="24"/>
      <w:lang w:val="en-US" w:eastAsia="zh-CN" w:bidi="ar-SA"/>
    </w:rPr>
  </w:style>
  <w:style w:type="paragraph" w:customStyle="1" w:styleId="448">
    <w:name w:val="UserStyle_288"/>
    <w:basedOn w:val="1"/>
    <w:autoRedefine/>
    <w:qFormat/>
    <w:uiPriority w:val="99"/>
    <w:pPr>
      <w:snapToGrid w:val="0"/>
      <w:spacing w:line="500" w:lineRule="exact"/>
      <w:ind w:firstLine="200" w:firstLineChars="200"/>
    </w:pPr>
    <w:rPr>
      <w:rFonts w:ascii="宋体" w:hAnsi="宋体"/>
      <w:kern w:val="0"/>
      <w:sz w:val="24"/>
    </w:rPr>
  </w:style>
  <w:style w:type="paragraph" w:customStyle="1" w:styleId="449">
    <w:name w:val="UserStyle_289"/>
    <w:basedOn w:val="88"/>
    <w:autoRedefine/>
    <w:qFormat/>
    <w:uiPriority w:val="99"/>
    <w:pPr>
      <w:tabs>
        <w:tab w:val="left" w:pos="1260"/>
      </w:tabs>
      <w:snapToGrid w:val="0"/>
      <w:spacing w:before="0" w:after="0" w:line="353" w:lineRule="auto"/>
      <w:textAlignment w:val="auto"/>
    </w:pPr>
    <w:rPr>
      <w:rFonts w:ascii="Swis721 BT" w:hAnsi="Swis721 BT" w:cs="MS Gothicfalt"/>
      <w:b w:val="0"/>
      <w:bCs/>
      <w:kern w:val="2"/>
      <w:szCs w:val="24"/>
    </w:rPr>
  </w:style>
  <w:style w:type="paragraph" w:customStyle="1" w:styleId="450">
    <w:name w:val="UserStyle_290"/>
    <w:basedOn w:val="451"/>
    <w:next w:val="1"/>
    <w:autoRedefine/>
    <w:qFormat/>
    <w:uiPriority w:val="99"/>
    <w:pPr>
      <w:pBdr>
        <w:top w:val="none" w:color="auto" w:sz="0" w:space="0"/>
      </w:pBdr>
    </w:pPr>
    <w:rPr>
      <w:b w:val="0"/>
      <w:position w:val="6"/>
    </w:rPr>
  </w:style>
  <w:style w:type="paragraph" w:customStyle="1" w:styleId="451">
    <w:name w:val="UserStyle_291"/>
    <w:basedOn w:val="1"/>
    <w:next w:val="1"/>
    <w:autoRedefine/>
    <w:qFormat/>
    <w:uiPriority w:val="99"/>
    <w:pPr>
      <w:pBdr>
        <w:top w:val="single" w:color="FFFFFF" w:sz="6" w:space="2"/>
        <w:left w:val="single" w:color="FFFFFF" w:sz="6" w:space="2"/>
        <w:bottom w:val="single" w:color="FFFFFF" w:sz="6" w:space="2"/>
        <w:right w:val="single" w:color="FFFFFF" w:sz="6" w:space="2"/>
      </w:pBdr>
      <w:shd w:val="pct10" w:color="auto" w:fill="000000"/>
      <w:spacing w:before="120" w:line="280" w:lineRule="atLeast"/>
      <w:jc w:val="left"/>
    </w:pPr>
    <w:rPr>
      <w:rFonts w:ascii="Arial" w:hAnsi="Arial"/>
      <w:b/>
      <w:spacing w:val="-10"/>
      <w:kern w:val="0"/>
      <w:position w:val="7"/>
      <w:sz w:val="20"/>
      <w:szCs w:val="20"/>
    </w:rPr>
  </w:style>
  <w:style w:type="paragraph" w:customStyle="1" w:styleId="452">
    <w:name w:val="UserStyle_292"/>
    <w:next w:val="427"/>
    <w:autoRedefine/>
    <w:qFormat/>
    <w:uiPriority w:val="99"/>
    <w:pPr>
      <w:spacing w:before="100" w:beforeAutospacing="1" w:after="100" w:afterAutospacing="1" w:line="299" w:lineRule="atLeast"/>
      <w:textAlignment w:val="baseline"/>
    </w:pPr>
    <w:rPr>
      <w:rFonts w:ascii="宋体" w:hAnsi="Times New Roman" w:eastAsia="宋体" w:cs="Times New Roman"/>
      <w:sz w:val="18"/>
      <w:szCs w:val="18"/>
      <w:lang w:val="en-US" w:eastAsia="zh-CN" w:bidi="ar-SA"/>
    </w:rPr>
  </w:style>
  <w:style w:type="paragraph" w:customStyle="1" w:styleId="453">
    <w:name w:val="UserStyle_293"/>
    <w:basedOn w:val="1"/>
    <w:autoRedefine/>
    <w:qFormat/>
    <w:uiPriority w:val="99"/>
    <w:pPr>
      <w:tabs>
        <w:tab w:val="left" w:pos="360"/>
        <w:tab w:val="left" w:pos="420"/>
        <w:tab w:val="left" w:pos="1440"/>
      </w:tabs>
      <w:ind w:left="90" w:hanging="420"/>
      <w:jc w:val="left"/>
    </w:pPr>
    <w:rPr>
      <w:rFonts w:ascii="Arial" w:hAnsi="Arial"/>
      <w:b/>
      <w:kern w:val="0"/>
      <w:sz w:val="20"/>
      <w:szCs w:val="20"/>
    </w:rPr>
  </w:style>
  <w:style w:type="paragraph" w:customStyle="1" w:styleId="454">
    <w:name w:val="UserStyle_294"/>
    <w:basedOn w:val="1"/>
    <w:autoRedefine/>
    <w:qFormat/>
    <w:uiPriority w:val="99"/>
    <w:pPr>
      <w:pBdr>
        <w:top w:val="single" w:color="000000" w:sz="4" w:space="0"/>
        <w:left w:val="single" w:color="000000" w:sz="8" w:space="0"/>
        <w:bottom w:val="single" w:color="000000" w:sz="4" w:space="0"/>
        <w:right w:val="single" w:color="000000" w:sz="4" w:space="0"/>
      </w:pBdr>
      <w:shd w:val="clear" w:color="auto" w:fill="FFFFFF"/>
      <w:spacing w:before="100" w:beforeAutospacing="1" w:after="100" w:afterAutospacing="1"/>
      <w:jc w:val="center"/>
      <w:textAlignment w:val="center"/>
    </w:pPr>
    <w:rPr>
      <w:rFonts w:ascii="宋体" w:hAnsi="宋体"/>
      <w:kern w:val="0"/>
      <w:sz w:val="24"/>
      <w:szCs w:val="20"/>
    </w:rPr>
  </w:style>
  <w:style w:type="paragraph" w:customStyle="1" w:styleId="455">
    <w:name w:val="UserStyle_295"/>
    <w:basedOn w:val="1"/>
    <w:autoRedefine/>
    <w:qFormat/>
    <w:uiPriority w:val="99"/>
    <w:pPr>
      <w:snapToGrid w:val="0"/>
      <w:ind w:firstLine="200" w:firstLineChars="200"/>
    </w:pPr>
    <w:rPr>
      <w:rFonts w:ascii="宋体" w:hAnsi="宋体" w:eastAsia="楷体_GB2312"/>
      <w:kern w:val="0"/>
      <w:szCs w:val="21"/>
    </w:rPr>
  </w:style>
  <w:style w:type="paragraph" w:customStyle="1" w:styleId="456">
    <w:name w:val="UserStyle_296"/>
    <w:basedOn w:val="87"/>
    <w:autoRedefine/>
    <w:qFormat/>
    <w:uiPriority w:val="99"/>
    <w:pPr>
      <w:spacing w:line="360" w:lineRule="auto"/>
      <w:jc w:val="left"/>
    </w:pPr>
    <w:rPr>
      <w:rFonts w:ascii="宋体-18030" w:hAnsi="宋体-18030" w:eastAsia="宋体"/>
      <w:b w:val="0"/>
      <w:color w:val="FF6600"/>
      <w:kern w:val="0"/>
      <w:sz w:val="30"/>
      <w:szCs w:val="30"/>
    </w:rPr>
  </w:style>
  <w:style w:type="paragraph" w:customStyle="1" w:styleId="457">
    <w:name w:val="UserStyle_297"/>
    <w:basedOn w:val="1"/>
    <w:autoRedefine/>
    <w:qFormat/>
    <w:uiPriority w:val="99"/>
    <w:rPr>
      <w:kern w:val="0"/>
      <w:sz w:val="20"/>
      <w:szCs w:val="20"/>
    </w:rPr>
  </w:style>
  <w:style w:type="paragraph" w:customStyle="1" w:styleId="458">
    <w:name w:val="UserStyle_298"/>
    <w:basedOn w:val="1"/>
    <w:autoRedefine/>
    <w:qFormat/>
    <w:uiPriority w:val="99"/>
    <w:pPr>
      <w:spacing w:before="100" w:after="100" w:line="460" w:lineRule="exact"/>
      <w:jc w:val="center"/>
    </w:pPr>
    <w:rPr>
      <w:rFonts w:ascii="宋体" w:hAnsi="宋体"/>
      <w:kern w:val="0"/>
      <w:sz w:val="24"/>
      <w:szCs w:val="20"/>
    </w:rPr>
  </w:style>
  <w:style w:type="paragraph" w:customStyle="1" w:styleId="459">
    <w:name w:val="UserStyle_299"/>
    <w:basedOn w:val="1"/>
    <w:next w:val="1"/>
    <w:autoRedefine/>
    <w:qFormat/>
    <w:uiPriority w:val="99"/>
    <w:pPr>
      <w:spacing w:line="460" w:lineRule="exact"/>
    </w:pPr>
    <w:rPr>
      <w:rFonts w:ascii="宋体"/>
      <w:kern w:val="0"/>
      <w:sz w:val="28"/>
      <w:szCs w:val="20"/>
    </w:rPr>
  </w:style>
  <w:style w:type="paragraph" w:customStyle="1" w:styleId="460">
    <w:name w:val="UserStyle_300"/>
    <w:basedOn w:val="1"/>
    <w:autoRedefine/>
    <w:qFormat/>
    <w:uiPriority w:val="99"/>
    <w:pPr>
      <w:snapToGrid w:val="0"/>
      <w:spacing w:line="460" w:lineRule="exact"/>
      <w:ind w:firstLine="160" w:firstLineChars="160"/>
    </w:pPr>
    <w:rPr>
      <w:rFonts w:ascii="宋体" w:hAnsi="宋体"/>
      <w:color w:val="000000"/>
      <w:kern w:val="0"/>
      <w:sz w:val="24"/>
      <w:szCs w:val="20"/>
    </w:rPr>
  </w:style>
  <w:style w:type="paragraph" w:customStyle="1" w:styleId="461">
    <w:name w:val="UserStyle_301"/>
    <w:basedOn w:val="1"/>
    <w:autoRedefine/>
    <w:qFormat/>
    <w:uiPriority w:val="99"/>
    <w:pPr>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Arial Unicode MS" w:hAnsi="Arial Unicode MS"/>
      <w:kern w:val="0"/>
      <w:sz w:val="24"/>
      <w:szCs w:val="20"/>
    </w:rPr>
  </w:style>
  <w:style w:type="paragraph" w:customStyle="1" w:styleId="462">
    <w:name w:val="UserStyle_302"/>
    <w:basedOn w:val="1"/>
    <w:autoRedefine/>
    <w:qFormat/>
    <w:uiPriority w:val="99"/>
    <w:pPr>
      <w:snapToGrid w:val="0"/>
    </w:pPr>
    <w:rPr>
      <w:rFonts w:ascii="仿宋_GB2312" w:hAnsi="Arial" w:eastAsia="仿宋_GB2312"/>
      <w:kern w:val="0"/>
      <w:szCs w:val="21"/>
    </w:rPr>
  </w:style>
  <w:style w:type="paragraph" w:customStyle="1" w:styleId="463">
    <w:name w:val="UserStyle_303"/>
    <w:basedOn w:val="1"/>
    <w:next w:val="1"/>
    <w:autoRedefine/>
    <w:qFormat/>
    <w:uiPriority w:val="99"/>
    <w:pPr>
      <w:tabs>
        <w:tab w:val="left" w:pos="720"/>
        <w:tab w:val="left" w:pos="900"/>
      </w:tabs>
      <w:snapToGrid w:val="0"/>
      <w:spacing w:before="62" w:after="62" w:line="360" w:lineRule="auto"/>
      <w:jc w:val="center"/>
    </w:pPr>
    <w:rPr>
      <w:rFonts w:ascii="宋体" w:hAnsi="Arial"/>
      <w:kern w:val="0"/>
      <w:sz w:val="18"/>
      <w:szCs w:val="20"/>
    </w:rPr>
  </w:style>
  <w:style w:type="paragraph" w:customStyle="1" w:styleId="464">
    <w:name w:val="UserStyle_304"/>
    <w:basedOn w:val="1"/>
    <w:autoRedefine/>
    <w:qFormat/>
    <w:uiPriority w:val="99"/>
    <w:pPr>
      <w:pBdr>
        <w:top w:val="single" w:color="000000" w:sz="4" w:space="0"/>
      </w:pBdr>
      <w:spacing w:before="100" w:beforeAutospacing="1" w:after="100" w:afterAutospacing="1"/>
      <w:jc w:val="left"/>
      <w:textAlignment w:val="center"/>
    </w:pPr>
    <w:rPr>
      <w:rFonts w:ascii="宋体" w:hAnsi="宋体"/>
      <w:kern w:val="0"/>
      <w:sz w:val="24"/>
    </w:rPr>
  </w:style>
  <w:style w:type="paragraph" w:customStyle="1" w:styleId="465">
    <w:name w:val="UserStyle_305"/>
    <w:basedOn w:val="1"/>
    <w:autoRedefine/>
    <w:qFormat/>
    <w:uiPriority w:val="99"/>
    <w:rPr>
      <w:rFonts w:ascii="宋体" w:hAnsi="宋体"/>
      <w:b/>
      <w:sz w:val="24"/>
    </w:rPr>
  </w:style>
  <w:style w:type="paragraph" w:customStyle="1" w:styleId="466">
    <w:name w:val="UserStyle_306"/>
    <w:basedOn w:val="1"/>
    <w:autoRedefine/>
    <w:qFormat/>
    <w:uiPriority w:val="99"/>
    <w:rPr>
      <w:rFonts w:ascii="仿宋_GB2312" w:hAnsi="宋体" w:eastAsia="仿宋_GB2312"/>
      <w:kern w:val="0"/>
      <w:sz w:val="28"/>
      <w:szCs w:val="28"/>
    </w:rPr>
  </w:style>
  <w:style w:type="paragraph" w:customStyle="1" w:styleId="467">
    <w:name w:val="UserStyle_307"/>
    <w:basedOn w:val="1"/>
    <w:autoRedefine/>
    <w:qFormat/>
    <w:uiPriority w:val="99"/>
    <w:pPr>
      <w:snapToGrid w:val="0"/>
      <w:spacing w:line="300" w:lineRule="auto"/>
      <w:ind w:firstLine="200" w:firstLineChars="200"/>
    </w:pPr>
    <w:rPr>
      <w:rFonts w:ascii="宋体" w:hAnsi="宋体"/>
      <w:b/>
      <w:bCs/>
      <w:spacing w:val="-10"/>
      <w:kern w:val="0"/>
      <w:sz w:val="24"/>
      <w:szCs w:val="20"/>
    </w:rPr>
  </w:style>
  <w:style w:type="paragraph" w:customStyle="1" w:styleId="468">
    <w:name w:val="UserStyle_308"/>
    <w:basedOn w:val="1"/>
    <w:autoRedefine/>
    <w:qFormat/>
    <w:uiPriority w:val="99"/>
    <w:pPr>
      <w:snapToGrid w:val="0"/>
      <w:spacing w:line="460" w:lineRule="exact"/>
      <w:jc w:val="center"/>
    </w:pPr>
    <w:rPr>
      <w:rFonts w:ascii="宋体"/>
      <w:kern w:val="0"/>
      <w:szCs w:val="20"/>
    </w:rPr>
  </w:style>
  <w:style w:type="paragraph" w:customStyle="1" w:styleId="469">
    <w:name w:val="UserStyle_309"/>
    <w:basedOn w:val="1"/>
    <w:autoRedefine/>
    <w:qFormat/>
    <w:uiPriority w:val="99"/>
    <w:pPr>
      <w:pBdr>
        <w:top w:val="single" w:color="000000" w:sz="4" w:space="0"/>
        <w:left w:val="single" w:color="000000" w:sz="4" w:space="0"/>
      </w:pBdr>
      <w:spacing w:before="100" w:beforeAutospacing="1" w:after="100" w:afterAutospacing="1"/>
      <w:jc w:val="left"/>
      <w:textAlignment w:val="center"/>
    </w:pPr>
    <w:rPr>
      <w:rFonts w:ascii="宋体" w:hAnsi="宋体"/>
      <w:kern w:val="0"/>
      <w:sz w:val="24"/>
    </w:rPr>
  </w:style>
  <w:style w:type="paragraph" w:customStyle="1" w:styleId="470">
    <w:name w:val="UserStyle_310"/>
    <w:basedOn w:val="1"/>
    <w:autoRedefine/>
    <w:qFormat/>
    <w:uiPriority w:val="99"/>
    <w:pPr>
      <w:tabs>
        <w:tab w:val="left" w:pos="1050"/>
      </w:tabs>
      <w:spacing w:line="300" w:lineRule="auto"/>
      <w:ind w:left="1050" w:hanging="420"/>
    </w:pPr>
    <w:rPr>
      <w:kern w:val="0"/>
      <w:sz w:val="24"/>
      <w:szCs w:val="20"/>
    </w:rPr>
  </w:style>
  <w:style w:type="paragraph" w:customStyle="1" w:styleId="471">
    <w:name w:val="UserStyle_311"/>
    <w:basedOn w:val="1"/>
    <w:autoRedefine/>
    <w:qFormat/>
    <w:uiPriority w:val="99"/>
    <w:pPr>
      <w:spacing w:before="100" w:beforeAutospacing="1" w:after="100" w:afterAutospacing="1"/>
      <w:jc w:val="left"/>
    </w:pPr>
    <w:rPr>
      <w:rFonts w:ascii="宋体" w:hAnsi="宋体"/>
      <w:kern w:val="0"/>
      <w:sz w:val="24"/>
    </w:rPr>
  </w:style>
  <w:style w:type="paragraph" w:customStyle="1" w:styleId="472">
    <w:name w:val="UserStyle_312"/>
    <w:basedOn w:val="1"/>
    <w:autoRedefine/>
    <w:qFormat/>
    <w:uiPriority w:val="99"/>
    <w:rPr>
      <w:rFonts w:ascii="Tahoma" w:hAnsi="Tahoma"/>
      <w:sz w:val="24"/>
      <w:szCs w:val="20"/>
    </w:rPr>
  </w:style>
  <w:style w:type="paragraph" w:customStyle="1" w:styleId="473">
    <w:name w:val="UserStyle_313"/>
    <w:basedOn w:val="1"/>
    <w:qFormat/>
    <w:uiPriority w:val="99"/>
    <w:pPr>
      <w:jc w:val="left"/>
    </w:pPr>
    <w:rPr>
      <w:rFonts w:ascii="宋体"/>
      <w:kern w:val="0"/>
      <w:sz w:val="34"/>
      <w:szCs w:val="20"/>
    </w:rPr>
  </w:style>
  <w:style w:type="paragraph" w:customStyle="1" w:styleId="474">
    <w:name w:val="UserStyle_314"/>
    <w:basedOn w:val="86"/>
    <w:qFormat/>
    <w:uiPriority w:val="99"/>
    <w:pPr>
      <w:keepNext/>
      <w:spacing w:before="120" w:after="120"/>
      <w:textAlignment w:val="auto"/>
    </w:pPr>
    <w:rPr>
      <w:rFonts w:ascii="黑体" w:hAnsi="黑体" w:eastAsia="黑体"/>
      <w:kern w:val="0"/>
      <w:sz w:val="32"/>
      <w:szCs w:val="20"/>
    </w:rPr>
  </w:style>
  <w:style w:type="paragraph" w:customStyle="1" w:styleId="475">
    <w:name w:val="UserStyle_315"/>
    <w:basedOn w:val="1"/>
    <w:qFormat/>
    <w:uiPriority w:val="99"/>
    <w:pPr>
      <w:spacing w:before="120" w:after="120" w:line="500" w:lineRule="exact"/>
    </w:pPr>
    <w:rPr>
      <w:rFonts w:ascii="宋体" w:hAnsi="宋体"/>
      <w:b/>
      <w:sz w:val="28"/>
      <w:szCs w:val="20"/>
    </w:rPr>
  </w:style>
  <w:style w:type="paragraph" w:customStyle="1" w:styleId="476">
    <w:name w:val="UserStyle_316"/>
    <w:autoRedefine/>
    <w:qFormat/>
    <w:uiPriority w:val="99"/>
    <w:pPr>
      <w:snapToGrid w:val="0"/>
      <w:jc w:val="center"/>
      <w:textAlignment w:val="baseline"/>
    </w:pPr>
    <w:rPr>
      <w:rFonts w:ascii="Times New Roman" w:hAnsi="Times New Roman" w:eastAsia="宋体" w:cs="Times New Roman"/>
      <w:sz w:val="21"/>
      <w:lang w:val="en-US" w:eastAsia="zh-CN" w:bidi="ar-SA"/>
    </w:rPr>
  </w:style>
  <w:style w:type="paragraph" w:customStyle="1" w:styleId="477">
    <w:name w:val="UserStyle_317"/>
    <w:basedOn w:val="1"/>
    <w:qFormat/>
    <w:uiPriority w:val="99"/>
    <w:pPr>
      <w:spacing w:line="360" w:lineRule="auto"/>
      <w:ind w:firstLine="200" w:firstLineChars="200"/>
    </w:pPr>
    <w:rPr>
      <w:rFonts w:ascii="Arial" w:hAnsi="Arial"/>
      <w:kern w:val="28"/>
      <w:sz w:val="24"/>
      <w:szCs w:val="20"/>
    </w:rPr>
  </w:style>
  <w:style w:type="paragraph" w:customStyle="1" w:styleId="478">
    <w:name w:val="UserStyle_318"/>
    <w:basedOn w:val="1"/>
    <w:qFormat/>
    <w:uiPriority w:val="99"/>
    <w:pPr>
      <w:pBdr>
        <w:top w:val="single" w:color="000000" w:sz="4" w:space="0"/>
        <w:left w:val="single" w:color="000000" w:sz="4" w:space="0"/>
        <w:bottom w:val="single" w:color="000000" w:sz="8" w:space="0"/>
        <w:right w:val="single" w:color="000000" w:sz="4" w:space="0"/>
      </w:pBdr>
      <w:spacing w:before="100" w:beforeAutospacing="1" w:after="100" w:afterAutospacing="1"/>
      <w:jc w:val="left"/>
    </w:pPr>
    <w:rPr>
      <w:rFonts w:ascii="宋体" w:hAnsi="宋体"/>
      <w:kern w:val="0"/>
      <w:sz w:val="32"/>
      <w:szCs w:val="20"/>
    </w:rPr>
  </w:style>
  <w:style w:type="paragraph" w:customStyle="1" w:styleId="479">
    <w:name w:val="UserStyle_319"/>
    <w:basedOn w:val="1"/>
    <w:qFormat/>
    <w:uiPriority w:val="99"/>
    <w:pPr>
      <w:tabs>
        <w:tab w:val="left" w:pos="576"/>
        <w:tab w:val="left" w:pos="3240"/>
      </w:tabs>
      <w:snapToGrid w:val="0"/>
      <w:spacing w:line="440" w:lineRule="atLeast"/>
      <w:ind w:firstLine="200" w:firstLineChars="200"/>
    </w:pPr>
    <w:rPr>
      <w:rFonts w:ascii="宋体"/>
      <w:sz w:val="24"/>
    </w:rPr>
  </w:style>
  <w:style w:type="paragraph" w:customStyle="1" w:styleId="480">
    <w:name w:val="UserStyle_320"/>
    <w:basedOn w:val="238"/>
    <w:qFormat/>
    <w:uiPriority w:val="99"/>
    <w:pPr>
      <w:pBdr>
        <w:bottom w:val="none" w:color="auto" w:sz="0" w:space="0"/>
      </w:pBdr>
      <w:tabs>
        <w:tab w:val="center" w:pos="4320"/>
        <w:tab w:val="right" w:pos="8640"/>
      </w:tabs>
      <w:spacing w:line="460" w:lineRule="exact"/>
      <w:ind w:firstLine="2340" w:firstLineChars="1300"/>
      <w:jc w:val="right"/>
    </w:pPr>
    <w:rPr>
      <w:rFonts w:ascii="宋体" w:hAnsi="Arial"/>
      <w:spacing w:val="3"/>
      <w:kern w:val="24"/>
      <w:sz w:val="24"/>
    </w:rPr>
  </w:style>
  <w:style w:type="paragraph" w:customStyle="1" w:styleId="481">
    <w:name w:val="UserStyle_321"/>
    <w:basedOn w:val="1"/>
    <w:next w:val="1"/>
    <w:qFormat/>
    <w:uiPriority w:val="99"/>
    <w:pPr>
      <w:spacing w:after="440" w:line="240" w:lineRule="atLeast"/>
      <w:ind w:left="2160"/>
      <w:jc w:val="left"/>
    </w:pPr>
    <w:rPr>
      <w:spacing w:val="-20"/>
      <w:kern w:val="0"/>
      <w:sz w:val="48"/>
      <w:szCs w:val="20"/>
    </w:rPr>
  </w:style>
  <w:style w:type="paragraph" w:customStyle="1" w:styleId="482">
    <w:name w:val="UserStyle_322"/>
    <w:basedOn w:val="1"/>
    <w:qFormat/>
    <w:uiPriority w:val="99"/>
    <w:pPr>
      <w:spacing w:after="120" w:line="360" w:lineRule="auto"/>
      <w:ind w:left="960" w:hanging="393"/>
      <w:jc w:val="left"/>
    </w:pPr>
    <w:rPr>
      <w:rFonts w:ascii="宋体"/>
      <w:kern w:val="0"/>
      <w:sz w:val="24"/>
      <w:szCs w:val="20"/>
    </w:rPr>
  </w:style>
  <w:style w:type="paragraph" w:customStyle="1" w:styleId="483">
    <w:name w:val="UserStyle_323"/>
    <w:basedOn w:val="1"/>
    <w:autoRedefine/>
    <w:qFormat/>
    <w:uiPriority w:val="99"/>
    <w:pPr>
      <w:spacing w:line="400" w:lineRule="atLeast"/>
      <w:ind w:firstLine="482"/>
    </w:pPr>
    <w:rPr>
      <w:kern w:val="0"/>
      <w:sz w:val="24"/>
      <w:szCs w:val="20"/>
    </w:rPr>
  </w:style>
  <w:style w:type="paragraph" w:customStyle="1" w:styleId="484">
    <w:name w:val="UserStyle_324"/>
    <w:basedOn w:val="1"/>
    <w:qFormat/>
    <w:uiPriority w:val="99"/>
    <w:pPr>
      <w:spacing w:line="320" w:lineRule="exact"/>
    </w:pPr>
    <w:rPr>
      <w:rFonts w:ascii="宋体"/>
      <w:kern w:val="0"/>
      <w:sz w:val="24"/>
      <w:szCs w:val="20"/>
    </w:rPr>
  </w:style>
  <w:style w:type="paragraph" w:customStyle="1" w:styleId="485">
    <w:name w:val="UserStyle_325"/>
    <w:basedOn w:val="1"/>
    <w:qFormat/>
    <w:uiPriority w:val="99"/>
    <w:pPr>
      <w:spacing w:after="120"/>
    </w:pPr>
    <w:rPr>
      <w:rFonts w:ascii="Arial" w:hAnsi="Arial" w:eastAsia="MS Minchofalt"/>
      <w:kern w:val="0"/>
      <w:sz w:val="22"/>
      <w:szCs w:val="20"/>
      <w:lang w:val="de-DE" w:eastAsia="ja-JP"/>
    </w:rPr>
  </w:style>
  <w:style w:type="paragraph" w:customStyle="1" w:styleId="486">
    <w:name w:val="UserStyle_326"/>
    <w:basedOn w:val="26"/>
    <w:qFormat/>
    <w:uiPriority w:val="99"/>
    <w:pPr>
      <w:spacing w:line="360" w:lineRule="auto"/>
      <w:ind w:left="0" w:leftChars="0"/>
    </w:pPr>
    <w:rPr>
      <w:rFonts w:ascii="Times New Roman" w:eastAsia="黑体"/>
      <w:sz w:val="24"/>
      <w:szCs w:val="20"/>
    </w:rPr>
  </w:style>
  <w:style w:type="paragraph" w:customStyle="1" w:styleId="487">
    <w:name w:val="UserStyle_327"/>
    <w:basedOn w:val="1"/>
    <w:autoRedefine/>
    <w:qFormat/>
    <w:uiPriority w:val="99"/>
    <w:pPr>
      <w:pBdr>
        <w:top w:val="single" w:color="000000" w:sz="8" w:space="0"/>
        <w:left w:val="single" w:color="000000" w:sz="8" w:space="0"/>
        <w:bottom w:val="single" w:color="000000" w:sz="4" w:space="0"/>
        <w:right w:val="single" w:color="000000" w:sz="4" w:space="0"/>
      </w:pBdr>
      <w:spacing w:before="100" w:beforeAutospacing="1" w:after="100" w:afterAutospacing="1"/>
      <w:jc w:val="left"/>
    </w:pPr>
    <w:rPr>
      <w:rFonts w:ascii="宋体" w:hAnsi="宋体"/>
      <w:kern w:val="0"/>
      <w:sz w:val="32"/>
      <w:szCs w:val="20"/>
    </w:rPr>
  </w:style>
  <w:style w:type="paragraph" w:customStyle="1" w:styleId="488">
    <w:name w:val="UserStyle_328"/>
    <w:basedOn w:val="1"/>
    <w:qFormat/>
    <w:uiPriority w:val="99"/>
    <w:pPr>
      <w:ind w:left="419" w:hanging="419"/>
    </w:pPr>
    <w:rPr>
      <w:rFonts w:ascii="仿宋_GB2312" w:hAnsi="宋体" w:eastAsia="仿宋_GB2312"/>
      <w:sz w:val="28"/>
      <w:szCs w:val="28"/>
    </w:rPr>
  </w:style>
  <w:style w:type="paragraph" w:customStyle="1" w:styleId="489">
    <w:name w:val="UserStyle_329"/>
    <w:basedOn w:val="1"/>
    <w:qFormat/>
    <w:uiPriority w:val="99"/>
    <w:pPr>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Arial Unicode MS" w:hAnsi="Arial Unicode MS"/>
      <w:color w:val="000000"/>
      <w:kern w:val="0"/>
      <w:sz w:val="24"/>
      <w:szCs w:val="20"/>
    </w:rPr>
  </w:style>
  <w:style w:type="paragraph" w:customStyle="1" w:styleId="490">
    <w:name w:val="UserStyle_330"/>
    <w:basedOn w:val="1"/>
    <w:qFormat/>
    <w:uiPriority w:val="99"/>
    <w:pPr>
      <w:spacing w:before="60" w:after="60" w:line="240" w:lineRule="atLeast"/>
      <w:jc w:val="center"/>
    </w:pPr>
    <w:rPr>
      <w:kern w:val="0"/>
      <w:szCs w:val="21"/>
    </w:rPr>
  </w:style>
  <w:style w:type="paragraph" w:customStyle="1" w:styleId="491">
    <w:name w:val="UserStyle_331"/>
    <w:basedOn w:val="1"/>
    <w:qFormat/>
    <w:uiPriority w:val="99"/>
    <w:pPr>
      <w:ind w:right="-874"/>
    </w:pPr>
    <w:rPr>
      <w:rFonts w:ascii="宋体" w:hAnsi="宋体"/>
      <w:b/>
      <w:bCs/>
      <w:sz w:val="28"/>
      <w:szCs w:val="20"/>
    </w:rPr>
  </w:style>
  <w:style w:type="paragraph" w:customStyle="1" w:styleId="492">
    <w:name w:val="UserStyle_332"/>
    <w:basedOn w:val="1"/>
    <w:qFormat/>
    <w:uiPriority w:val="99"/>
    <w:pPr>
      <w:tabs>
        <w:tab w:val="left" w:pos="525"/>
      </w:tabs>
      <w:spacing w:line="400" w:lineRule="exact"/>
      <w:jc w:val="center"/>
    </w:pPr>
    <w:rPr>
      <w:rFonts w:ascii="New York" w:hAnsi="New York" w:eastAsia="楷体_GB2312"/>
      <w:kern w:val="0"/>
      <w:position w:val="-6"/>
      <w:sz w:val="24"/>
      <w:szCs w:val="20"/>
      <w:lang w:val="fr-FR"/>
    </w:rPr>
  </w:style>
  <w:style w:type="paragraph" w:customStyle="1" w:styleId="493">
    <w:name w:val="UserStyle_333"/>
    <w:basedOn w:val="1"/>
    <w:qFormat/>
    <w:uiPriority w:val="99"/>
    <w:pPr>
      <w:spacing w:before="120" w:after="60"/>
      <w:jc w:val="center"/>
    </w:pPr>
    <w:rPr>
      <w:kern w:val="0"/>
      <w:sz w:val="32"/>
      <w:szCs w:val="32"/>
    </w:rPr>
  </w:style>
  <w:style w:type="paragraph" w:customStyle="1" w:styleId="494">
    <w:name w:val="UserStyle_334"/>
    <w:basedOn w:val="1"/>
    <w:autoRedefine/>
    <w:qFormat/>
    <w:uiPriority w:val="99"/>
    <w:rPr>
      <w:szCs w:val="20"/>
    </w:rPr>
  </w:style>
  <w:style w:type="paragraph" w:customStyle="1" w:styleId="495">
    <w:name w:val="UserStyle_335"/>
    <w:basedOn w:val="1"/>
    <w:qFormat/>
    <w:uiPriority w:val="99"/>
    <w:pPr>
      <w:spacing w:line="320" w:lineRule="exact"/>
      <w:jc w:val="left"/>
    </w:pPr>
    <w:rPr>
      <w:rFonts w:ascii="Arial" w:hAnsi="Arial"/>
      <w:kern w:val="0"/>
      <w:sz w:val="22"/>
      <w:szCs w:val="20"/>
      <w:lang w:val="en-GB"/>
    </w:rPr>
  </w:style>
  <w:style w:type="paragraph" w:customStyle="1" w:styleId="496">
    <w:name w:val="UserStyle_336"/>
    <w:basedOn w:val="1"/>
    <w:autoRedefine/>
    <w:qFormat/>
    <w:uiPriority w:val="99"/>
    <w:pPr>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right"/>
      <w:textAlignment w:val="center"/>
    </w:pPr>
    <w:rPr>
      <w:rFonts w:ascii="宋体" w:hAnsi="宋体"/>
      <w:color w:val="000000"/>
      <w:kern w:val="0"/>
      <w:sz w:val="18"/>
      <w:szCs w:val="18"/>
    </w:rPr>
  </w:style>
  <w:style w:type="paragraph" w:customStyle="1" w:styleId="497">
    <w:name w:val="UserStyle_337"/>
    <w:basedOn w:val="1"/>
    <w:qFormat/>
    <w:uiPriority w:val="99"/>
    <w:pPr>
      <w:spacing w:line="674" w:lineRule="atLeast"/>
      <w:ind w:firstLine="453"/>
    </w:pPr>
    <w:rPr>
      <w:rFonts w:ascii="宋体"/>
      <w:color w:val="000000"/>
      <w:kern w:val="0"/>
      <w:szCs w:val="20"/>
    </w:rPr>
  </w:style>
  <w:style w:type="paragraph" w:customStyle="1" w:styleId="498">
    <w:name w:val="UserStyle_338"/>
    <w:basedOn w:val="1"/>
    <w:autoRedefine/>
    <w:qFormat/>
    <w:uiPriority w:val="99"/>
    <w:pPr>
      <w:spacing w:line="480" w:lineRule="atLeast"/>
      <w:ind w:firstLine="482"/>
    </w:pPr>
    <w:rPr>
      <w:kern w:val="24"/>
      <w:sz w:val="24"/>
      <w:szCs w:val="20"/>
    </w:rPr>
  </w:style>
  <w:style w:type="paragraph" w:customStyle="1" w:styleId="499">
    <w:name w:val="UserStyle_339"/>
    <w:basedOn w:val="267"/>
    <w:qFormat/>
    <w:uiPriority w:val="99"/>
    <w:pPr>
      <w:tabs>
        <w:tab w:val="left" w:pos="564"/>
        <w:tab w:val="left" w:pos="893"/>
      </w:tabs>
      <w:ind w:left="564" w:firstLine="0" w:firstLineChars="0"/>
    </w:pPr>
    <w:rPr>
      <w:sz w:val="28"/>
    </w:rPr>
  </w:style>
  <w:style w:type="paragraph" w:customStyle="1" w:styleId="500">
    <w:name w:val="UserStyle_340"/>
    <w:basedOn w:val="1"/>
    <w:next w:val="89"/>
    <w:qFormat/>
    <w:uiPriority w:val="99"/>
    <w:pPr>
      <w:tabs>
        <w:tab w:val="left" w:pos="1680"/>
      </w:tabs>
      <w:ind w:left="1680" w:hanging="420"/>
    </w:pPr>
    <w:rPr>
      <w:rFonts w:ascii="宋体" w:hAnsi="宋体" w:eastAsia="黑体"/>
      <w:b/>
      <w:bCs/>
      <w:kern w:val="0"/>
      <w:szCs w:val="20"/>
    </w:rPr>
  </w:style>
  <w:style w:type="paragraph" w:customStyle="1" w:styleId="501">
    <w:name w:val="UserStyle_341"/>
    <w:basedOn w:val="1"/>
    <w:next w:val="87"/>
    <w:qFormat/>
    <w:uiPriority w:val="99"/>
    <w:pPr>
      <w:snapToGrid w:val="0"/>
      <w:spacing w:line="360" w:lineRule="auto"/>
      <w:ind w:firstLine="200" w:firstLineChars="200"/>
    </w:pPr>
    <w:rPr>
      <w:sz w:val="24"/>
    </w:rPr>
  </w:style>
  <w:style w:type="paragraph" w:customStyle="1" w:styleId="502">
    <w:name w:val="UserStyle_342"/>
    <w:basedOn w:val="87"/>
    <w:autoRedefine/>
    <w:qFormat/>
    <w:uiPriority w:val="99"/>
    <w:pPr>
      <w:snapToGrid w:val="0"/>
      <w:spacing w:line="353" w:lineRule="auto"/>
    </w:pPr>
    <w:rPr>
      <w:rFonts w:ascii="Swis721 BT" w:hAnsi="Swis721 BT" w:eastAsia="宋体" w:cs="MS Gothicfalt"/>
      <w:bCs/>
      <w:sz w:val="30"/>
      <w:szCs w:val="24"/>
    </w:rPr>
  </w:style>
  <w:style w:type="paragraph" w:customStyle="1" w:styleId="503">
    <w:name w:val="UserStyle_343"/>
    <w:basedOn w:val="1"/>
    <w:qFormat/>
    <w:uiPriority w:val="99"/>
    <w:rPr>
      <w:sz w:val="24"/>
    </w:rPr>
  </w:style>
  <w:style w:type="paragraph" w:customStyle="1" w:styleId="504">
    <w:name w:val="UserStyle_344"/>
    <w:basedOn w:val="1"/>
    <w:qFormat/>
    <w:uiPriority w:val="99"/>
    <w:pPr>
      <w:pBdr>
        <w:top w:val="single" w:color="000000" w:sz="8" w:space="0"/>
        <w:left w:val="single" w:color="000000" w:sz="4" w:space="0"/>
        <w:right w:val="single" w:color="000000" w:sz="4" w:space="0"/>
      </w:pBdr>
      <w:spacing w:before="100" w:beforeAutospacing="1" w:after="100" w:afterAutospacing="1"/>
      <w:jc w:val="left"/>
      <w:textAlignment w:val="center"/>
    </w:pPr>
    <w:rPr>
      <w:rFonts w:ascii="宋体" w:hAnsi="宋体"/>
      <w:kern w:val="0"/>
      <w:sz w:val="24"/>
    </w:rPr>
  </w:style>
  <w:style w:type="paragraph" w:customStyle="1" w:styleId="505">
    <w:name w:val="UserStyle_345"/>
    <w:autoRedefine/>
    <w:qFormat/>
    <w:uiPriority w:val="99"/>
    <w:pPr>
      <w:tabs>
        <w:tab w:val="left" w:pos="1134"/>
        <w:tab w:val="left" w:pos="1710"/>
        <w:tab w:val="left" w:pos="2268"/>
        <w:tab w:val="left" w:pos="2835"/>
        <w:tab w:val="left" w:pos="3402"/>
        <w:tab w:val="left" w:pos="3969"/>
        <w:tab w:val="left" w:pos="4536"/>
        <w:tab w:val="left" w:pos="5130"/>
        <w:tab w:val="left" w:pos="5700"/>
        <w:tab w:val="left" w:pos="6270"/>
        <w:tab w:val="left" w:pos="6840"/>
        <w:tab w:val="left" w:pos="7410"/>
        <w:tab w:val="left" w:pos="7980"/>
        <w:tab w:val="left" w:pos="8550"/>
        <w:tab w:val="left" w:pos="9072"/>
        <w:tab w:val="left" w:pos="9639"/>
        <w:tab w:val="left" w:pos="10206"/>
        <w:tab w:val="left" w:pos="10773"/>
        <w:tab w:val="left" w:pos="11340"/>
      </w:tabs>
      <w:spacing w:after="170"/>
      <w:ind w:left="850"/>
      <w:jc w:val="both"/>
      <w:textAlignment w:val="baseline"/>
    </w:pPr>
    <w:rPr>
      <w:rFonts w:ascii="Helv" w:hAnsi="Helv" w:eastAsia="宋体" w:cs="Times New Roman"/>
      <w:color w:val="000000"/>
      <w:sz w:val="22"/>
      <w:lang w:val="de-DE" w:eastAsia="en-US" w:bidi="ar-SA"/>
    </w:rPr>
  </w:style>
  <w:style w:type="paragraph" w:customStyle="1" w:styleId="506">
    <w:name w:val="UserStyle_346"/>
    <w:basedOn w:val="1"/>
    <w:qFormat/>
    <w:uiPriority w:val="99"/>
    <w:pPr>
      <w:shd w:val="clear" w:color="auto" w:fill="FFFFFF"/>
      <w:spacing w:before="340" w:after="340" w:line="260" w:lineRule="exact"/>
      <w:ind w:firstLine="600"/>
      <w:jc w:val="distribute"/>
    </w:pPr>
    <w:rPr>
      <w:rFonts w:ascii="PMingLiUfalt" w:hAnsi="PMingLiUfalt" w:eastAsia="PMingLiUfalt"/>
      <w:spacing w:val="50"/>
      <w:sz w:val="26"/>
      <w:szCs w:val="26"/>
    </w:rPr>
  </w:style>
  <w:style w:type="paragraph" w:customStyle="1" w:styleId="507">
    <w:name w:val="178"/>
    <w:autoRedefine/>
    <w:semiHidden/>
    <w:qFormat/>
    <w:uiPriority w:val="99"/>
    <w:pPr>
      <w:textAlignment w:val="baseline"/>
    </w:pPr>
    <w:rPr>
      <w:rFonts w:ascii="Times New Roman" w:hAnsi="Times New Roman" w:eastAsia="宋体" w:cs="Times New Roman"/>
      <w:kern w:val="2"/>
      <w:sz w:val="21"/>
      <w:szCs w:val="24"/>
      <w:lang w:val="en-US" w:eastAsia="zh-CN" w:bidi="ar-SA"/>
    </w:rPr>
  </w:style>
  <w:style w:type="paragraph" w:customStyle="1" w:styleId="508">
    <w:name w:val="UserStyle_347"/>
    <w:basedOn w:val="267"/>
    <w:qFormat/>
    <w:uiPriority w:val="99"/>
    <w:pPr>
      <w:snapToGrid w:val="0"/>
      <w:spacing w:line="480" w:lineRule="exact"/>
      <w:ind w:left="13" w:leftChars="6" w:firstLine="560"/>
    </w:pPr>
    <w:rPr>
      <w:rFonts w:hAnsi="宋体"/>
      <w:kern w:val="0"/>
      <w:sz w:val="28"/>
    </w:rPr>
  </w:style>
  <w:style w:type="paragraph" w:customStyle="1" w:styleId="509">
    <w:name w:val="UserStyle_348"/>
    <w:basedOn w:val="1"/>
    <w:autoRedefine/>
    <w:qFormat/>
    <w:uiPriority w:val="99"/>
    <w:pPr>
      <w:spacing w:line="360" w:lineRule="auto"/>
      <w:ind w:firstLine="510"/>
      <w:jc w:val="left"/>
    </w:pPr>
    <w:rPr>
      <w:i/>
      <w:sz w:val="24"/>
      <w:szCs w:val="20"/>
    </w:rPr>
  </w:style>
  <w:style w:type="paragraph" w:customStyle="1" w:styleId="510">
    <w:name w:val="UserStyle_349"/>
    <w:basedOn w:val="1"/>
    <w:qFormat/>
    <w:uiPriority w:val="99"/>
    <w:pPr>
      <w:spacing w:line="360" w:lineRule="auto"/>
      <w:ind w:left="510"/>
      <w:jc w:val="left"/>
    </w:pPr>
    <w:rPr>
      <w:sz w:val="24"/>
      <w:szCs w:val="20"/>
    </w:rPr>
  </w:style>
  <w:style w:type="paragraph" w:customStyle="1" w:styleId="511">
    <w:name w:val="UserStyle_350"/>
    <w:basedOn w:val="238"/>
    <w:qFormat/>
    <w:uiPriority w:val="99"/>
    <w:pPr>
      <w:ind w:firstLine="2340" w:firstLineChars="1300"/>
      <w:jc w:val="both"/>
    </w:pPr>
  </w:style>
  <w:style w:type="paragraph" w:customStyle="1" w:styleId="512">
    <w:name w:val="UserStyle_351"/>
    <w:qFormat/>
    <w:uiPriority w:val="99"/>
    <w:pPr>
      <w:tabs>
        <w:tab w:val="left" w:pos="420"/>
      </w:tabs>
      <w:spacing w:line="360" w:lineRule="auto"/>
      <w:textAlignment w:val="baseline"/>
    </w:pPr>
    <w:rPr>
      <w:rFonts w:ascii="Times New Roman" w:hAnsi="Times New Roman" w:eastAsia="宋体" w:cs="Times New Roman"/>
      <w:sz w:val="24"/>
      <w:lang w:val="en-US" w:eastAsia="zh-CN" w:bidi="ar-SA"/>
    </w:rPr>
  </w:style>
  <w:style w:type="paragraph" w:customStyle="1" w:styleId="513">
    <w:name w:val="UserStyle_352"/>
    <w:basedOn w:val="87"/>
    <w:qFormat/>
    <w:uiPriority w:val="99"/>
    <w:pPr>
      <w:spacing w:before="0" w:after="0" w:line="480" w:lineRule="auto"/>
    </w:pPr>
    <w:rPr>
      <w:rFonts w:ascii="黑体" w:hAnsi="宋体" w:eastAsia="宋体"/>
      <w:bCs/>
      <w:sz w:val="24"/>
      <w:szCs w:val="24"/>
    </w:rPr>
  </w:style>
  <w:style w:type="paragraph" w:customStyle="1" w:styleId="514">
    <w:name w:val="UserStyle_353"/>
    <w:next w:val="1"/>
    <w:qFormat/>
    <w:uiPriority w:val="99"/>
    <w:pPr>
      <w:spacing w:line="360" w:lineRule="auto"/>
      <w:jc w:val="center"/>
      <w:textAlignment w:val="baseline"/>
    </w:pPr>
    <w:rPr>
      <w:rFonts w:ascii="Arial" w:hAnsi="Arial" w:eastAsia="宋体" w:cs="Times New Roman"/>
      <w:sz w:val="19"/>
      <w:lang w:val="en-US" w:eastAsia="zh-CN" w:bidi="ar-SA"/>
    </w:rPr>
  </w:style>
  <w:style w:type="paragraph" w:customStyle="1" w:styleId="515">
    <w:name w:val="UserStyle_354"/>
    <w:basedOn w:val="1"/>
    <w:qFormat/>
    <w:uiPriority w:val="99"/>
    <w:pPr>
      <w:pBdr>
        <w:top w:val="single" w:color="000000" w:sz="4" w:space="0"/>
        <w:bottom w:val="single" w:color="000000" w:sz="4" w:space="0"/>
        <w:right w:val="single" w:color="000000" w:sz="8" w:space="0"/>
      </w:pBdr>
      <w:spacing w:before="100" w:beforeAutospacing="1" w:after="100" w:afterAutospacing="1"/>
      <w:jc w:val="center"/>
      <w:textAlignment w:val="center"/>
    </w:pPr>
    <w:rPr>
      <w:rFonts w:ascii="宋体" w:hAnsi="宋体"/>
      <w:color w:val="FF0000"/>
      <w:kern w:val="0"/>
      <w:sz w:val="24"/>
    </w:rPr>
  </w:style>
  <w:style w:type="paragraph" w:customStyle="1" w:styleId="516">
    <w:name w:val="UserStyle_355"/>
    <w:basedOn w:val="1"/>
    <w:autoRedefine/>
    <w:qFormat/>
    <w:uiPriority w:val="99"/>
    <w:rPr>
      <w:szCs w:val="20"/>
    </w:rPr>
  </w:style>
  <w:style w:type="paragraph" w:customStyle="1" w:styleId="517">
    <w:name w:val="UserStyle_356"/>
    <w:basedOn w:val="1"/>
    <w:qFormat/>
    <w:uiPriority w:val="99"/>
    <w:pPr>
      <w:snapToGrid w:val="0"/>
      <w:spacing w:before="120" w:line="440" w:lineRule="atLeast"/>
      <w:jc w:val="center"/>
    </w:pPr>
    <w:rPr>
      <w:rFonts w:eastAsia="黑体"/>
      <w:color w:val="333300"/>
      <w:kern w:val="0"/>
      <w:sz w:val="32"/>
      <w:szCs w:val="21"/>
    </w:rPr>
  </w:style>
  <w:style w:type="paragraph" w:customStyle="1" w:styleId="518">
    <w:name w:val="UserStyle_357"/>
    <w:basedOn w:val="87"/>
    <w:qFormat/>
    <w:uiPriority w:val="99"/>
    <w:pPr>
      <w:snapToGrid w:val="0"/>
      <w:spacing w:line="353" w:lineRule="auto"/>
    </w:pPr>
    <w:rPr>
      <w:rFonts w:ascii="Swis721 BT" w:hAnsi="Swis721 BT" w:eastAsia="宋体" w:cs="MS Gothicfalt"/>
      <w:bCs/>
      <w:sz w:val="24"/>
      <w:szCs w:val="24"/>
    </w:rPr>
  </w:style>
  <w:style w:type="paragraph" w:customStyle="1" w:styleId="519">
    <w:name w:val="UserStyle_358"/>
    <w:basedOn w:val="1"/>
    <w:next w:val="1"/>
    <w:qFormat/>
    <w:uiPriority w:val="99"/>
    <w:pPr>
      <w:spacing w:line="360" w:lineRule="atLeast"/>
    </w:pPr>
    <w:rPr>
      <w:rFonts w:ascii="宋体"/>
      <w:kern w:val="0"/>
      <w:sz w:val="28"/>
      <w:szCs w:val="20"/>
    </w:rPr>
  </w:style>
  <w:style w:type="paragraph" w:customStyle="1" w:styleId="520">
    <w:name w:val="UserStyle_359"/>
    <w:basedOn w:val="1"/>
    <w:autoRedefine/>
    <w:qFormat/>
    <w:uiPriority w:val="99"/>
    <w:pPr>
      <w:spacing w:before="100" w:beforeAutospacing="1" w:after="100" w:afterAutospacing="1"/>
      <w:jc w:val="left"/>
    </w:pPr>
    <w:rPr>
      <w:rFonts w:ascii="宋体" w:hAnsi="宋体"/>
      <w:kern w:val="0"/>
      <w:sz w:val="32"/>
      <w:szCs w:val="20"/>
    </w:rPr>
  </w:style>
  <w:style w:type="paragraph" w:customStyle="1" w:styleId="521">
    <w:name w:val="UserStyle_360"/>
    <w:basedOn w:val="1"/>
    <w:qFormat/>
    <w:uiPriority w:val="99"/>
    <w:pPr>
      <w:spacing w:line="360" w:lineRule="auto"/>
      <w:ind w:left="961" w:leftChars="228" w:hanging="482" w:hangingChars="200"/>
    </w:pPr>
    <w:rPr>
      <w:rFonts w:ascii="宋体" w:hAnsi="宋体"/>
      <w:b/>
      <w:bCs/>
      <w:sz w:val="28"/>
      <w:szCs w:val="20"/>
    </w:rPr>
  </w:style>
  <w:style w:type="paragraph" w:customStyle="1" w:styleId="522">
    <w:name w:val="UserStyle_361"/>
    <w:basedOn w:val="1"/>
    <w:qFormat/>
    <w:uiPriority w:val="99"/>
    <w:pPr>
      <w:snapToGrid w:val="0"/>
      <w:spacing w:line="460" w:lineRule="exact"/>
      <w:ind w:firstLine="200" w:firstLineChars="200"/>
      <w:jc w:val="center"/>
    </w:pPr>
    <w:rPr>
      <w:rFonts w:ascii="黑体" w:eastAsia="黑体"/>
      <w:b/>
      <w:kern w:val="0"/>
      <w:sz w:val="24"/>
    </w:rPr>
  </w:style>
  <w:style w:type="paragraph" w:customStyle="1" w:styleId="523">
    <w:name w:val="UserStyle_362"/>
    <w:qFormat/>
    <w:uiPriority w:val="99"/>
    <w:pPr>
      <w:spacing w:line="440" w:lineRule="atLeast"/>
      <w:textAlignment w:val="baseline"/>
    </w:pPr>
    <w:rPr>
      <w:rFonts w:ascii="Times New Roman" w:hAnsi="Times New Roman" w:eastAsia="宋体" w:cs="Times New Roman"/>
      <w:lang w:val="en-US" w:eastAsia="zh-CN" w:bidi="ar-SA"/>
    </w:rPr>
  </w:style>
  <w:style w:type="paragraph" w:customStyle="1" w:styleId="524">
    <w:name w:val="UserStyle_363"/>
    <w:basedOn w:val="1"/>
    <w:qFormat/>
    <w:uiPriority w:val="99"/>
    <w:pPr>
      <w:jc w:val="center"/>
    </w:pPr>
    <w:rPr>
      <w:rFonts w:ascii="Arial" w:hAnsi="Arial"/>
      <w:b/>
      <w:color w:val="000000"/>
      <w:sz w:val="24"/>
      <w:szCs w:val="20"/>
    </w:rPr>
  </w:style>
  <w:style w:type="paragraph" w:customStyle="1" w:styleId="525">
    <w:name w:val="UserStyle_364"/>
    <w:basedOn w:val="1"/>
    <w:next w:val="1"/>
    <w:qFormat/>
    <w:uiPriority w:val="99"/>
    <w:pPr>
      <w:tabs>
        <w:tab w:val="left" w:pos="2160"/>
        <w:tab w:val="right" w:pos="6480"/>
      </w:tabs>
      <w:spacing w:before="220" w:after="40" w:line="240" w:lineRule="atLeast"/>
      <w:ind w:right="-360"/>
      <w:jc w:val="left"/>
    </w:pPr>
    <w:rPr>
      <w:kern w:val="0"/>
      <w:sz w:val="20"/>
      <w:szCs w:val="20"/>
    </w:rPr>
  </w:style>
  <w:style w:type="paragraph" w:customStyle="1" w:styleId="526">
    <w:name w:val="UserStyle_365"/>
    <w:basedOn w:val="1"/>
    <w:qFormat/>
    <w:uiPriority w:val="99"/>
    <w:pPr>
      <w:tabs>
        <w:tab w:val="left" w:pos="720"/>
      </w:tabs>
      <w:ind w:left="720" w:hanging="720" w:hangingChars="300"/>
    </w:pPr>
    <w:rPr>
      <w:rFonts w:eastAsia="仿宋_GB2312"/>
      <w:szCs w:val="20"/>
    </w:rPr>
  </w:style>
  <w:style w:type="paragraph" w:customStyle="1" w:styleId="527">
    <w:name w:val="UserStyle_366"/>
    <w:basedOn w:val="460"/>
    <w:autoRedefine/>
    <w:qFormat/>
    <w:uiPriority w:val="99"/>
    <w:pPr>
      <w:spacing w:line="240" w:lineRule="auto"/>
      <w:ind w:firstLine="0" w:firstLineChars="0"/>
      <w:jc w:val="center"/>
    </w:pPr>
    <w:rPr>
      <w:sz w:val="21"/>
      <w:szCs w:val="21"/>
    </w:rPr>
  </w:style>
  <w:style w:type="paragraph" w:customStyle="1" w:styleId="528">
    <w:name w:val="UserStyle_367"/>
    <w:basedOn w:val="1"/>
    <w:qFormat/>
    <w:uiPriority w:val="99"/>
    <w:pPr>
      <w:tabs>
        <w:tab w:val="left" w:pos="567"/>
      </w:tabs>
      <w:spacing w:line="410" w:lineRule="atLeast"/>
      <w:ind w:firstLine="480"/>
      <w:jc w:val="left"/>
    </w:pPr>
    <w:rPr>
      <w:rFonts w:ascii="宋体"/>
      <w:kern w:val="0"/>
      <w:sz w:val="24"/>
      <w:szCs w:val="20"/>
    </w:rPr>
  </w:style>
  <w:style w:type="paragraph" w:customStyle="1" w:styleId="529">
    <w:name w:val="UserStyle_368"/>
    <w:basedOn w:val="86"/>
    <w:qFormat/>
    <w:uiPriority w:val="99"/>
    <w:pPr>
      <w:keepNext/>
      <w:keepLines/>
      <w:spacing w:before="340" w:after="330" w:line="578" w:lineRule="auto"/>
      <w:textAlignment w:val="auto"/>
    </w:pPr>
    <w:rPr>
      <w:rFonts w:ascii="Times New Roman" w:hAnsi="Times New Roman"/>
      <w:bCs/>
      <w:kern w:val="44"/>
      <w:sz w:val="44"/>
      <w:szCs w:val="20"/>
    </w:rPr>
  </w:style>
  <w:style w:type="paragraph" w:customStyle="1" w:styleId="530">
    <w:name w:val="UserStyle_369"/>
    <w:qFormat/>
    <w:uiPriority w:val="99"/>
    <w:pPr>
      <w:spacing w:line="360" w:lineRule="atLeast"/>
      <w:ind w:left="425" w:hanging="425"/>
      <w:textAlignment w:val="bottom"/>
    </w:pPr>
    <w:rPr>
      <w:rFonts w:ascii="宋体" w:hAnsi="Times New Roman" w:eastAsia="宋体" w:cs="Times New Roman"/>
      <w:position w:val="-6"/>
      <w:sz w:val="32"/>
      <w:lang w:val="en-US" w:eastAsia="zh-CN" w:bidi="ar-SA"/>
    </w:rPr>
  </w:style>
  <w:style w:type="paragraph" w:customStyle="1" w:styleId="531">
    <w:name w:val="UserStyle_370"/>
    <w:basedOn w:val="1"/>
    <w:autoRedefine/>
    <w:qFormat/>
    <w:uiPriority w:val="99"/>
    <w:pPr>
      <w:spacing w:after="100" w:line="460" w:lineRule="exact"/>
      <w:jc w:val="right"/>
      <w:textAlignment w:val="bottom"/>
    </w:pPr>
    <w:rPr>
      <w:rFonts w:ascii="宋体" w:hAnsi="宋体"/>
      <w:kern w:val="0"/>
    </w:rPr>
  </w:style>
  <w:style w:type="paragraph" w:customStyle="1" w:styleId="532">
    <w:name w:val="UserStyle_371"/>
    <w:next w:val="85"/>
    <w:qFormat/>
    <w:uiPriority w:val="99"/>
    <w:pPr>
      <w:tabs>
        <w:tab w:val="left" w:pos="0"/>
      </w:tabs>
      <w:spacing w:line="440" w:lineRule="exact"/>
      <w:ind w:firstLine="460" w:firstLineChars="200"/>
      <w:textAlignment w:val="baseline"/>
    </w:pPr>
    <w:rPr>
      <w:rFonts w:ascii="Arial" w:hAnsi="Arial" w:eastAsia="宋体" w:cs="Times New Roman"/>
      <w:color w:val="000000"/>
      <w:spacing w:val="10"/>
      <w:kern w:val="2"/>
      <w:sz w:val="21"/>
      <w:lang w:val="en-US" w:eastAsia="zh-CN" w:bidi="ar-SA"/>
    </w:rPr>
  </w:style>
  <w:style w:type="paragraph" w:customStyle="1" w:styleId="533">
    <w:name w:val="UserStyle_372"/>
    <w:basedOn w:val="89"/>
    <w:qFormat/>
    <w:uiPriority w:val="99"/>
    <w:pPr>
      <w:tabs>
        <w:tab w:val="left" w:pos="2100"/>
      </w:tabs>
      <w:spacing w:before="0" w:after="0" w:line="240" w:lineRule="auto"/>
      <w:ind w:hanging="420"/>
    </w:pPr>
    <w:rPr>
      <w:rFonts w:ascii="Times New Roman" w:hAnsi="Times New Roman" w:eastAsia="宋体"/>
      <w:color w:val="000000"/>
      <w:sz w:val="21"/>
      <w:szCs w:val="21"/>
    </w:rPr>
  </w:style>
  <w:style w:type="paragraph" w:customStyle="1" w:styleId="534">
    <w:name w:val="UserStyle_373"/>
    <w:qFormat/>
    <w:uiPriority w:val="99"/>
    <w:pPr>
      <w:snapToGrid w:val="0"/>
      <w:jc w:val="both"/>
      <w:textAlignment w:val="baseline"/>
    </w:pPr>
    <w:rPr>
      <w:rFonts w:ascii="Times New Roman" w:hAnsi="Times New Roman" w:eastAsia="宋体" w:cs="Times New Roman"/>
      <w:sz w:val="21"/>
      <w:lang w:val="en-US" w:eastAsia="zh-CN" w:bidi="ar-SA"/>
    </w:rPr>
  </w:style>
  <w:style w:type="paragraph" w:customStyle="1" w:styleId="535">
    <w:name w:val="UserStyle_374"/>
    <w:basedOn w:val="1"/>
    <w:autoRedefine/>
    <w:qFormat/>
    <w:uiPriority w:val="99"/>
    <w:pPr>
      <w:snapToGrid w:val="0"/>
      <w:spacing w:line="353" w:lineRule="auto"/>
      <w:ind w:firstLine="200" w:firstLineChars="200"/>
    </w:pPr>
    <w:rPr>
      <w:rFonts w:ascii="宋体" w:eastAsia="MS Gothicfalt"/>
      <w:kern w:val="0"/>
      <w:sz w:val="28"/>
      <w:szCs w:val="21"/>
    </w:rPr>
  </w:style>
  <w:style w:type="paragraph" w:customStyle="1" w:styleId="536">
    <w:name w:val="UserStyle_375"/>
    <w:autoRedefine/>
    <w:qFormat/>
    <w:uiPriority w:val="99"/>
    <w:pPr>
      <w:spacing w:line="360" w:lineRule="atLeast"/>
      <w:ind w:firstLine="576"/>
      <w:textAlignment w:val="baseline"/>
    </w:pPr>
    <w:rPr>
      <w:rFonts w:ascii="宋体" w:hAnsi="Times New Roman" w:eastAsia="宋体" w:cs="Times New Roman"/>
      <w:color w:val="000000"/>
      <w:sz w:val="24"/>
      <w:lang w:val="en-US" w:eastAsia="zh-CN" w:bidi="ar-SA"/>
    </w:rPr>
  </w:style>
  <w:style w:type="paragraph" w:customStyle="1" w:styleId="537">
    <w:name w:val="UserStyle_376"/>
    <w:basedOn w:val="1"/>
    <w:autoRedefine/>
    <w:qFormat/>
    <w:uiPriority w:val="99"/>
    <w:pPr>
      <w:pBdr>
        <w:top w:val="single" w:color="000000" w:sz="8" w:space="0"/>
        <w:left w:val="single" w:color="000000" w:sz="4" w:space="0"/>
        <w:bottom w:val="single" w:color="000000" w:sz="4" w:space="0"/>
        <w:right w:val="single" w:color="000000" w:sz="4" w:space="0"/>
      </w:pBdr>
      <w:spacing w:before="100" w:beforeAutospacing="1" w:after="100" w:afterAutospacing="1"/>
      <w:jc w:val="left"/>
    </w:pPr>
    <w:rPr>
      <w:rFonts w:ascii="宋体" w:hAnsi="宋体"/>
      <w:kern w:val="0"/>
      <w:sz w:val="32"/>
      <w:szCs w:val="20"/>
    </w:rPr>
  </w:style>
  <w:style w:type="paragraph" w:customStyle="1" w:styleId="538">
    <w:name w:val="UserStyle_377"/>
    <w:basedOn w:val="1"/>
    <w:autoRedefine/>
    <w:qFormat/>
    <w:uiPriority w:val="99"/>
    <w:pPr>
      <w:spacing w:before="100" w:beforeAutospacing="1" w:after="100" w:afterAutospacing="1"/>
      <w:jc w:val="left"/>
    </w:pPr>
    <w:rPr>
      <w:rFonts w:ascii="宋体" w:hAnsi="宋体"/>
      <w:kern w:val="0"/>
      <w:sz w:val="18"/>
      <w:szCs w:val="20"/>
    </w:rPr>
  </w:style>
  <w:style w:type="paragraph" w:customStyle="1" w:styleId="539">
    <w:name w:val="UserStyle_378"/>
    <w:basedOn w:val="525"/>
    <w:next w:val="1"/>
    <w:autoRedefine/>
    <w:qFormat/>
    <w:uiPriority w:val="99"/>
  </w:style>
  <w:style w:type="paragraph" w:customStyle="1" w:styleId="540">
    <w:name w:val="UserStyle_379"/>
    <w:basedOn w:val="1"/>
    <w:autoRedefine/>
    <w:qFormat/>
    <w:uiPriority w:val="99"/>
    <w:pPr>
      <w:spacing w:line="360" w:lineRule="atLeast"/>
      <w:jc w:val="left"/>
    </w:pPr>
    <w:rPr>
      <w:rFonts w:ascii="宋体"/>
      <w:kern w:val="0"/>
      <w:sz w:val="24"/>
    </w:rPr>
  </w:style>
  <w:style w:type="paragraph" w:customStyle="1" w:styleId="541">
    <w:name w:val="UserStyle_380"/>
    <w:basedOn w:val="1"/>
    <w:autoRedefine/>
    <w:qFormat/>
    <w:uiPriority w:val="99"/>
    <w:pPr>
      <w:spacing w:before="60" w:after="60"/>
      <w:textAlignment w:val="bottom"/>
    </w:pPr>
    <w:rPr>
      <w:kern w:val="0"/>
      <w:szCs w:val="21"/>
    </w:rPr>
  </w:style>
  <w:style w:type="paragraph" w:customStyle="1" w:styleId="542">
    <w:name w:val="UserStyle_381"/>
    <w:basedOn w:val="1"/>
    <w:next w:val="1"/>
    <w:qFormat/>
    <w:uiPriority w:val="99"/>
    <w:pPr>
      <w:tabs>
        <w:tab w:val="left" w:pos="540"/>
      </w:tabs>
      <w:snapToGrid w:val="0"/>
      <w:spacing w:line="360" w:lineRule="auto"/>
    </w:pPr>
    <w:rPr>
      <w:rFonts w:ascii="宋体" w:hAnsi="宋体"/>
      <w:bCs/>
      <w:kern w:val="0"/>
      <w:sz w:val="24"/>
    </w:rPr>
  </w:style>
  <w:style w:type="paragraph" w:customStyle="1" w:styleId="543">
    <w:name w:val="UserStyle_382"/>
    <w:basedOn w:val="1"/>
    <w:qFormat/>
    <w:uiPriority w:val="99"/>
    <w:pPr>
      <w:spacing w:line="312" w:lineRule="atLeast"/>
    </w:pPr>
    <w:rPr>
      <w:rFonts w:ascii="宋体" w:hAnsi="Courier New"/>
      <w:kern w:val="0"/>
      <w:szCs w:val="20"/>
    </w:rPr>
  </w:style>
  <w:style w:type="paragraph" w:customStyle="1" w:styleId="544">
    <w:name w:val="UserStyle_383"/>
    <w:basedOn w:val="1"/>
    <w:autoRedefine/>
    <w:qFormat/>
    <w:uiPriority w:val="99"/>
    <w:pPr>
      <w:tabs>
        <w:tab w:val="left" w:pos="567"/>
      </w:tabs>
      <w:spacing w:line="410" w:lineRule="atLeast"/>
      <w:ind w:firstLine="480"/>
      <w:jc w:val="left"/>
    </w:pPr>
    <w:rPr>
      <w:rFonts w:ascii="宋体"/>
      <w:kern w:val="0"/>
      <w:sz w:val="24"/>
      <w:szCs w:val="20"/>
    </w:rPr>
  </w:style>
  <w:style w:type="paragraph" w:customStyle="1" w:styleId="545">
    <w:name w:val="UserStyle_384"/>
    <w:basedOn w:val="86"/>
    <w:qFormat/>
    <w:uiPriority w:val="99"/>
    <w:pPr>
      <w:snapToGrid w:val="0"/>
      <w:spacing w:after="240" w:line="460" w:lineRule="exact"/>
      <w:textAlignment w:val="auto"/>
    </w:pPr>
    <w:rPr>
      <w:rFonts w:ascii="黑体" w:eastAsia="黑体"/>
      <w:b/>
      <w:kern w:val="0"/>
      <w:sz w:val="36"/>
      <w:szCs w:val="36"/>
    </w:rPr>
  </w:style>
  <w:style w:type="paragraph" w:customStyle="1" w:styleId="546">
    <w:name w:val="UserStyle_385"/>
    <w:basedOn w:val="547"/>
    <w:qFormat/>
    <w:uiPriority w:val="99"/>
    <w:pPr>
      <w:ind w:firstLine="560"/>
    </w:pPr>
  </w:style>
  <w:style w:type="paragraph" w:customStyle="1" w:styleId="547">
    <w:name w:val="UserStyle_386"/>
    <w:basedOn w:val="1"/>
    <w:qFormat/>
    <w:uiPriority w:val="99"/>
    <w:pPr>
      <w:spacing w:line="360" w:lineRule="auto"/>
      <w:ind w:firstLine="480" w:firstLineChars="200"/>
    </w:pPr>
    <w:rPr>
      <w:rFonts w:ascii="宋体" w:hAnsi="宋体"/>
      <w:kern w:val="28"/>
      <w:sz w:val="28"/>
      <w:szCs w:val="20"/>
    </w:rPr>
  </w:style>
  <w:style w:type="paragraph" w:customStyle="1" w:styleId="548">
    <w:name w:val="UserStyle_387"/>
    <w:next w:val="89"/>
    <w:autoRedefine/>
    <w:qFormat/>
    <w:uiPriority w:val="99"/>
    <w:pPr>
      <w:tabs>
        <w:tab w:val="left" w:pos="425"/>
        <w:tab w:val="left" w:pos="945"/>
      </w:tabs>
      <w:spacing w:before="50" w:after="50"/>
      <w:ind w:left="425" w:hanging="425"/>
      <w:jc w:val="both"/>
      <w:textAlignment w:val="baseline"/>
    </w:pPr>
    <w:rPr>
      <w:rFonts w:ascii="宋体" w:hAnsi="宋体" w:eastAsia="黑体" w:cs="Times New Roman"/>
      <w:b/>
      <w:bCs/>
      <w:sz w:val="21"/>
      <w:lang w:val="en-US" w:eastAsia="zh-CN" w:bidi="ar-SA"/>
    </w:rPr>
  </w:style>
  <w:style w:type="paragraph" w:customStyle="1" w:styleId="549">
    <w:name w:val="UserStyle_388"/>
    <w:basedOn w:val="1"/>
    <w:autoRedefine/>
    <w:qFormat/>
    <w:uiPriority w:val="99"/>
    <w:pPr>
      <w:pBdr>
        <w:left w:val="single" w:color="000000" w:sz="8" w:space="0"/>
        <w:right w:val="single" w:color="000000" w:sz="4" w:space="0"/>
      </w:pBdr>
      <w:spacing w:before="100" w:beforeAutospacing="1" w:after="100" w:afterAutospacing="1"/>
      <w:jc w:val="center"/>
      <w:textAlignment w:val="center"/>
    </w:pPr>
    <w:rPr>
      <w:rFonts w:ascii="Arial Unicode MS" w:hAnsi="Arial Unicode MS"/>
      <w:kern w:val="0"/>
      <w:sz w:val="24"/>
      <w:szCs w:val="20"/>
    </w:rPr>
  </w:style>
  <w:style w:type="paragraph" w:customStyle="1" w:styleId="550">
    <w:name w:val="UserStyle_389"/>
    <w:basedOn w:val="1"/>
    <w:qFormat/>
    <w:uiPriority w:val="99"/>
    <w:pPr>
      <w:pBdr>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kern w:val="0"/>
      <w:sz w:val="24"/>
    </w:rPr>
  </w:style>
  <w:style w:type="paragraph" w:customStyle="1" w:styleId="551">
    <w:name w:val="UserStyle_390"/>
    <w:basedOn w:val="1"/>
    <w:qFormat/>
    <w:uiPriority w:val="99"/>
    <w:pPr>
      <w:spacing w:before="100" w:beforeAutospacing="1" w:after="100" w:afterAutospacing="1"/>
      <w:jc w:val="left"/>
    </w:pPr>
    <w:rPr>
      <w:color w:val="FF0000"/>
      <w:kern w:val="0"/>
      <w:sz w:val="32"/>
      <w:szCs w:val="20"/>
    </w:rPr>
  </w:style>
  <w:style w:type="paragraph" w:customStyle="1" w:styleId="552">
    <w:name w:val="UserStyle_391"/>
    <w:basedOn w:val="1"/>
    <w:qFormat/>
    <w:uiPriority w:val="99"/>
    <w:pPr>
      <w:spacing w:line="560" w:lineRule="exact"/>
      <w:ind w:firstLine="200" w:firstLineChars="200"/>
    </w:pPr>
    <w:rPr>
      <w:rFonts w:ascii="仿宋_GB2312" w:eastAsia="仿宋_GB2312"/>
      <w:kern w:val="0"/>
      <w:sz w:val="28"/>
      <w:szCs w:val="28"/>
    </w:rPr>
  </w:style>
  <w:style w:type="paragraph" w:customStyle="1" w:styleId="553">
    <w:name w:val="UserStyle_392"/>
    <w:basedOn w:val="1"/>
    <w:autoRedefine/>
    <w:qFormat/>
    <w:uiPriority w:val="99"/>
    <w:pPr>
      <w:pBdr>
        <w:top w:val="single" w:color="000000" w:sz="4" w:space="0"/>
        <w:bottom w:val="single" w:color="000000" w:sz="4" w:space="0"/>
      </w:pBdr>
      <w:shd w:val="clear" w:color="auto" w:fill="FFFFFF"/>
      <w:spacing w:before="100" w:beforeAutospacing="1" w:after="100" w:afterAutospacing="1"/>
      <w:jc w:val="center"/>
      <w:textAlignment w:val="center"/>
    </w:pPr>
    <w:rPr>
      <w:rFonts w:ascii="?" w:hAnsi="宋体" w:eastAsia="?" w:cs="宋体"/>
      <w:b/>
      <w:bCs/>
      <w:color w:val="000000"/>
      <w:kern w:val="0"/>
      <w:sz w:val="18"/>
      <w:szCs w:val="18"/>
    </w:rPr>
  </w:style>
  <w:style w:type="paragraph" w:customStyle="1" w:styleId="554">
    <w:name w:val="UserStyle_393"/>
    <w:basedOn w:val="1"/>
    <w:qFormat/>
    <w:uiPriority w:val="99"/>
    <w:pPr>
      <w:spacing w:before="100" w:beforeAutospacing="1" w:after="100" w:afterAutospacing="1"/>
      <w:jc w:val="left"/>
    </w:pPr>
    <w:rPr>
      <w:kern w:val="0"/>
      <w:sz w:val="32"/>
      <w:szCs w:val="20"/>
    </w:rPr>
  </w:style>
  <w:style w:type="paragraph" w:customStyle="1" w:styleId="555">
    <w:name w:val="UserStyle_394"/>
    <w:basedOn w:val="1"/>
    <w:qFormat/>
    <w:uiPriority w:val="99"/>
    <w:pPr>
      <w:pBdr>
        <w:top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olor w:val="0000FF"/>
      <w:kern w:val="0"/>
      <w:sz w:val="24"/>
    </w:rPr>
  </w:style>
  <w:style w:type="paragraph" w:customStyle="1" w:styleId="556">
    <w:name w:val="UserStyle_395"/>
    <w:basedOn w:val="1"/>
    <w:qFormat/>
    <w:uiPriority w:val="99"/>
    <w:pPr>
      <w:spacing w:line="460" w:lineRule="exact"/>
    </w:pPr>
    <w:rPr>
      <w:rFonts w:ascii="宋体"/>
      <w:kern w:val="0"/>
    </w:rPr>
  </w:style>
  <w:style w:type="paragraph" w:customStyle="1" w:styleId="557">
    <w:name w:val="UserStyle_396"/>
    <w:basedOn w:val="1"/>
    <w:qFormat/>
    <w:uiPriority w:val="99"/>
    <w:pPr>
      <w:spacing w:line="360" w:lineRule="auto"/>
      <w:ind w:firstLine="200" w:firstLineChars="200"/>
    </w:pPr>
    <w:rPr>
      <w:rFonts w:ascii="宋体" w:hAnsi="宋体"/>
      <w:sz w:val="24"/>
    </w:rPr>
  </w:style>
  <w:style w:type="paragraph" w:customStyle="1" w:styleId="558">
    <w:name w:val="UserStyle_397"/>
    <w:basedOn w:val="1"/>
    <w:qFormat/>
    <w:uiPriority w:val="99"/>
    <w:pPr>
      <w:shd w:val="clear" w:color="auto" w:fill="FFFFFF"/>
      <w:spacing w:after="220" w:line="88" w:lineRule="exact"/>
    </w:pPr>
    <w:rPr>
      <w:i/>
      <w:iCs/>
      <w:sz w:val="8"/>
      <w:szCs w:val="8"/>
    </w:rPr>
  </w:style>
  <w:style w:type="paragraph" w:customStyle="1" w:styleId="559">
    <w:name w:val="UserStyle_398"/>
    <w:basedOn w:val="1"/>
    <w:qFormat/>
    <w:uiPriority w:val="99"/>
    <w:pPr>
      <w:spacing w:before="100" w:beforeAutospacing="1" w:after="100" w:afterAutospacing="1" w:line="460" w:lineRule="exact"/>
      <w:ind w:firstLine="200" w:firstLineChars="200"/>
      <w:jc w:val="left"/>
    </w:pPr>
    <w:rPr>
      <w:rFonts w:ascii="宋体" w:hAnsi="宋体"/>
      <w:kern w:val="0"/>
      <w:sz w:val="18"/>
      <w:szCs w:val="18"/>
    </w:rPr>
  </w:style>
  <w:style w:type="paragraph" w:customStyle="1" w:styleId="560">
    <w:name w:val="UserStyle_399"/>
    <w:basedOn w:val="561"/>
    <w:qFormat/>
    <w:uiPriority w:val="99"/>
    <w:pPr>
      <w:spacing w:line="340" w:lineRule="exact"/>
    </w:pPr>
  </w:style>
  <w:style w:type="paragraph" w:customStyle="1" w:styleId="561">
    <w:name w:val="UserStyle_400"/>
    <w:basedOn w:val="524"/>
    <w:qFormat/>
    <w:uiPriority w:val="99"/>
    <w:pPr>
      <w:snapToGrid w:val="0"/>
      <w:spacing w:line="320" w:lineRule="exact"/>
    </w:pPr>
    <w:rPr>
      <w:rFonts w:ascii="Times New Roman" w:hAnsi="宋体"/>
      <w:b w:val="0"/>
      <w:sz w:val="21"/>
      <w:szCs w:val="21"/>
    </w:rPr>
  </w:style>
  <w:style w:type="paragraph" w:customStyle="1" w:styleId="562">
    <w:name w:val="UserStyle_401"/>
    <w:basedOn w:val="1"/>
    <w:qFormat/>
    <w:uiPriority w:val="99"/>
    <w:pPr>
      <w:spacing w:line="360" w:lineRule="auto"/>
    </w:pPr>
    <w:rPr>
      <w:kern w:val="0"/>
      <w:sz w:val="24"/>
      <w:szCs w:val="20"/>
    </w:rPr>
  </w:style>
  <w:style w:type="paragraph" w:customStyle="1" w:styleId="563">
    <w:name w:val="UserStyle_402"/>
    <w:basedOn w:val="1"/>
    <w:qFormat/>
    <w:uiPriority w:val="99"/>
    <w:pPr>
      <w:spacing w:before="40" w:after="60" w:line="240" w:lineRule="atLeast"/>
    </w:pPr>
    <w:rPr>
      <w:rFonts w:ascii="Arial" w:hAnsi="Arial" w:eastAsia="仿宋_GB2312"/>
      <w:kern w:val="0"/>
      <w:sz w:val="24"/>
      <w:szCs w:val="20"/>
    </w:rPr>
  </w:style>
  <w:style w:type="paragraph" w:customStyle="1" w:styleId="564">
    <w:name w:val="UserStyle_403"/>
    <w:basedOn w:val="1"/>
    <w:qFormat/>
    <w:uiPriority w:val="99"/>
    <w:rPr>
      <w:rFonts w:ascii="宋体"/>
      <w:kern w:val="0"/>
      <w:sz w:val="28"/>
      <w:szCs w:val="20"/>
    </w:rPr>
  </w:style>
  <w:style w:type="paragraph" w:customStyle="1" w:styleId="565">
    <w:name w:val="UserStyle_404"/>
    <w:basedOn w:val="1"/>
    <w:qFormat/>
    <w:uiPriority w:val="99"/>
    <w:pPr>
      <w:spacing w:line="240" w:lineRule="atLeast"/>
      <w:jc w:val="center"/>
    </w:pPr>
    <w:rPr>
      <w:kern w:val="0"/>
      <w:sz w:val="24"/>
      <w:szCs w:val="20"/>
    </w:rPr>
  </w:style>
  <w:style w:type="paragraph" w:customStyle="1" w:styleId="566">
    <w:name w:val="UserStyle_405"/>
    <w:basedOn w:val="1"/>
    <w:next w:val="1"/>
    <w:qFormat/>
    <w:uiPriority w:val="99"/>
    <w:pPr>
      <w:tabs>
        <w:tab w:val="left" w:pos="1440"/>
      </w:tabs>
      <w:ind w:left="2160" w:hanging="720"/>
      <w:jc w:val="left"/>
    </w:pPr>
    <w:rPr>
      <w:rFonts w:ascii="Arial" w:hAnsi="Arial"/>
      <w:kern w:val="0"/>
      <w:sz w:val="20"/>
      <w:szCs w:val="20"/>
      <w:lang w:eastAsia="en-US"/>
    </w:rPr>
  </w:style>
  <w:style w:type="paragraph" w:customStyle="1" w:styleId="567">
    <w:name w:val="UserStyle_406"/>
    <w:basedOn w:val="86"/>
    <w:qFormat/>
    <w:uiPriority w:val="99"/>
    <w:pPr>
      <w:keepNext/>
      <w:snapToGrid w:val="0"/>
      <w:spacing w:before="240" w:after="240" w:line="360" w:lineRule="auto"/>
      <w:textAlignment w:val="auto"/>
    </w:pPr>
    <w:rPr>
      <w:rFonts w:ascii="Swis721 BT" w:hAnsi="Swis721 BT" w:eastAsia="黑体" w:cs="MS Gothicfalt"/>
      <w:bCs/>
      <w:kern w:val="0"/>
      <w:sz w:val="32"/>
      <w:szCs w:val="36"/>
    </w:rPr>
  </w:style>
  <w:style w:type="paragraph" w:customStyle="1" w:styleId="568">
    <w:name w:val="UserStyle_407"/>
    <w:basedOn w:val="1"/>
    <w:qFormat/>
    <w:uiPriority w:val="99"/>
    <w:pPr>
      <w:pBdr>
        <w:left w:val="single" w:color="000000" w:sz="4" w:space="0"/>
        <w:bottom w:val="single" w:color="000000" w:sz="4" w:space="0"/>
        <w:right w:val="single" w:color="000000" w:sz="4" w:space="0"/>
      </w:pBdr>
      <w:shd w:val="clear" w:color="auto" w:fill="FFFFFF"/>
      <w:spacing w:before="100" w:beforeAutospacing="1" w:after="100" w:afterAutospacing="1"/>
      <w:jc w:val="center"/>
      <w:textAlignment w:val="center"/>
    </w:pPr>
    <w:rPr>
      <w:rFonts w:ascii="?" w:hAnsi="宋体" w:eastAsia="?" w:cs="宋体"/>
      <w:b/>
      <w:bCs/>
      <w:color w:val="000000"/>
      <w:kern w:val="0"/>
      <w:sz w:val="18"/>
      <w:szCs w:val="18"/>
    </w:rPr>
  </w:style>
  <w:style w:type="paragraph" w:customStyle="1" w:styleId="569">
    <w:name w:val="UserStyle_408"/>
    <w:basedOn w:val="312"/>
    <w:qFormat/>
    <w:uiPriority w:val="99"/>
    <w:pPr>
      <w:spacing w:line="360" w:lineRule="auto"/>
      <w:ind w:firstLine="0" w:firstLineChars="0"/>
      <w:jc w:val="left"/>
    </w:pPr>
    <w:rPr>
      <w:rFonts w:ascii="Times New Roman" w:hAnsi="Times New Roman"/>
      <w:kern w:val="0"/>
    </w:rPr>
  </w:style>
  <w:style w:type="paragraph" w:customStyle="1" w:styleId="570">
    <w:name w:val="UserStyle_409"/>
    <w:next w:val="89"/>
    <w:qFormat/>
    <w:uiPriority w:val="99"/>
    <w:pPr>
      <w:tabs>
        <w:tab w:val="left" w:pos="360"/>
      </w:tabs>
      <w:ind w:left="360" w:hanging="360"/>
      <w:jc w:val="center"/>
      <w:textAlignment w:val="baseline"/>
    </w:pPr>
    <w:rPr>
      <w:rFonts w:ascii="黑体" w:hAnsi="Times New Roman" w:eastAsia="黑体" w:cs="Times New Roman"/>
      <w:sz w:val="21"/>
      <w:lang w:val="en-US" w:eastAsia="zh-CN" w:bidi="ar-SA"/>
    </w:rPr>
  </w:style>
  <w:style w:type="paragraph" w:customStyle="1" w:styleId="571">
    <w:name w:val="UserStyle_410"/>
    <w:basedOn w:val="1"/>
    <w:qFormat/>
    <w:uiPriority w:val="99"/>
    <w:pPr>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kern w:val="0"/>
      <w:sz w:val="32"/>
      <w:szCs w:val="20"/>
    </w:rPr>
  </w:style>
  <w:style w:type="paragraph" w:customStyle="1" w:styleId="572">
    <w:name w:val="UserStyle_411"/>
    <w:basedOn w:val="1"/>
    <w:qFormat/>
    <w:uiPriority w:val="99"/>
  </w:style>
  <w:style w:type="paragraph" w:customStyle="1" w:styleId="573">
    <w:name w:val="UserStyle_412"/>
    <w:basedOn w:val="1"/>
    <w:qFormat/>
    <w:uiPriority w:val="99"/>
    <w:pPr>
      <w:spacing w:after="60"/>
      <w:ind w:firstLine="100" w:firstLineChars="100"/>
      <w:jc w:val="left"/>
    </w:pPr>
    <w:rPr>
      <w:rFonts w:ascii="黑体" w:eastAsia="黑体"/>
      <w:kern w:val="0"/>
      <w:sz w:val="24"/>
    </w:rPr>
  </w:style>
  <w:style w:type="paragraph" w:customStyle="1" w:styleId="574">
    <w:name w:val="UserStyle_413"/>
    <w:basedOn w:val="475"/>
    <w:qFormat/>
    <w:uiPriority w:val="99"/>
    <w:pPr>
      <w:snapToGrid w:val="0"/>
      <w:spacing w:before="0" w:after="0" w:line="240" w:lineRule="auto"/>
      <w:ind w:firstLine="100" w:firstLineChars="100"/>
      <w:jc w:val="left"/>
    </w:pPr>
    <w:rPr>
      <w:rFonts w:eastAsia="黑体"/>
      <w:b w:val="0"/>
      <w:bCs/>
      <w:color w:val="000000"/>
      <w:kern w:val="0"/>
      <w:sz w:val="24"/>
      <w:szCs w:val="28"/>
    </w:rPr>
  </w:style>
  <w:style w:type="paragraph" w:customStyle="1" w:styleId="575">
    <w:name w:val="UserStyle_414"/>
    <w:basedOn w:val="1"/>
    <w:qFormat/>
    <w:uiPriority w:val="99"/>
  </w:style>
  <w:style w:type="paragraph" w:customStyle="1" w:styleId="576">
    <w:name w:val="UserStyle_415"/>
    <w:basedOn w:val="1"/>
    <w:autoRedefine/>
    <w:qFormat/>
    <w:uiPriority w:val="99"/>
    <w:pPr>
      <w:snapToGrid w:val="0"/>
      <w:spacing w:line="520" w:lineRule="exact"/>
      <w:ind w:firstLine="560" w:firstLineChars="200"/>
    </w:pPr>
    <w:rPr>
      <w:rFonts w:ascii="宋体" w:hAnsi="宋体" w:eastAsia="仿宋_GB2312"/>
      <w:color w:val="000000"/>
      <w:kern w:val="0"/>
      <w:sz w:val="28"/>
      <w:szCs w:val="28"/>
    </w:rPr>
  </w:style>
  <w:style w:type="paragraph" w:customStyle="1" w:styleId="577">
    <w:name w:val="UserStyle_416"/>
    <w:basedOn w:val="1"/>
    <w:qFormat/>
    <w:uiPriority w:val="99"/>
    <w:pPr>
      <w:spacing w:before="100" w:beforeAutospacing="1" w:after="100" w:afterAutospacing="1" w:line="360" w:lineRule="auto"/>
      <w:textAlignment w:val="top"/>
    </w:pPr>
    <w:rPr>
      <w:kern w:val="0"/>
      <w:sz w:val="24"/>
    </w:rPr>
  </w:style>
  <w:style w:type="paragraph" w:customStyle="1" w:styleId="578">
    <w:name w:val="UserStyle_417"/>
    <w:basedOn w:val="1"/>
    <w:next w:val="1"/>
    <w:qFormat/>
    <w:uiPriority w:val="99"/>
    <w:pPr>
      <w:tabs>
        <w:tab w:val="left" w:pos="1440"/>
      </w:tabs>
      <w:ind w:left="5041" w:hanging="720"/>
      <w:jc w:val="left"/>
    </w:pPr>
    <w:rPr>
      <w:rFonts w:ascii="Arial" w:hAnsi="Arial"/>
      <w:kern w:val="0"/>
      <w:sz w:val="20"/>
      <w:szCs w:val="20"/>
      <w:lang w:eastAsia="en-US"/>
    </w:rPr>
  </w:style>
  <w:style w:type="paragraph" w:customStyle="1" w:styleId="579">
    <w:name w:val="UserStyle_418"/>
    <w:basedOn w:val="1"/>
    <w:qFormat/>
    <w:uiPriority w:val="99"/>
    <w:pPr>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right"/>
      <w:textAlignment w:val="center"/>
    </w:pPr>
    <w:rPr>
      <w:rFonts w:ascii="宋体" w:hAnsi="宋体"/>
      <w:kern w:val="0"/>
      <w:sz w:val="18"/>
      <w:szCs w:val="18"/>
    </w:rPr>
  </w:style>
  <w:style w:type="paragraph" w:customStyle="1" w:styleId="580">
    <w:name w:val="UserStyle_419"/>
    <w:basedOn w:val="1"/>
    <w:qFormat/>
    <w:uiPriority w:val="99"/>
    <w:pPr>
      <w:spacing w:line="336" w:lineRule="auto"/>
      <w:ind w:firstLine="480" w:firstLineChars="200"/>
    </w:pPr>
    <w:rPr>
      <w:rFonts w:ascii="宋体" w:hAnsi="宋体"/>
      <w:sz w:val="28"/>
      <w:szCs w:val="20"/>
    </w:rPr>
  </w:style>
  <w:style w:type="paragraph" w:customStyle="1" w:styleId="581">
    <w:name w:val="UserStyle_420"/>
    <w:basedOn w:val="1"/>
    <w:qFormat/>
    <w:uiPriority w:val="99"/>
    <w:pPr>
      <w:spacing w:line="336" w:lineRule="auto"/>
    </w:pPr>
    <w:rPr>
      <w:rFonts w:ascii="宋体" w:hAnsi="宋体"/>
      <w:b/>
      <w:bCs/>
      <w:color w:val="000000"/>
      <w:sz w:val="28"/>
      <w:szCs w:val="20"/>
    </w:rPr>
  </w:style>
  <w:style w:type="paragraph" w:customStyle="1" w:styleId="582">
    <w:name w:val="UserStyle_421"/>
    <w:basedOn w:val="87"/>
    <w:qFormat/>
    <w:uiPriority w:val="99"/>
    <w:pPr>
      <w:snapToGrid w:val="0"/>
      <w:spacing w:before="0" w:after="0" w:line="360" w:lineRule="auto"/>
    </w:pPr>
    <w:rPr>
      <w:rFonts w:ascii="宋体" w:hAnsi="宋体" w:eastAsia="宋体"/>
      <w:b w:val="0"/>
      <w:sz w:val="24"/>
      <w:szCs w:val="24"/>
    </w:rPr>
  </w:style>
  <w:style w:type="paragraph" w:customStyle="1" w:styleId="583">
    <w:name w:val="UserStyle_422"/>
    <w:basedOn w:val="1"/>
    <w:qFormat/>
    <w:uiPriority w:val="99"/>
    <w:pPr>
      <w:spacing w:line="360" w:lineRule="auto"/>
    </w:pPr>
    <w:rPr>
      <w:kern w:val="0"/>
      <w:szCs w:val="20"/>
    </w:rPr>
  </w:style>
  <w:style w:type="paragraph" w:customStyle="1" w:styleId="584">
    <w:name w:val="UserStyle_423"/>
    <w:basedOn w:val="1"/>
    <w:qFormat/>
    <w:uiPriority w:val="99"/>
    <w:pPr>
      <w:spacing w:line="460" w:lineRule="exact"/>
    </w:pPr>
    <w:rPr>
      <w:rFonts w:ascii="宋体"/>
      <w:kern w:val="0"/>
      <w:sz w:val="24"/>
    </w:rPr>
  </w:style>
  <w:style w:type="paragraph" w:customStyle="1" w:styleId="585">
    <w:name w:val="UserStyle_424"/>
    <w:qFormat/>
    <w:uiPriority w:val="99"/>
    <w:pPr>
      <w:keepLines/>
      <w:suppressLineNumbers/>
      <w:tabs>
        <w:tab w:val="decimal" w:pos="300"/>
        <w:tab w:val="decimal" w:pos="2160"/>
        <w:tab w:val="left" w:pos="2440"/>
        <w:tab w:val="decimal" w:pos="6600"/>
        <w:tab w:val="decimal" w:pos="7740"/>
        <w:tab w:val="decimal" w:pos="9480"/>
      </w:tabs>
      <w:ind w:right="-1540"/>
      <w:textAlignment w:val="baseline"/>
    </w:pPr>
    <w:rPr>
      <w:rFonts w:ascii="宋体" w:hAnsi="Times New Roman" w:eastAsia="宋体" w:cs="Times New Roman"/>
      <w:sz w:val="24"/>
      <w:lang w:val="en-US" w:eastAsia="zh-CN" w:bidi="ar-SA"/>
    </w:rPr>
  </w:style>
  <w:style w:type="paragraph" w:customStyle="1" w:styleId="586">
    <w:name w:val="UserStyle_425"/>
    <w:qFormat/>
    <w:uiPriority w:val="99"/>
    <w:pPr>
      <w:spacing w:line="680" w:lineRule="exact"/>
      <w:jc w:val="center"/>
      <w:textAlignment w:val="center"/>
    </w:pPr>
    <w:rPr>
      <w:rFonts w:ascii="黑体" w:hAnsi="Times New Roman" w:eastAsia="黑体" w:cs="Times New Roman"/>
      <w:sz w:val="52"/>
      <w:lang w:val="en-US" w:eastAsia="zh-CN" w:bidi="ar-SA"/>
    </w:rPr>
  </w:style>
  <w:style w:type="paragraph" w:customStyle="1" w:styleId="587">
    <w:name w:val="UserStyle_426"/>
    <w:basedOn w:val="1"/>
    <w:qFormat/>
    <w:uiPriority w:val="99"/>
    <w:pPr>
      <w:pBdr>
        <w:top w:val="single" w:color="000000" w:sz="4" w:space="0"/>
        <w:left w:val="single" w:color="000000" w:sz="4" w:space="0"/>
        <w:bottom w:val="single" w:color="000000" w:sz="8" w:space="0"/>
        <w:right w:val="single" w:color="000000" w:sz="4" w:space="0"/>
      </w:pBdr>
      <w:shd w:val="clear" w:color="auto" w:fill="FFFFFF"/>
      <w:spacing w:before="100" w:beforeAutospacing="1" w:after="100" w:afterAutospacing="1"/>
      <w:jc w:val="center"/>
      <w:textAlignment w:val="center"/>
    </w:pPr>
    <w:rPr>
      <w:rFonts w:ascii="宋体" w:hAnsi="宋体"/>
      <w:kern w:val="0"/>
      <w:sz w:val="24"/>
      <w:szCs w:val="20"/>
    </w:rPr>
  </w:style>
  <w:style w:type="paragraph" w:customStyle="1" w:styleId="588">
    <w:name w:val="UserStyle_427"/>
    <w:next w:val="1"/>
    <w:qFormat/>
    <w:uiPriority w:val="99"/>
    <w:pPr>
      <w:framePr w:w="9638" w:h="754" w:hSpace="180" w:vSpace="180" w:wrap="around" w:vAnchor="margin" w:hAnchor="text" w:xAlign="center" w:y="2128"/>
      <w:spacing w:line="240" w:lineRule="atLeast"/>
      <w:jc w:val="distribute"/>
      <w:textAlignment w:val="baseline"/>
    </w:pPr>
    <w:rPr>
      <w:rFonts w:ascii="宋体" w:hAnsi="Times New Roman" w:eastAsia="宋体" w:cs="Times New Roman"/>
      <w:b/>
      <w:bCs/>
      <w:spacing w:val="20"/>
      <w:w w:val="148"/>
      <w:sz w:val="52"/>
      <w:lang w:val="en-US" w:eastAsia="zh-CN" w:bidi="ar-SA"/>
    </w:rPr>
  </w:style>
  <w:style w:type="paragraph" w:customStyle="1" w:styleId="589">
    <w:name w:val="UserStyle_428"/>
    <w:basedOn w:val="1"/>
    <w:next w:val="267"/>
    <w:autoRedefine/>
    <w:qFormat/>
    <w:uiPriority w:val="99"/>
    <w:pPr>
      <w:spacing w:line="480" w:lineRule="exact"/>
      <w:ind w:firstLine="560"/>
    </w:pPr>
    <w:rPr>
      <w:rFonts w:ascii="宋体" w:hAnsi="Tms Rmn"/>
      <w:kern w:val="0"/>
      <w:sz w:val="28"/>
      <w:szCs w:val="20"/>
    </w:rPr>
  </w:style>
  <w:style w:type="paragraph" w:customStyle="1" w:styleId="590">
    <w:name w:val="UserStyle_429"/>
    <w:basedOn w:val="1"/>
    <w:autoRedefine/>
    <w:qFormat/>
    <w:uiPriority w:val="99"/>
    <w:pPr>
      <w:spacing w:line="560" w:lineRule="exact"/>
      <w:ind w:firstLine="560" w:firstLineChars="200"/>
    </w:pPr>
    <w:rPr>
      <w:rFonts w:ascii="仿宋_GB2312" w:hAnsi="仿宋_GB2312" w:eastAsia="仿宋_GB2312"/>
      <w:kern w:val="0"/>
      <w:sz w:val="28"/>
      <w:szCs w:val="21"/>
    </w:rPr>
  </w:style>
  <w:style w:type="paragraph" w:customStyle="1" w:styleId="591">
    <w:name w:val="UserStyle_430"/>
    <w:basedOn w:val="1"/>
    <w:qFormat/>
    <w:uiPriority w:val="99"/>
    <w:pPr>
      <w:pBdr>
        <w:top w:val="single" w:color="000000" w:sz="8" w:space="0"/>
        <w:right w:val="single" w:color="000000" w:sz="4" w:space="0"/>
      </w:pBdr>
      <w:spacing w:before="100" w:beforeAutospacing="1" w:after="100" w:afterAutospacing="1"/>
      <w:jc w:val="center"/>
      <w:textAlignment w:val="center"/>
    </w:pPr>
    <w:rPr>
      <w:rFonts w:ascii="宋体" w:hAnsi="宋体"/>
      <w:kern w:val="0"/>
      <w:sz w:val="24"/>
    </w:rPr>
  </w:style>
  <w:style w:type="paragraph" w:customStyle="1" w:styleId="592">
    <w:name w:val="UserStyle_431"/>
    <w:basedOn w:val="87"/>
    <w:autoRedefine/>
    <w:qFormat/>
    <w:uiPriority w:val="99"/>
    <w:pPr>
      <w:spacing w:before="100" w:after="0" w:line="400" w:lineRule="exact"/>
    </w:pPr>
    <w:rPr>
      <w:rFonts w:ascii="Times New Roman" w:hAnsi="Times New Roman"/>
      <w:b w:val="0"/>
      <w:sz w:val="28"/>
    </w:rPr>
  </w:style>
  <w:style w:type="paragraph" w:customStyle="1" w:styleId="593">
    <w:name w:val="UserStyle_432"/>
    <w:basedOn w:val="1"/>
    <w:autoRedefine/>
    <w:qFormat/>
    <w:uiPriority w:val="99"/>
    <w:pPr>
      <w:spacing w:before="60" w:after="60"/>
      <w:jc w:val="center"/>
    </w:pPr>
    <w:rPr>
      <w:rFonts w:ascii="宋体"/>
      <w:kern w:val="0"/>
      <w:sz w:val="24"/>
      <w:szCs w:val="20"/>
    </w:rPr>
  </w:style>
  <w:style w:type="paragraph" w:customStyle="1" w:styleId="594">
    <w:name w:val="UserStyle_433"/>
    <w:basedOn w:val="1"/>
    <w:autoRedefine/>
    <w:qFormat/>
    <w:uiPriority w:val="99"/>
  </w:style>
  <w:style w:type="paragraph" w:customStyle="1" w:styleId="595">
    <w:name w:val="UserStyle_434"/>
    <w:basedOn w:val="312"/>
    <w:qFormat/>
    <w:uiPriority w:val="99"/>
    <w:pPr>
      <w:snapToGrid w:val="0"/>
      <w:ind w:firstLine="0" w:firstLineChars="0"/>
    </w:pPr>
    <w:rPr>
      <w:rFonts w:ascii="华文细黑" w:hAnsi="华文细黑"/>
    </w:rPr>
  </w:style>
  <w:style w:type="paragraph" w:customStyle="1" w:styleId="596">
    <w:name w:val="UserStyle_435"/>
    <w:basedOn w:val="1"/>
    <w:qFormat/>
    <w:uiPriority w:val="99"/>
    <w:pPr>
      <w:pBdr>
        <w:top w:val="single" w:color="000000" w:sz="4" w:space="0"/>
        <w:left w:val="single" w:color="000000" w:sz="8" w:space="0"/>
        <w:bottom w:val="single" w:color="000000" w:sz="8" w:space="0"/>
        <w:right w:val="single" w:color="000000" w:sz="4" w:space="0"/>
      </w:pBdr>
      <w:spacing w:before="100" w:beforeAutospacing="1" w:after="100" w:afterAutospacing="1"/>
      <w:jc w:val="center"/>
    </w:pPr>
    <w:rPr>
      <w:rFonts w:ascii="宋体" w:hAnsi="宋体"/>
      <w:kern w:val="0"/>
      <w:sz w:val="32"/>
      <w:szCs w:val="20"/>
    </w:rPr>
  </w:style>
  <w:style w:type="paragraph" w:customStyle="1" w:styleId="597">
    <w:name w:val="UserStyle_436"/>
    <w:basedOn w:val="1"/>
    <w:autoRedefine/>
    <w:qFormat/>
    <w:uiPriority w:val="99"/>
    <w:pPr>
      <w:pBdr>
        <w:top w:val="single" w:color="000000" w:sz="4" w:space="0"/>
        <w:bottom w:val="single" w:color="000000" w:sz="8" w:space="0"/>
        <w:right w:val="single" w:color="000000" w:sz="4" w:space="0"/>
      </w:pBdr>
      <w:spacing w:before="100" w:beforeAutospacing="1" w:after="100" w:afterAutospacing="1"/>
      <w:jc w:val="left"/>
      <w:textAlignment w:val="center"/>
    </w:pPr>
    <w:rPr>
      <w:rFonts w:ascii="宋体" w:hAnsi="宋体"/>
      <w:kern w:val="0"/>
      <w:sz w:val="24"/>
    </w:rPr>
  </w:style>
  <w:style w:type="paragraph" w:customStyle="1" w:styleId="598">
    <w:name w:val="UserStyle_437"/>
    <w:qFormat/>
    <w:uiPriority w:val="99"/>
    <w:pPr>
      <w:jc w:val="center"/>
      <w:textAlignment w:val="baseline"/>
    </w:pPr>
    <w:rPr>
      <w:rFonts w:ascii="Times New Roman" w:hAnsi="Times New Roman" w:eastAsia="宋体" w:cs="Times New Roman"/>
      <w:b/>
      <w:bCs/>
      <w:kern w:val="2"/>
      <w:sz w:val="24"/>
      <w:lang w:val="en-US" w:eastAsia="zh-CN" w:bidi="ar-SA"/>
    </w:rPr>
  </w:style>
  <w:style w:type="paragraph" w:customStyle="1" w:styleId="599">
    <w:name w:val="UserStyle_438"/>
    <w:basedOn w:val="1"/>
    <w:qFormat/>
    <w:uiPriority w:val="99"/>
    <w:rPr>
      <w:sz w:val="24"/>
    </w:rPr>
  </w:style>
  <w:style w:type="paragraph" w:customStyle="1" w:styleId="600">
    <w:name w:val="UserStyle_439"/>
    <w:basedOn w:val="1"/>
    <w:autoRedefine/>
    <w:qFormat/>
    <w:uiPriority w:val="99"/>
    <w:pPr>
      <w:shd w:val="clear" w:color="auto" w:fill="FFFFFF"/>
      <w:spacing w:after="2320" w:line="332" w:lineRule="exact"/>
    </w:pPr>
    <w:rPr>
      <w:sz w:val="30"/>
      <w:szCs w:val="30"/>
      <w:lang w:eastAsia="en-US"/>
    </w:rPr>
  </w:style>
  <w:style w:type="paragraph" w:customStyle="1" w:styleId="601">
    <w:name w:val="UserStyle_440"/>
    <w:basedOn w:val="150"/>
    <w:autoRedefine/>
    <w:qFormat/>
    <w:uiPriority w:val="99"/>
    <w:pPr>
      <w:tabs>
        <w:tab w:val="center" w:pos="4320"/>
        <w:tab w:val="right" w:pos="8640"/>
      </w:tabs>
      <w:jc w:val="center"/>
    </w:pPr>
    <w:rPr>
      <w:rFonts w:ascii="宋体" w:hAnsi="Arial" w:eastAsia="宋体"/>
      <w:b w:val="0"/>
      <w:spacing w:val="3"/>
      <w:kern w:val="24"/>
      <w:sz w:val="24"/>
    </w:rPr>
  </w:style>
  <w:style w:type="paragraph" w:customStyle="1" w:styleId="602">
    <w:name w:val="UserStyle_441"/>
    <w:basedOn w:val="1"/>
    <w:qFormat/>
    <w:uiPriority w:val="99"/>
    <w:pPr>
      <w:tabs>
        <w:tab w:val="left" w:pos="2736"/>
      </w:tabs>
      <w:spacing w:after="120"/>
      <w:ind w:left="2736" w:hanging="1008"/>
    </w:pPr>
    <w:rPr>
      <w:rFonts w:ascii="Arial" w:hAnsi="Arial"/>
      <w:kern w:val="0"/>
      <w:sz w:val="22"/>
      <w:szCs w:val="20"/>
      <w:lang w:eastAsia="en-US"/>
    </w:rPr>
  </w:style>
  <w:style w:type="paragraph" w:customStyle="1" w:styleId="603">
    <w:name w:val="UserStyle_442"/>
    <w:basedOn w:val="1"/>
    <w:autoRedefine/>
    <w:qFormat/>
    <w:uiPriority w:val="99"/>
    <w:pPr>
      <w:spacing w:line="360" w:lineRule="auto"/>
      <w:ind w:firstLine="200" w:firstLineChars="200"/>
    </w:pPr>
    <w:rPr>
      <w:rFonts w:ascii="宋体" w:hAnsi="宋体"/>
      <w:sz w:val="24"/>
    </w:rPr>
  </w:style>
  <w:style w:type="paragraph" w:customStyle="1" w:styleId="604">
    <w:name w:val="UserStyle_443"/>
    <w:basedOn w:val="87"/>
    <w:autoRedefine/>
    <w:qFormat/>
    <w:uiPriority w:val="99"/>
    <w:pPr>
      <w:spacing w:line="416" w:lineRule="auto"/>
      <w:jc w:val="center"/>
    </w:pPr>
    <w:rPr>
      <w:rFonts w:ascii="黑体" w:hAnsi="宋体"/>
      <w:b w:val="0"/>
      <w:kern w:val="0"/>
      <w:sz w:val="52"/>
    </w:rPr>
  </w:style>
  <w:style w:type="paragraph" w:customStyle="1" w:styleId="605">
    <w:name w:val="UserStyle_444"/>
    <w:basedOn w:val="488"/>
    <w:qFormat/>
    <w:uiPriority w:val="99"/>
    <w:pPr>
      <w:ind w:left="560" w:leftChars="200" w:right="560" w:rightChars="200"/>
    </w:pPr>
  </w:style>
  <w:style w:type="paragraph" w:customStyle="1" w:styleId="606">
    <w:name w:val="UserStyle_445"/>
    <w:basedOn w:val="1"/>
    <w:qFormat/>
    <w:uiPriority w:val="99"/>
    <w:pPr>
      <w:spacing w:line="360" w:lineRule="auto"/>
    </w:pPr>
    <w:rPr>
      <w:rFonts w:ascii="黑体" w:eastAsia="黑体"/>
      <w:b/>
      <w:sz w:val="28"/>
      <w:szCs w:val="28"/>
    </w:rPr>
  </w:style>
  <w:style w:type="paragraph" w:customStyle="1" w:styleId="607">
    <w:name w:val="UserStyle_446"/>
    <w:basedOn w:val="1"/>
    <w:autoRedefine/>
    <w:qFormat/>
    <w:uiPriority w:val="99"/>
    <w:pPr>
      <w:spacing w:line="460" w:lineRule="exact"/>
      <w:ind w:firstLine="420" w:firstLineChars="200"/>
    </w:pPr>
    <w:rPr>
      <w:rFonts w:ascii="宋体"/>
      <w:kern w:val="0"/>
      <w:sz w:val="24"/>
    </w:rPr>
  </w:style>
  <w:style w:type="paragraph" w:customStyle="1" w:styleId="608">
    <w:name w:val="UserStyle_447"/>
    <w:basedOn w:val="1"/>
    <w:autoRedefine/>
    <w:qFormat/>
    <w:uiPriority w:val="99"/>
    <w:pPr>
      <w:spacing w:line="312" w:lineRule="atLeast"/>
    </w:pPr>
    <w:rPr>
      <w:rFonts w:ascii="宋体" w:hAnsi="Courier New"/>
      <w:kern w:val="0"/>
      <w:szCs w:val="20"/>
    </w:rPr>
  </w:style>
  <w:style w:type="paragraph" w:customStyle="1" w:styleId="609">
    <w:name w:val="UserStyle_448"/>
    <w:basedOn w:val="1"/>
    <w:qFormat/>
    <w:uiPriority w:val="99"/>
    <w:pPr>
      <w:spacing w:after="160" w:line="240" w:lineRule="exact"/>
      <w:jc w:val="center"/>
    </w:pPr>
    <w:rPr>
      <w:rFonts w:ascii="宋体" w:hAnsi="宋体"/>
      <w:bCs/>
      <w:kern w:val="0"/>
      <w:szCs w:val="21"/>
    </w:rPr>
  </w:style>
  <w:style w:type="paragraph" w:customStyle="1" w:styleId="610">
    <w:name w:val="UserStyle_449"/>
    <w:basedOn w:val="86"/>
    <w:next w:val="133"/>
    <w:autoRedefine/>
    <w:qFormat/>
    <w:uiPriority w:val="99"/>
    <w:pPr>
      <w:keepNext/>
      <w:tabs>
        <w:tab w:val="left" w:pos="814"/>
      </w:tabs>
      <w:spacing w:line="240" w:lineRule="auto"/>
      <w:ind w:left="425" w:firstLine="29"/>
      <w:textAlignment w:val="auto"/>
    </w:pPr>
    <w:rPr>
      <w:rFonts w:ascii="黑体" w:hAnsi="Times New Roman" w:eastAsia="黑体"/>
      <w:sz w:val="52"/>
    </w:rPr>
  </w:style>
  <w:style w:type="paragraph" w:customStyle="1" w:styleId="611">
    <w:name w:val="UserStyle_450"/>
    <w:basedOn w:val="1"/>
    <w:autoRedefine/>
    <w:qFormat/>
    <w:uiPriority w:val="99"/>
    <w:pPr>
      <w:spacing w:before="100" w:beforeAutospacing="1" w:after="100" w:afterAutospacing="1"/>
      <w:jc w:val="left"/>
    </w:pPr>
    <w:rPr>
      <w:b/>
      <w:bCs/>
      <w:kern w:val="0"/>
      <w:sz w:val="24"/>
      <w:u w:val="single"/>
    </w:rPr>
  </w:style>
  <w:style w:type="paragraph" w:customStyle="1" w:styleId="612">
    <w:name w:val="UserStyle_451"/>
    <w:basedOn w:val="593"/>
    <w:qFormat/>
    <w:uiPriority w:val="99"/>
  </w:style>
  <w:style w:type="paragraph" w:customStyle="1" w:styleId="613">
    <w:name w:val="UserStyle_452"/>
    <w:basedOn w:val="86"/>
    <w:qFormat/>
    <w:uiPriority w:val="99"/>
    <w:pPr>
      <w:keepNext/>
      <w:snapToGrid w:val="0"/>
      <w:spacing w:before="240" w:after="240" w:line="353" w:lineRule="auto"/>
      <w:jc w:val="both"/>
      <w:textAlignment w:val="auto"/>
    </w:pPr>
    <w:rPr>
      <w:rFonts w:ascii="Swis721 BT" w:hAnsi="Swis721 BT" w:eastAsia="黑体" w:cs="MS Gothicfalt"/>
      <w:bCs/>
      <w:kern w:val="0"/>
      <w:sz w:val="32"/>
      <w:szCs w:val="44"/>
    </w:rPr>
  </w:style>
  <w:style w:type="paragraph" w:customStyle="1" w:styleId="614">
    <w:name w:val="UserStyle_453"/>
    <w:basedOn w:val="460"/>
    <w:autoRedefine/>
    <w:qFormat/>
    <w:uiPriority w:val="99"/>
    <w:pPr>
      <w:ind w:firstLine="167" w:firstLineChars="167"/>
    </w:pPr>
  </w:style>
  <w:style w:type="paragraph" w:customStyle="1" w:styleId="615">
    <w:name w:val="UserStyle_454"/>
    <w:basedOn w:val="1"/>
    <w:autoRedefine/>
    <w:qFormat/>
    <w:uiPriority w:val="99"/>
    <w:pPr>
      <w:pBdr>
        <w:top w:val="single" w:color="000000" w:sz="4" w:space="0"/>
        <w:left w:val="single" w:color="000000" w:sz="4" w:space="0"/>
        <w:bottom w:val="single" w:color="000000" w:sz="4" w:space="0"/>
      </w:pBdr>
      <w:shd w:val="clear" w:color="auto" w:fill="FFFFFF"/>
      <w:spacing w:before="100" w:beforeAutospacing="1" w:after="100" w:afterAutospacing="1"/>
      <w:jc w:val="center"/>
      <w:textAlignment w:val="center"/>
    </w:pPr>
    <w:rPr>
      <w:rFonts w:ascii="?" w:hAnsi="宋体" w:eastAsia="?" w:cs="宋体"/>
      <w:b/>
      <w:bCs/>
      <w:color w:val="000000"/>
      <w:kern w:val="0"/>
      <w:sz w:val="18"/>
      <w:szCs w:val="18"/>
    </w:rPr>
  </w:style>
  <w:style w:type="paragraph" w:customStyle="1" w:styleId="616">
    <w:name w:val="UserStyle_455"/>
    <w:basedOn w:val="1"/>
    <w:qFormat/>
    <w:uiPriority w:val="99"/>
    <w:pPr>
      <w:spacing w:line="240" w:lineRule="atLeast"/>
    </w:pPr>
    <w:rPr>
      <w:rFonts w:ascii="宋体"/>
      <w:kern w:val="0"/>
      <w:sz w:val="24"/>
      <w:szCs w:val="20"/>
    </w:rPr>
  </w:style>
  <w:style w:type="paragraph" w:customStyle="1" w:styleId="617">
    <w:name w:val="UserStyle_456"/>
    <w:basedOn w:val="1"/>
    <w:next w:val="1"/>
    <w:autoRedefine/>
    <w:qFormat/>
    <w:uiPriority w:val="99"/>
    <w:pPr>
      <w:tabs>
        <w:tab w:val="left" w:pos="1440"/>
      </w:tabs>
      <w:ind w:left="4320" w:hanging="720"/>
      <w:jc w:val="left"/>
    </w:pPr>
    <w:rPr>
      <w:rFonts w:ascii="Arial" w:hAnsi="Arial"/>
      <w:kern w:val="0"/>
      <w:sz w:val="20"/>
      <w:szCs w:val="20"/>
      <w:lang w:eastAsia="en-US"/>
    </w:rPr>
  </w:style>
  <w:style w:type="paragraph" w:customStyle="1" w:styleId="618">
    <w:name w:val="UserStyle_457"/>
    <w:basedOn w:val="1"/>
    <w:autoRedefine/>
    <w:qFormat/>
    <w:uiPriority w:val="99"/>
    <w:pPr>
      <w:spacing w:line="360" w:lineRule="auto"/>
      <w:ind w:firstLine="480" w:firstLineChars="200"/>
    </w:pPr>
    <w:rPr>
      <w:rFonts w:ascii="宋体"/>
      <w:sz w:val="24"/>
    </w:rPr>
  </w:style>
  <w:style w:type="paragraph" w:customStyle="1" w:styleId="619">
    <w:name w:val="UserStyle_458"/>
    <w:basedOn w:val="548"/>
    <w:next w:val="89"/>
    <w:qFormat/>
    <w:uiPriority w:val="99"/>
    <w:pPr>
      <w:tabs>
        <w:tab w:val="left" w:pos="840"/>
        <w:tab w:val="left" w:pos="1260"/>
        <w:tab w:val="left" w:pos="1785"/>
      </w:tabs>
      <w:spacing w:before="0" w:after="0"/>
      <w:ind w:left="840" w:hanging="840"/>
    </w:pPr>
  </w:style>
  <w:style w:type="paragraph" w:customStyle="1" w:styleId="620">
    <w:name w:val="UserStyle_459"/>
    <w:basedOn w:val="1"/>
    <w:qFormat/>
    <w:uiPriority w:val="99"/>
    <w:pPr>
      <w:spacing w:before="60" w:after="60" w:line="360" w:lineRule="atLeast"/>
      <w:ind w:left="1560" w:hanging="426"/>
    </w:pPr>
    <w:rPr>
      <w:rFonts w:ascii="宋体"/>
      <w:spacing w:val="5"/>
      <w:kern w:val="0"/>
      <w:sz w:val="24"/>
      <w:szCs w:val="20"/>
    </w:rPr>
  </w:style>
  <w:style w:type="paragraph" w:customStyle="1" w:styleId="621">
    <w:name w:val="UserStyle_460"/>
    <w:basedOn w:val="1"/>
    <w:autoRedefine/>
    <w:qFormat/>
    <w:uiPriority w:val="99"/>
    <w:pPr>
      <w:snapToGrid w:val="0"/>
      <w:spacing w:before="60" w:after="60" w:line="320" w:lineRule="atLeast"/>
      <w:jc w:val="center"/>
    </w:pPr>
    <w:rPr>
      <w:sz w:val="24"/>
      <w:szCs w:val="20"/>
    </w:rPr>
  </w:style>
  <w:style w:type="paragraph" w:customStyle="1" w:styleId="622">
    <w:name w:val="UserStyle_461"/>
    <w:basedOn w:val="1"/>
    <w:autoRedefine/>
    <w:qFormat/>
    <w:uiPriority w:val="99"/>
    <w:pPr>
      <w:pBdr>
        <w:bottom w:val="single" w:color="000000" w:sz="8" w:space="0"/>
      </w:pBdr>
      <w:shd w:val="clear" w:color="auto" w:fill="FFFFFF"/>
      <w:spacing w:before="100" w:beforeAutospacing="1" w:after="100" w:afterAutospacing="1"/>
      <w:jc w:val="left"/>
      <w:textAlignment w:val="center"/>
    </w:pPr>
    <w:rPr>
      <w:b/>
      <w:color w:val="000000"/>
      <w:kern w:val="0"/>
      <w:sz w:val="28"/>
      <w:szCs w:val="20"/>
    </w:rPr>
  </w:style>
  <w:style w:type="paragraph" w:customStyle="1" w:styleId="623">
    <w:name w:val="UserStyle_462"/>
    <w:basedOn w:val="1"/>
    <w:qFormat/>
    <w:uiPriority w:val="99"/>
    <w:pPr>
      <w:shd w:val="clear" w:color="auto" w:fill="FFFFFF"/>
      <w:spacing w:after="180" w:line="90" w:lineRule="exact"/>
    </w:pPr>
    <w:rPr>
      <w:rFonts w:ascii="Arial" w:hAnsi="Arial"/>
      <w:i/>
      <w:iCs/>
      <w:sz w:val="8"/>
      <w:szCs w:val="8"/>
    </w:rPr>
  </w:style>
  <w:style w:type="paragraph" w:customStyle="1" w:styleId="624">
    <w:name w:val="UserStyle_463"/>
    <w:basedOn w:val="1"/>
    <w:next w:val="1"/>
    <w:autoRedefine/>
    <w:qFormat/>
    <w:uiPriority w:val="99"/>
    <w:pPr>
      <w:snapToGrid w:val="0"/>
      <w:spacing w:before="120" w:after="120" w:line="360" w:lineRule="auto"/>
      <w:jc w:val="left"/>
    </w:pPr>
    <w:rPr>
      <w:rFonts w:ascii="黑体" w:eastAsia="黑体"/>
      <w:color w:val="333300"/>
      <w:kern w:val="0"/>
      <w:szCs w:val="21"/>
    </w:rPr>
  </w:style>
  <w:style w:type="paragraph" w:customStyle="1" w:styleId="625">
    <w:name w:val="UserStyle_464"/>
    <w:basedOn w:val="1"/>
    <w:autoRedefine/>
    <w:qFormat/>
    <w:uiPriority w:val="99"/>
    <w:pPr>
      <w:snapToGrid w:val="0"/>
      <w:jc w:val="center"/>
    </w:pPr>
    <w:rPr>
      <w:rFonts w:ascii="宋体" w:hAnsi="Swis721 Lt BT" w:eastAsia="楷体_GB2312"/>
      <w:kern w:val="0"/>
      <w:szCs w:val="28"/>
    </w:rPr>
  </w:style>
  <w:style w:type="paragraph" w:customStyle="1" w:styleId="626">
    <w:name w:val="UserStyle_465"/>
    <w:basedOn w:val="1"/>
    <w:qFormat/>
    <w:uiPriority w:val="99"/>
    <w:pPr>
      <w:shd w:val="clear" w:color="auto" w:fill="000080"/>
      <w:spacing w:line="360" w:lineRule="atLeast"/>
      <w:jc w:val="left"/>
    </w:pPr>
    <w:rPr>
      <w:kern w:val="0"/>
      <w:sz w:val="24"/>
      <w:szCs w:val="20"/>
    </w:rPr>
  </w:style>
  <w:style w:type="paragraph" w:customStyle="1" w:styleId="627">
    <w:name w:val="UserStyle_466"/>
    <w:basedOn w:val="1"/>
    <w:qFormat/>
    <w:uiPriority w:val="99"/>
    <w:pPr>
      <w:spacing w:before="40" w:after="40"/>
      <w:jc w:val="center"/>
    </w:pPr>
    <w:rPr>
      <w:kern w:val="0"/>
      <w:szCs w:val="20"/>
    </w:rPr>
  </w:style>
  <w:style w:type="paragraph" w:customStyle="1" w:styleId="628">
    <w:name w:val="UserStyle_467"/>
    <w:basedOn w:val="1"/>
    <w:autoRedefine/>
    <w:qFormat/>
    <w:uiPriority w:val="99"/>
    <w:rPr>
      <w:rFonts w:ascii="Tahoma" w:hAnsi="Tahoma"/>
      <w:sz w:val="24"/>
      <w:szCs w:val="20"/>
    </w:rPr>
  </w:style>
  <w:style w:type="paragraph" w:customStyle="1" w:styleId="629">
    <w:name w:val="UserStyle_468"/>
    <w:basedOn w:val="1"/>
    <w:autoRedefine/>
    <w:qFormat/>
    <w:uiPriority w:val="99"/>
    <w:pPr>
      <w:tabs>
        <w:tab w:val="left" w:pos="1020"/>
      </w:tabs>
      <w:spacing w:line="312" w:lineRule="atLeast"/>
      <w:ind w:left="1020" w:hanging="420"/>
    </w:pPr>
    <w:rPr>
      <w:rFonts w:eastAsia="仿宋_GB2312"/>
      <w:kern w:val="0"/>
      <w:sz w:val="24"/>
      <w:szCs w:val="20"/>
    </w:rPr>
  </w:style>
  <w:style w:type="paragraph" w:customStyle="1" w:styleId="630">
    <w:name w:val="UserStyle_469"/>
    <w:basedOn w:val="1"/>
    <w:qFormat/>
    <w:uiPriority w:val="99"/>
    <w:pPr>
      <w:spacing w:line="360" w:lineRule="auto"/>
      <w:ind w:left="360"/>
    </w:pPr>
    <w:rPr>
      <w:rFonts w:ascii="仿宋_GB2312" w:hAnsi="Arial" w:eastAsia="仿宋_GB2312"/>
      <w:kern w:val="0"/>
    </w:rPr>
  </w:style>
  <w:style w:type="paragraph" w:customStyle="1" w:styleId="631">
    <w:name w:val="UserStyle_470"/>
    <w:basedOn w:val="1"/>
    <w:autoRedefine/>
    <w:qFormat/>
    <w:uiPriority w:val="99"/>
    <w:pPr>
      <w:pBdr>
        <w:top w:val="single" w:color="000000" w:sz="8" w:space="0"/>
        <w:left w:val="single" w:color="000000" w:sz="4" w:space="0"/>
        <w:bottom w:val="single" w:color="000000" w:sz="4" w:space="0"/>
        <w:right w:val="single" w:color="000000" w:sz="4" w:space="0"/>
      </w:pBdr>
      <w:spacing w:before="100" w:beforeAutospacing="1" w:after="100" w:afterAutospacing="1"/>
      <w:jc w:val="left"/>
    </w:pPr>
    <w:rPr>
      <w:rFonts w:ascii="宋体" w:hAnsi="宋体"/>
      <w:kern w:val="0"/>
      <w:sz w:val="32"/>
      <w:szCs w:val="20"/>
    </w:rPr>
  </w:style>
  <w:style w:type="paragraph" w:customStyle="1" w:styleId="632">
    <w:name w:val="UserStyle_471"/>
    <w:basedOn w:val="86"/>
    <w:qFormat/>
    <w:uiPriority w:val="99"/>
    <w:pPr>
      <w:keepNext/>
      <w:keepLines/>
      <w:tabs>
        <w:tab w:val="left" w:pos="540"/>
      </w:tabs>
      <w:snapToGrid w:val="0"/>
      <w:spacing w:after="156"/>
    </w:pPr>
    <w:rPr>
      <w:rFonts w:ascii="Times New Roman" w:hAnsi="Times New Roman" w:eastAsia="黑体"/>
      <w:b/>
      <w:bCs/>
      <w:kern w:val="44"/>
      <w:sz w:val="44"/>
      <w:szCs w:val="20"/>
    </w:rPr>
  </w:style>
  <w:style w:type="paragraph" w:customStyle="1" w:styleId="633">
    <w:name w:val="UserStyle_472"/>
    <w:basedOn w:val="1"/>
    <w:next w:val="1"/>
    <w:qFormat/>
    <w:uiPriority w:val="99"/>
    <w:pPr>
      <w:keepNext/>
      <w:tabs>
        <w:tab w:val="left" w:pos="1321"/>
        <w:tab w:val="left" w:pos="2642"/>
        <w:tab w:val="center" w:pos="4961"/>
      </w:tabs>
      <w:spacing w:line="360" w:lineRule="atLeast"/>
      <w:ind w:hanging="2635"/>
      <w:jc w:val="center"/>
    </w:pPr>
    <w:rPr>
      <w:rFonts w:ascii="宋体"/>
      <w:b/>
      <w:kern w:val="0"/>
      <w:sz w:val="56"/>
      <w:szCs w:val="20"/>
    </w:rPr>
  </w:style>
  <w:style w:type="paragraph" w:customStyle="1" w:styleId="634">
    <w:name w:val="UserStyle_473"/>
    <w:qFormat/>
    <w:uiPriority w:val="99"/>
    <w:pPr>
      <w:spacing w:before="60" w:after="120"/>
      <w:jc w:val="right"/>
      <w:textAlignment w:val="baseline"/>
    </w:pPr>
    <w:rPr>
      <w:rFonts w:ascii="Times New Roman" w:hAnsi="Times New Roman" w:eastAsia="宋体" w:cs="Times New Roman"/>
      <w:color w:val="0000FF"/>
      <w:sz w:val="24"/>
      <w:lang w:val="en-US" w:eastAsia="zh-CN" w:bidi="ar-SA"/>
    </w:rPr>
  </w:style>
  <w:style w:type="paragraph" w:customStyle="1" w:styleId="635">
    <w:name w:val="UserStyle_474"/>
    <w:basedOn w:val="1"/>
    <w:autoRedefine/>
    <w:qFormat/>
    <w:uiPriority w:val="99"/>
    <w:rPr>
      <w:sz w:val="24"/>
    </w:rPr>
  </w:style>
  <w:style w:type="paragraph" w:customStyle="1" w:styleId="636">
    <w:name w:val="UserStyle_475"/>
    <w:basedOn w:val="637"/>
    <w:autoRedefine/>
    <w:qFormat/>
    <w:uiPriority w:val="99"/>
    <w:pPr>
      <w:spacing w:line="240" w:lineRule="auto"/>
    </w:pPr>
    <w:rPr>
      <w:rFonts w:ascii="宋体" w:hAnsi="宋体"/>
    </w:rPr>
  </w:style>
  <w:style w:type="paragraph" w:customStyle="1" w:styleId="637">
    <w:name w:val="UserStyle_476"/>
    <w:basedOn w:val="1"/>
    <w:qFormat/>
    <w:uiPriority w:val="99"/>
    <w:pPr>
      <w:spacing w:line="360" w:lineRule="auto"/>
      <w:ind w:firstLine="480" w:firstLineChars="200"/>
    </w:pPr>
    <w:rPr>
      <w:rFonts w:ascii="Arial" w:hAnsi="Arial"/>
      <w:color w:val="000000"/>
      <w:kern w:val="0"/>
      <w:sz w:val="24"/>
    </w:rPr>
  </w:style>
  <w:style w:type="paragraph" w:customStyle="1" w:styleId="638">
    <w:name w:val="UserStyle_477"/>
    <w:basedOn w:val="1"/>
    <w:autoRedefine/>
    <w:qFormat/>
    <w:uiPriority w:val="99"/>
    <w:pPr>
      <w:ind w:firstLine="560" w:firstLineChars="200"/>
    </w:pPr>
    <w:rPr>
      <w:rFonts w:ascii="Arial" w:hAnsi="Arial"/>
      <w:kern w:val="0"/>
      <w:sz w:val="28"/>
      <w:szCs w:val="20"/>
    </w:rPr>
  </w:style>
  <w:style w:type="paragraph" w:customStyle="1" w:styleId="639">
    <w:name w:val="UserStyle_478"/>
    <w:qFormat/>
    <w:uiPriority w:val="99"/>
    <w:pPr>
      <w:textAlignment w:val="baseline"/>
    </w:pPr>
    <w:rPr>
      <w:rFonts w:ascii="微软雅黑" w:hAnsi="微软雅黑" w:eastAsia="微软雅黑" w:cs="Times New Roman"/>
      <w:sz w:val="24"/>
      <w:szCs w:val="24"/>
      <w:lang w:val="en-US" w:eastAsia="zh-CN" w:bidi="ar-SA"/>
    </w:rPr>
  </w:style>
  <w:style w:type="paragraph" w:customStyle="1" w:styleId="640">
    <w:name w:val="UserStyle_479"/>
    <w:basedOn w:val="1"/>
    <w:qFormat/>
    <w:uiPriority w:val="99"/>
  </w:style>
  <w:style w:type="paragraph" w:customStyle="1" w:styleId="641">
    <w:name w:val="UserStyle_480"/>
    <w:basedOn w:val="1"/>
    <w:qFormat/>
    <w:uiPriority w:val="99"/>
    <w:pPr>
      <w:spacing w:line="360" w:lineRule="auto"/>
      <w:ind w:left="964" w:hanging="964" w:hangingChars="400"/>
    </w:pPr>
    <w:rPr>
      <w:rFonts w:ascii="宋体" w:hAnsi="宋体"/>
      <w:b/>
      <w:bCs/>
      <w:sz w:val="28"/>
      <w:szCs w:val="20"/>
    </w:rPr>
  </w:style>
  <w:style w:type="paragraph" w:customStyle="1" w:styleId="642">
    <w:name w:val="UserStyle_481"/>
    <w:basedOn w:val="1"/>
    <w:autoRedefine/>
    <w:qFormat/>
    <w:uiPriority w:val="99"/>
    <w:pPr>
      <w:tabs>
        <w:tab w:val="left" w:pos="420"/>
      </w:tabs>
      <w:spacing w:before="312" w:after="312" w:line="440" w:lineRule="atLeast"/>
      <w:ind w:left="420" w:hanging="420"/>
    </w:pPr>
    <w:rPr>
      <w:sz w:val="24"/>
      <w:szCs w:val="20"/>
    </w:rPr>
  </w:style>
  <w:style w:type="paragraph" w:customStyle="1" w:styleId="643">
    <w:name w:val="UserStyle_482"/>
    <w:basedOn w:val="1"/>
    <w:autoRedefine/>
    <w:qFormat/>
    <w:uiPriority w:val="99"/>
    <w:pPr>
      <w:pBdr>
        <w:top w:val="single" w:color="000000" w:sz="8" w:space="0"/>
        <w:left w:val="single" w:color="000000" w:sz="4" w:space="0"/>
        <w:bottom w:val="single" w:color="000000" w:sz="4" w:space="0"/>
        <w:right w:val="single" w:color="000000" w:sz="8" w:space="0"/>
      </w:pBdr>
      <w:spacing w:before="100" w:beforeAutospacing="1" w:after="100" w:afterAutospacing="1"/>
      <w:jc w:val="center"/>
    </w:pPr>
    <w:rPr>
      <w:color w:val="000000"/>
      <w:kern w:val="0"/>
      <w:sz w:val="24"/>
      <w:szCs w:val="20"/>
    </w:rPr>
  </w:style>
  <w:style w:type="paragraph" w:customStyle="1" w:styleId="644">
    <w:name w:val="UserStyle_483"/>
    <w:basedOn w:val="1"/>
    <w:qFormat/>
    <w:uiPriority w:val="99"/>
    <w:pPr>
      <w:spacing w:after="160" w:line="240" w:lineRule="exact"/>
      <w:jc w:val="left"/>
    </w:pPr>
    <w:rPr>
      <w:rFonts w:ascii="Arial" w:hAnsi="Arial"/>
      <w:b/>
      <w:kern w:val="0"/>
      <w:sz w:val="24"/>
      <w:szCs w:val="20"/>
      <w:lang w:eastAsia="en-US"/>
    </w:rPr>
  </w:style>
  <w:style w:type="paragraph" w:customStyle="1" w:styleId="645">
    <w:name w:val="UserStyle_484"/>
    <w:autoRedefine/>
    <w:qFormat/>
    <w:uiPriority w:val="99"/>
    <w:pPr>
      <w:tabs>
        <w:tab w:val="left" w:pos="0"/>
      </w:tabs>
      <w:spacing w:after="140" w:line="288" w:lineRule="auto"/>
      <w:jc w:val="both"/>
      <w:textAlignment w:val="baseline"/>
    </w:pPr>
    <w:rPr>
      <w:rFonts w:ascii="Arial" w:hAnsi="Arial" w:eastAsia="宋体" w:cs="Times New Roman"/>
      <w:kern w:val="20"/>
      <w:lang w:val="en-GB" w:eastAsia="en-US" w:bidi="ar-SA"/>
    </w:rPr>
  </w:style>
  <w:style w:type="paragraph" w:customStyle="1" w:styleId="646">
    <w:name w:val="UserStyle_485"/>
    <w:basedOn w:val="614"/>
    <w:autoRedefine/>
    <w:qFormat/>
    <w:uiPriority w:val="99"/>
  </w:style>
  <w:style w:type="paragraph" w:customStyle="1" w:styleId="647">
    <w:name w:val="UserStyle_486"/>
    <w:basedOn w:val="88"/>
    <w:autoRedefine/>
    <w:qFormat/>
    <w:uiPriority w:val="99"/>
    <w:pPr>
      <w:snapToGrid w:val="0"/>
      <w:spacing w:before="0" w:after="0" w:line="500" w:lineRule="exact"/>
      <w:jc w:val="left"/>
      <w:textAlignment w:val="auto"/>
    </w:pPr>
    <w:rPr>
      <w:rFonts w:ascii="宋体" w:hAnsi="宋体"/>
      <w:b w:val="0"/>
      <w:szCs w:val="24"/>
    </w:rPr>
  </w:style>
  <w:style w:type="paragraph" w:customStyle="1" w:styleId="648">
    <w:name w:val="UserStyle_487"/>
    <w:basedOn w:val="1"/>
    <w:qFormat/>
    <w:uiPriority w:val="99"/>
  </w:style>
  <w:style w:type="paragraph" w:customStyle="1" w:styleId="649">
    <w:name w:val="UserStyle_488"/>
    <w:basedOn w:val="1"/>
    <w:autoRedefine/>
    <w:qFormat/>
    <w:uiPriority w:val="99"/>
    <w:pPr>
      <w:spacing w:line="360" w:lineRule="auto"/>
      <w:ind w:firstLine="200" w:firstLineChars="200"/>
    </w:pPr>
    <w:rPr>
      <w:rFonts w:ascii="宋体" w:hAnsi="宋体"/>
      <w:kern w:val="28"/>
      <w:sz w:val="28"/>
      <w:szCs w:val="20"/>
    </w:rPr>
  </w:style>
  <w:style w:type="paragraph" w:customStyle="1" w:styleId="650">
    <w:name w:val="UserStyle_489"/>
    <w:basedOn w:val="87"/>
    <w:autoRedefine/>
    <w:qFormat/>
    <w:uiPriority w:val="99"/>
    <w:pPr>
      <w:tabs>
        <w:tab w:val="left" w:pos="495"/>
      </w:tabs>
      <w:spacing w:line="360" w:lineRule="auto"/>
      <w:jc w:val="left"/>
    </w:pPr>
    <w:rPr>
      <w:rFonts w:ascii="黑体" w:hAnsi="宋体" w:eastAsia="宋体"/>
      <w:kern w:val="0"/>
      <w:sz w:val="28"/>
    </w:rPr>
  </w:style>
  <w:style w:type="paragraph" w:customStyle="1" w:styleId="651">
    <w:name w:val="UserStyle_490"/>
    <w:basedOn w:val="1"/>
    <w:qFormat/>
    <w:uiPriority w:val="99"/>
    <w:pPr>
      <w:pBdr>
        <w:bottom w:val="single" w:color="000000" w:sz="8" w:space="0"/>
      </w:pBdr>
      <w:shd w:val="clear" w:color="auto" w:fill="FFFFFF"/>
      <w:spacing w:before="100" w:beforeAutospacing="1" w:after="100" w:afterAutospacing="1"/>
      <w:jc w:val="left"/>
      <w:textAlignment w:val="center"/>
    </w:pPr>
    <w:rPr>
      <w:rFonts w:ascii="宋体" w:hAnsi="宋体"/>
      <w:b/>
      <w:color w:val="000000"/>
      <w:kern w:val="0"/>
      <w:sz w:val="28"/>
      <w:szCs w:val="20"/>
    </w:rPr>
  </w:style>
  <w:style w:type="paragraph" w:customStyle="1" w:styleId="652">
    <w:name w:val="UserStyle_491"/>
    <w:basedOn w:val="1"/>
    <w:autoRedefine/>
    <w:qFormat/>
    <w:uiPriority w:val="99"/>
    <w:pPr>
      <w:pBdr>
        <w:top w:val="single" w:color="000000" w:sz="4" w:space="0"/>
        <w:bottom w:val="single" w:color="000000" w:sz="4" w:space="0"/>
        <w:right w:val="single" w:color="000000" w:sz="4" w:space="0"/>
      </w:pBdr>
      <w:shd w:val="clear" w:color="auto" w:fill="FFFFFF"/>
      <w:spacing w:before="100" w:beforeAutospacing="1" w:after="100" w:afterAutospacing="1"/>
      <w:jc w:val="center"/>
      <w:textAlignment w:val="center"/>
    </w:pPr>
    <w:rPr>
      <w:rFonts w:ascii="?" w:hAnsi="宋体" w:eastAsia="?" w:cs="宋体"/>
      <w:b/>
      <w:bCs/>
      <w:color w:val="000000"/>
      <w:kern w:val="0"/>
      <w:sz w:val="18"/>
      <w:szCs w:val="18"/>
    </w:rPr>
  </w:style>
  <w:style w:type="paragraph" w:customStyle="1" w:styleId="653">
    <w:name w:val="UserStyle_492"/>
    <w:basedOn w:val="1"/>
    <w:qFormat/>
    <w:uiPriority w:val="99"/>
    <w:pPr>
      <w:spacing w:before="100" w:beforeAutospacing="1" w:after="100" w:afterAutospacing="1"/>
      <w:jc w:val="left"/>
    </w:pPr>
    <w:rPr>
      <w:rFonts w:ascii="宋体" w:hAnsi="宋体"/>
      <w:color w:val="FF0000"/>
      <w:kern w:val="0"/>
      <w:sz w:val="32"/>
      <w:szCs w:val="20"/>
    </w:rPr>
  </w:style>
  <w:style w:type="paragraph" w:customStyle="1" w:styleId="654">
    <w:name w:val="UserStyle_493"/>
    <w:basedOn w:val="1"/>
    <w:qFormat/>
    <w:uiPriority w:val="99"/>
    <w:pPr>
      <w:tabs>
        <w:tab w:val="left" w:pos="0"/>
        <w:tab w:val="left" w:pos="959"/>
        <w:tab w:val="left" w:pos="1918"/>
        <w:tab w:val="left" w:pos="2877"/>
        <w:tab w:val="left" w:pos="3836"/>
        <w:tab w:val="left" w:pos="4795"/>
        <w:tab w:val="left" w:pos="5754"/>
        <w:tab w:val="left" w:pos="6713"/>
        <w:tab w:val="left" w:pos="7672"/>
        <w:tab w:val="left" w:pos="8631"/>
        <w:tab w:val="left" w:pos="9590"/>
      </w:tabs>
      <w:jc w:val="left"/>
    </w:pPr>
    <w:rPr>
      <w:rFonts w:ascii="Courier New" w:hAnsi="Courier New"/>
      <w:kern w:val="0"/>
      <w:sz w:val="20"/>
      <w:szCs w:val="20"/>
    </w:rPr>
  </w:style>
  <w:style w:type="paragraph" w:customStyle="1" w:styleId="655">
    <w:name w:val="UserStyle_494"/>
    <w:basedOn w:val="201"/>
    <w:qFormat/>
    <w:uiPriority w:val="99"/>
    <w:pPr>
      <w:snapToGrid w:val="0"/>
      <w:spacing w:after="60" w:line="460" w:lineRule="exact"/>
      <w:ind w:firstLine="242" w:firstLineChars="100"/>
      <w:jc w:val="left"/>
      <w:textAlignment w:val="auto"/>
    </w:pPr>
    <w:rPr>
      <w:rFonts w:ascii="宋体"/>
      <w:b w:val="0"/>
      <w:bCs/>
      <w:spacing w:val="1"/>
      <w:kern w:val="2"/>
      <w:szCs w:val="20"/>
      <w:lang w:val="zh-CN"/>
    </w:rPr>
  </w:style>
  <w:style w:type="paragraph" w:customStyle="1" w:styleId="656">
    <w:name w:val="UserStyle_496"/>
    <w:basedOn w:val="87"/>
    <w:autoRedefine/>
    <w:qFormat/>
    <w:uiPriority w:val="99"/>
    <w:pPr>
      <w:spacing w:line="500" w:lineRule="exact"/>
      <w:jc w:val="left"/>
    </w:pPr>
    <w:rPr>
      <w:rFonts w:ascii="宋体" w:hAnsi="宋体" w:eastAsia="宋体"/>
      <w:color w:val="000000"/>
      <w:kern w:val="0"/>
      <w:sz w:val="24"/>
      <w:szCs w:val="24"/>
    </w:rPr>
  </w:style>
  <w:style w:type="paragraph" w:customStyle="1" w:styleId="657">
    <w:name w:val="UserStyle_497"/>
    <w:autoRedefine/>
    <w:qFormat/>
    <w:uiPriority w:val="99"/>
    <w:pPr>
      <w:keepNext/>
      <w:suppressLineNumbers/>
      <w:snapToGrid w:val="0"/>
      <w:spacing w:line="312" w:lineRule="auto"/>
      <w:ind w:firstLine="567"/>
      <w:jc w:val="both"/>
      <w:textAlignment w:val="baseline"/>
    </w:pPr>
    <w:rPr>
      <w:rFonts w:ascii="Times New Roman" w:hAnsi="Times New Roman" w:eastAsia="宋体" w:cs="Times New Roman"/>
      <w:sz w:val="28"/>
      <w:lang w:val="en-US" w:eastAsia="zh-CN" w:bidi="ar-SA"/>
    </w:rPr>
  </w:style>
  <w:style w:type="paragraph" w:customStyle="1" w:styleId="658">
    <w:name w:val="UserStyle_498"/>
    <w:basedOn w:val="1"/>
    <w:qFormat/>
    <w:uiPriority w:val="99"/>
    <w:pPr>
      <w:spacing w:line="480" w:lineRule="atLeast"/>
      <w:jc w:val="center"/>
    </w:pPr>
    <w:rPr>
      <w:rFonts w:ascii="宋体"/>
      <w:kern w:val="0"/>
      <w:sz w:val="32"/>
      <w:szCs w:val="20"/>
    </w:rPr>
  </w:style>
  <w:style w:type="paragraph" w:customStyle="1" w:styleId="659">
    <w:name w:val="UserStyle_499"/>
    <w:basedOn w:val="1"/>
    <w:autoRedefine/>
    <w:qFormat/>
    <w:uiPriority w:val="99"/>
    <w:pPr>
      <w:spacing w:before="100" w:beforeAutospacing="1" w:after="100" w:afterAutospacing="1"/>
      <w:jc w:val="center"/>
    </w:pPr>
    <w:rPr>
      <w:rFonts w:ascii="宋体" w:hAnsi="宋体"/>
      <w:kern w:val="0"/>
      <w:sz w:val="24"/>
    </w:rPr>
  </w:style>
  <w:style w:type="paragraph" w:customStyle="1" w:styleId="660">
    <w:name w:val="UserStyle_500"/>
    <w:basedOn w:val="1"/>
    <w:autoRedefine/>
    <w:qFormat/>
    <w:uiPriority w:val="99"/>
    <w:rPr>
      <w:sz w:val="24"/>
    </w:rPr>
  </w:style>
  <w:style w:type="paragraph" w:customStyle="1" w:styleId="661">
    <w:name w:val="UserStyle_501"/>
    <w:autoRedefine/>
    <w:qFormat/>
    <w:uiPriority w:val="99"/>
    <w:pPr>
      <w:jc w:val="both"/>
      <w:textAlignment w:val="baseline"/>
    </w:pPr>
    <w:rPr>
      <w:rFonts w:ascii="Times New Roman" w:hAnsi="Times New Roman" w:eastAsia="宋体" w:cs="Times New Roman"/>
      <w:lang w:val="en-US" w:eastAsia="zh-CN" w:bidi="ar-SA"/>
    </w:rPr>
  </w:style>
  <w:style w:type="paragraph" w:customStyle="1" w:styleId="662">
    <w:name w:val="UserStyle_502"/>
    <w:basedOn w:val="1"/>
    <w:autoRedefine/>
    <w:qFormat/>
    <w:uiPriority w:val="99"/>
    <w:pPr>
      <w:spacing w:line="300" w:lineRule="auto"/>
      <w:ind w:firstLine="200" w:firstLineChars="200"/>
    </w:pPr>
  </w:style>
  <w:style w:type="paragraph" w:customStyle="1" w:styleId="663">
    <w:name w:val="UserStyle_503"/>
    <w:basedOn w:val="1"/>
    <w:autoRedefine/>
    <w:qFormat/>
    <w:uiPriority w:val="99"/>
    <w:rPr>
      <w:sz w:val="24"/>
    </w:rPr>
  </w:style>
  <w:style w:type="paragraph" w:customStyle="1" w:styleId="664">
    <w:name w:val="UserStyle_504"/>
    <w:basedOn w:val="1"/>
    <w:autoRedefine/>
    <w:qFormat/>
    <w:uiPriority w:val="99"/>
    <w:pPr>
      <w:spacing w:line="460" w:lineRule="exact"/>
      <w:ind w:firstLine="200" w:firstLineChars="200"/>
    </w:pPr>
    <w:rPr>
      <w:rFonts w:ascii="宋体" w:hAnsi="宋体"/>
      <w:kern w:val="0"/>
      <w:sz w:val="24"/>
      <w:szCs w:val="20"/>
    </w:rPr>
  </w:style>
  <w:style w:type="paragraph" w:customStyle="1" w:styleId="665">
    <w:name w:val="UserStyle_505"/>
    <w:basedOn w:val="1"/>
    <w:autoRedefine/>
    <w:qFormat/>
    <w:uiPriority w:val="99"/>
    <w:pPr>
      <w:pBdr>
        <w:top w:val="single" w:color="000000" w:sz="8" w:space="0"/>
        <w:left w:val="single" w:color="000000" w:sz="8" w:space="0"/>
        <w:bottom w:val="single" w:color="000000" w:sz="4" w:space="0"/>
        <w:right w:val="single" w:color="000000" w:sz="4" w:space="0"/>
      </w:pBdr>
      <w:shd w:val="clear" w:color="auto" w:fill="FFFFFF"/>
      <w:spacing w:before="100" w:beforeAutospacing="1" w:after="100" w:afterAutospacing="1"/>
      <w:jc w:val="center"/>
      <w:textAlignment w:val="center"/>
    </w:pPr>
    <w:rPr>
      <w:rFonts w:ascii="宋体" w:hAnsi="宋体"/>
      <w:kern w:val="0"/>
      <w:sz w:val="24"/>
      <w:szCs w:val="20"/>
    </w:rPr>
  </w:style>
  <w:style w:type="paragraph" w:customStyle="1" w:styleId="666">
    <w:name w:val="UserStyle_506"/>
    <w:basedOn w:val="1"/>
    <w:autoRedefine/>
    <w:qFormat/>
    <w:uiPriority w:val="99"/>
    <w:pPr>
      <w:tabs>
        <w:tab w:val="left" w:pos="240"/>
      </w:tabs>
      <w:spacing w:line="410" w:lineRule="atLeast"/>
      <w:ind w:firstLine="482"/>
    </w:pPr>
    <w:rPr>
      <w:kern w:val="0"/>
      <w:sz w:val="24"/>
      <w:szCs w:val="20"/>
    </w:rPr>
  </w:style>
  <w:style w:type="paragraph" w:customStyle="1" w:styleId="667">
    <w:name w:val="UserStyle_507"/>
    <w:basedOn w:val="1"/>
    <w:qFormat/>
    <w:uiPriority w:val="99"/>
    <w:pPr>
      <w:keepNext/>
      <w:spacing w:after="240"/>
      <w:jc w:val="center"/>
    </w:pPr>
    <w:rPr>
      <w:caps/>
      <w:kern w:val="0"/>
      <w:sz w:val="24"/>
    </w:rPr>
  </w:style>
  <w:style w:type="paragraph" w:customStyle="1" w:styleId="668">
    <w:name w:val="UserStyle_508"/>
    <w:basedOn w:val="1"/>
    <w:autoRedefine/>
    <w:qFormat/>
    <w:uiPriority w:val="99"/>
    <w:pPr>
      <w:spacing w:line="360" w:lineRule="auto"/>
      <w:ind w:firstLine="100" w:firstLineChars="100"/>
      <w:jc w:val="left"/>
    </w:pPr>
    <w:rPr>
      <w:rFonts w:ascii="Arial" w:hAnsi="Arial"/>
      <w:sz w:val="24"/>
      <w:szCs w:val="20"/>
    </w:rPr>
  </w:style>
  <w:style w:type="paragraph" w:customStyle="1" w:styleId="669">
    <w:name w:val="UserStyle_509"/>
    <w:basedOn w:val="1"/>
    <w:autoRedefine/>
    <w:qFormat/>
    <w:uiPriority w:val="99"/>
    <w:pPr>
      <w:spacing w:line="560" w:lineRule="exact"/>
      <w:ind w:firstLine="556"/>
    </w:pPr>
    <w:rPr>
      <w:rFonts w:ascii="黑体" w:eastAsia="黑体"/>
      <w:b/>
      <w:bCs/>
      <w:color w:val="000000"/>
      <w:spacing w:val="20"/>
      <w:kern w:val="0"/>
      <w:sz w:val="30"/>
      <w:szCs w:val="30"/>
    </w:rPr>
  </w:style>
  <w:style w:type="paragraph" w:customStyle="1" w:styleId="670">
    <w:name w:val="UserStyle_510"/>
    <w:basedOn w:val="456"/>
    <w:autoRedefine/>
    <w:qFormat/>
    <w:uiPriority w:val="99"/>
    <w:rPr>
      <w:szCs w:val="20"/>
    </w:rPr>
  </w:style>
  <w:style w:type="paragraph" w:customStyle="1" w:styleId="671">
    <w:name w:val="UserStyle_511"/>
    <w:basedOn w:val="1"/>
    <w:autoRedefine/>
    <w:qFormat/>
    <w:uiPriority w:val="99"/>
    <w:pPr>
      <w:spacing w:line="360" w:lineRule="exact"/>
      <w:ind w:left="709"/>
      <w:jc w:val="left"/>
    </w:pPr>
    <w:rPr>
      <w:kern w:val="0"/>
      <w:sz w:val="24"/>
      <w:szCs w:val="20"/>
    </w:rPr>
  </w:style>
  <w:style w:type="paragraph" w:customStyle="1" w:styleId="672">
    <w:name w:val="UserStyle_512"/>
    <w:basedOn w:val="1"/>
    <w:qFormat/>
    <w:uiPriority w:val="99"/>
    <w:pPr>
      <w:pBdr>
        <w:top w:val="single" w:color="000000" w:sz="4" w:space="0"/>
        <w:left w:val="single" w:color="000000" w:sz="4" w:space="0"/>
        <w:bottom w:val="single" w:color="000000" w:sz="4" w:space="0"/>
        <w:right w:val="single" w:color="000000" w:sz="8" w:space="0"/>
      </w:pBdr>
      <w:spacing w:before="100" w:beforeAutospacing="1" w:after="100" w:afterAutospacing="1"/>
      <w:jc w:val="center"/>
    </w:pPr>
    <w:rPr>
      <w:rFonts w:ascii="Arial Unicode MS" w:hAnsi="Arial Unicode MS"/>
      <w:color w:val="000000"/>
      <w:kern w:val="0"/>
      <w:sz w:val="24"/>
      <w:szCs w:val="20"/>
    </w:rPr>
  </w:style>
  <w:style w:type="paragraph" w:customStyle="1" w:styleId="673">
    <w:name w:val="UserStyle_513"/>
    <w:autoRedefine/>
    <w:qFormat/>
    <w:uiPriority w:val="99"/>
    <w:pPr>
      <w:textAlignment w:val="baseline"/>
    </w:pPr>
    <w:rPr>
      <w:rFonts w:ascii="黑体" w:hAnsi="黑体" w:eastAsia="黑体" w:cs="Times New Roman"/>
      <w:sz w:val="24"/>
      <w:lang w:val="en-US" w:eastAsia="zh-CN" w:bidi="ar-SA"/>
    </w:rPr>
  </w:style>
  <w:style w:type="paragraph" w:customStyle="1" w:styleId="674">
    <w:name w:val="UserStyle_514"/>
    <w:basedOn w:val="1"/>
    <w:qFormat/>
    <w:uiPriority w:val="99"/>
    <w:rPr>
      <w:rFonts w:ascii="Tahoma" w:hAnsi="Tahoma"/>
      <w:sz w:val="24"/>
      <w:szCs w:val="20"/>
    </w:rPr>
  </w:style>
  <w:style w:type="paragraph" w:customStyle="1" w:styleId="675">
    <w:name w:val="UserStyle_515"/>
    <w:basedOn w:val="1"/>
    <w:autoRedefine/>
    <w:qFormat/>
    <w:uiPriority w:val="99"/>
    <w:rPr>
      <w:sz w:val="16"/>
      <w:szCs w:val="16"/>
    </w:rPr>
  </w:style>
  <w:style w:type="paragraph" w:customStyle="1" w:styleId="676">
    <w:name w:val="UserStyle_516"/>
    <w:basedOn w:val="677"/>
    <w:next w:val="89"/>
    <w:qFormat/>
    <w:uiPriority w:val="99"/>
    <w:pPr>
      <w:tabs>
        <w:tab w:val="left" w:pos="1680"/>
      </w:tabs>
    </w:pPr>
  </w:style>
  <w:style w:type="paragraph" w:customStyle="1" w:styleId="677">
    <w:name w:val="UserStyle_517"/>
    <w:basedOn w:val="500"/>
    <w:next w:val="89"/>
    <w:autoRedefine/>
    <w:qFormat/>
    <w:uiPriority w:val="99"/>
    <w:pPr>
      <w:ind w:left="0" w:firstLine="0"/>
    </w:pPr>
  </w:style>
  <w:style w:type="paragraph" w:customStyle="1" w:styleId="678">
    <w:name w:val="UserStyle_518"/>
    <w:basedOn w:val="1"/>
    <w:qFormat/>
    <w:uiPriority w:val="99"/>
    <w:rPr>
      <w:sz w:val="24"/>
    </w:rPr>
  </w:style>
  <w:style w:type="paragraph" w:customStyle="1" w:styleId="679">
    <w:name w:val="UserStyle_519"/>
    <w:basedOn w:val="1"/>
    <w:autoRedefine/>
    <w:qFormat/>
    <w:uiPriority w:val="99"/>
    <w:pPr>
      <w:snapToGrid w:val="0"/>
      <w:spacing w:line="400" w:lineRule="exact"/>
      <w:ind w:firstLine="420" w:firstLineChars="200"/>
    </w:pPr>
    <w:rPr>
      <w:rFonts w:ascii="宋体-18030" w:hAnsi="宋体-18030"/>
      <w:kern w:val="0"/>
      <w:sz w:val="24"/>
      <w:szCs w:val="20"/>
    </w:rPr>
  </w:style>
  <w:style w:type="paragraph" w:customStyle="1" w:styleId="680">
    <w:name w:val="UserStyle_520"/>
    <w:basedOn w:val="1"/>
    <w:qFormat/>
    <w:uiPriority w:val="99"/>
    <w:pPr>
      <w:spacing w:line="440" w:lineRule="atLeast"/>
      <w:jc w:val="center"/>
    </w:pPr>
    <w:rPr>
      <w:rFonts w:ascii="黑体" w:eastAsia="黑体"/>
      <w:sz w:val="28"/>
      <w:szCs w:val="28"/>
    </w:rPr>
  </w:style>
  <w:style w:type="paragraph" w:customStyle="1" w:styleId="681">
    <w:name w:val="UserStyle_521"/>
    <w:basedOn w:val="1"/>
    <w:autoRedefine/>
    <w:qFormat/>
    <w:uiPriority w:val="99"/>
    <w:pPr>
      <w:spacing w:line="300" w:lineRule="exact"/>
    </w:pPr>
    <w:rPr>
      <w:rFonts w:eastAsia="仿宋_GB2312"/>
    </w:rPr>
  </w:style>
  <w:style w:type="paragraph" w:customStyle="1" w:styleId="682">
    <w:name w:val="UserStyle_522"/>
    <w:basedOn w:val="1"/>
    <w:qFormat/>
    <w:uiPriority w:val="99"/>
    <w:pPr>
      <w:spacing w:line="460" w:lineRule="exact"/>
    </w:pPr>
    <w:rPr>
      <w:rFonts w:ascii="宋体"/>
      <w:kern w:val="0"/>
    </w:rPr>
  </w:style>
  <w:style w:type="paragraph" w:customStyle="1" w:styleId="683">
    <w:name w:val="UserStyle_523"/>
    <w:basedOn w:val="1"/>
    <w:qFormat/>
    <w:uiPriority w:val="99"/>
    <w:rPr>
      <w:sz w:val="24"/>
    </w:rPr>
  </w:style>
  <w:style w:type="paragraph" w:customStyle="1" w:styleId="684">
    <w:name w:val="UserStyle_524"/>
    <w:basedOn w:val="1"/>
    <w:autoRedefine/>
    <w:qFormat/>
    <w:uiPriority w:val="99"/>
    <w:pPr>
      <w:snapToGrid w:val="0"/>
      <w:spacing w:line="440" w:lineRule="atLeast"/>
      <w:ind w:firstLine="200" w:firstLineChars="200"/>
    </w:pPr>
    <w:rPr>
      <w:rFonts w:ascii="宋体"/>
      <w:sz w:val="24"/>
    </w:rPr>
  </w:style>
  <w:style w:type="paragraph" w:customStyle="1" w:styleId="685">
    <w:name w:val="UserStyle_525"/>
    <w:basedOn w:val="1"/>
    <w:qFormat/>
    <w:uiPriority w:val="99"/>
    <w:pPr>
      <w:pBdr>
        <w:top w:val="single" w:color="000000" w:sz="8" w:space="0"/>
        <w:left w:val="single" w:color="000000" w:sz="4" w:space="0"/>
      </w:pBdr>
      <w:spacing w:before="100" w:beforeAutospacing="1" w:after="100" w:afterAutospacing="1"/>
      <w:jc w:val="center"/>
      <w:textAlignment w:val="center"/>
    </w:pPr>
    <w:rPr>
      <w:rFonts w:ascii="宋体" w:hAnsi="宋体"/>
      <w:kern w:val="0"/>
      <w:sz w:val="24"/>
    </w:rPr>
  </w:style>
  <w:style w:type="paragraph" w:customStyle="1" w:styleId="686">
    <w:name w:val="UserStyle_526"/>
    <w:basedOn w:val="1"/>
    <w:qFormat/>
    <w:uiPriority w:val="99"/>
    <w:pPr>
      <w:tabs>
        <w:tab w:val="left" w:pos="425"/>
        <w:tab w:val="left" w:pos="1050"/>
      </w:tabs>
      <w:ind w:left="425" w:hanging="425"/>
    </w:pPr>
    <w:rPr>
      <w:szCs w:val="20"/>
    </w:rPr>
  </w:style>
  <w:style w:type="paragraph" w:customStyle="1" w:styleId="687">
    <w:name w:val="UserStyle_527"/>
    <w:basedOn w:val="1"/>
    <w:qFormat/>
    <w:uiPriority w:val="99"/>
    <w:pPr>
      <w:tabs>
        <w:tab w:val="left" w:pos="510"/>
      </w:tabs>
      <w:spacing w:line="430" w:lineRule="atLeast"/>
      <w:jc w:val="center"/>
    </w:pPr>
    <w:rPr>
      <w:spacing w:val="16"/>
      <w:kern w:val="0"/>
      <w:szCs w:val="20"/>
    </w:rPr>
  </w:style>
  <w:style w:type="paragraph" w:customStyle="1" w:styleId="688">
    <w:name w:val="UserStyle_528"/>
    <w:basedOn w:val="1"/>
    <w:qFormat/>
    <w:uiPriority w:val="99"/>
    <w:pPr>
      <w:snapToGrid w:val="0"/>
      <w:spacing w:line="300" w:lineRule="auto"/>
      <w:ind w:firstLine="150" w:firstLineChars="150"/>
    </w:pPr>
    <w:rPr>
      <w:rFonts w:ascii="黑体" w:hAnsi="Swis721 Lt BT" w:eastAsia="黑体"/>
      <w:kern w:val="0"/>
      <w:sz w:val="24"/>
      <w:szCs w:val="28"/>
    </w:rPr>
  </w:style>
  <w:style w:type="paragraph" w:customStyle="1" w:styleId="689">
    <w:name w:val="UserStyle_529"/>
    <w:basedOn w:val="183"/>
    <w:qFormat/>
    <w:uiPriority w:val="99"/>
    <w:pPr>
      <w:spacing w:before="60"/>
      <w:ind w:left="1359" w:leftChars="384" w:hanging="284"/>
      <w:jc w:val="left"/>
    </w:pPr>
    <w:rPr>
      <w:rFonts w:ascii="黑体" w:hAnsi="Times New Roman" w:eastAsia="黑体"/>
      <w:sz w:val="18"/>
      <w:szCs w:val="18"/>
    </w:rPr>
  </w:style>
  <w:style w:type="paragraph" w:customStyle="1" w:styleId="690">
    <w:name w:val="UserStyle_530"/>
    <w:basedOn w:val="183"/>
    <w:autoRedefine/>
    <w:qFormat/>
    <w:uiPriority w:val="99"/>
    <w:pPr>
      <w:pageBreakBefore/>
      <w:tabs>
        <w:tab w:val="left" w:pos="900"/>
      </w:tabs>
      <w:snapToGrid w:val="0"/>
      <w:spacing w:line="300" w:lineRule="auto"/>
      <w:ind w:left="900" w:hanging="420"/>
    </w:pPr>
    <w:rPr>
      <w:rFonts w:ascii="Times New Roman" w:hAnsi="Times New Roman"/>
      <w:sz w:val="24"/>
      <w:szCs w:val="21"/>
    </w:rPr>
  </w:style>
  <w:style w:type="paragraph" w:customStyle="1" w:styleId="691">
    <w:name w:val="UserStyle_531"/>
    <w:basedOn w:val="1"/>
    <w:qFormat/>
    <w:uiPriority w:val="99"/>
    <w:pPr>
      <w:spacing w:line="520" w:lineRule="exact"/>
      <w:ind w:firstLine="482"/>
    </w:pPr>
    <w:rPr>
      <w:rFonts w:ascii="宋体"/>
      <w:b/>
      <w:sz w:val="28"/>
      <w:szCs w:val="20"/>
    </w:rPr>
  </w:style>
  <w:style w:type="paragraph" w:customStyle="1" w:styleId="692">
    <w:name w:val="UserStyle_532"/>
    <w:basedOn w:val="42"/>
    <w:autoRedefine/>
    <w:qFormat/>
    <w:uiPriority w:val="99"/>
    <w:pPr>
      <w:tabs>
        <w:tab w:val="left" w:pos="567"/>
      </w:tabs>
      <w:ind w:left="567" w:hanging="567"/>
      <w:jc w:val="both"/>
    </w:pPr>
    <w:rPr>
      <w:b w:val="0"/>
      <w:kern w:val="0"/>
      <w:sz w:val="24"/>
    </w:rPr>
  </w:style>
  <w:style w:type="paragraph" w:customStyle="1" w:styleId="693">
    <w:name w:val="UserStyle_533"/>
    <w:basedOn w:val="1"/>
    <w:qFormat/>
    <w:uiPriority w:val="99"/>
    <w:pPr>
      <w:ind w:firstLine="562" w:firstLineChars="200"/>
      <w:jc w:val="center"/>
    </w:pPr>
    <w:rPr>
      <w:rFonts w:ascii="宋体" w:hAnsi="宋体"/>
      <w:b/>
      <w:bCs/>
      <w:sz w:val="28"/>
      <w:szCs w:val="20"/>
    </w:rPr>
  </w:style>
  <w:style w:type="paragraph" w:customStyle="1" w:styleId="694">
    <w:name w:val="UserStyle_534"/>
    <w:basedOn w:val="1"/>
    <w:autoRedefine/>
    <w:qFormat/>
    <w:uiPriority w:val="99"/>
    <w:pPr>
      <w:spacing w:line="360" w:lineRule="auto"/>
      <w:jc w:val="left"/>
    </w:pPr>
    <w:rPr>
      <w:rFonts w:ascii="楷体_GB2312" w:eastAsia="楷体_GB2312"/>
      <w:kern w:val="0"/>
      <w:sz w:val="30"/>
      <w:szCs w:val="20"/>
    </w:rPr>
  </w:style>
  <w:style w:type="paragraph" w:customStyle="1" w:styleId="695">
    <w:name w:val="UserStyle_535"/>
    <w:basedOn w:val="1"/>
    <w:qFormat/>
    <w:uiPriority w:val="99"/>
    <w:pPr>
      <w:spacing w:before="120" w:after="120" w:line="400" w:lineRule="exact"/>
      <w:ind w:firstLine="480" w:firstLineChars="200"/>
      <w:jc w:val="left"/>
    </w:pPr>
    <w:rPr>
      <w:rFonts w:ascii="宋体"/>
      <w:color w:val="FF6600"/>
      <w:kern w:val="0"/>
      <w:sz w:val="24"/>
      <w:szCs w:val="20"/>
    </w:rPr>
  </w:style>
  <w:style w:type="paragraph" w:customStyle="1" w:styleId="696">
    <w:name w:val="UserStyle_536"/>
    <w:basedOn w:val="1"/>
    <w:autoRedefine/>
    <w:qFormat/>
    <w:uiPriority w:val="99"/>
    <w:pPr>
      <w:shd w:val="clear" w:color="auto" w:fill="FFFFFF"/>
      <w:spacing w:before="100" w:beforeAutospacing="1" w:after="100" w:afterAutospacing="1"/>
      <w:jc w:val="left"/>
      <w:textAlignment w:val="center"/>
    </w:pPr>
    <w:rPr>
      <w:rFonts w:ascii="宋体" w:hAnsi="宋体"/>
      <w:color w:val="000000"/>
      <w:kern w:val="0"/>
      <w:sz w:val="18"/>
      <w:szCs w:val="18"/>
    </w:rPr>
  </w:style>
  <w:style w:type="paragraph" w:customStyle="1" w:styleId="697">
    <w:name w:val="UserStyle_537"/>
    <w:basedOn w:val="1"/>
    <w:qFormat/>
    <w:uiPriority w:val="99"/>
    <w:pPr>
      <w:snapToGrid w:val="0"/>
      <w:spacing w:line="360" w:lineRule="atLeast"/>
      <w:jc w:val="center"/>
    </w:pPr>
    <w:rPr>
      <w:rFonts w:ascii="宋体" w:hAnsi="宋体"/>
      <w:kern w:val="0"/>
      <w:szCs w:val="21"/>
    </w:rPr>
  </w:style>
  <w:style w:type="paragraph" w:customStyle="1" w:styleId="698">
    <w:name w:val="UserStyle_538"/>
    <w:basedOn w:val="1"/>
    <w:qFormat/>
    <w:uiPriority w:val="99"/>
    <w:pPr>
      <w:shd w:val="clear" w:color="auto" w:fill="FFFFFF"/>
      <w:spacing w:after="280" w:line="260" w:lineRule="exact"/>
      <w:ind w:firstLine="700"/>
      <w:jc w:val="distribute"/>
    </w:pPr>
    <w:rPr>
      <w:rFonts w:ascii="PMingLiUfalt" w:hAnsi="PMingLiUfalt" w:eastAsia="PMingLiUfalt"/>
      <w:spacing w:val="60"/>
      <w:sz w:val="26"/>
      <w:szCs w:val="26"/>
    </w:rPr>
  </w:style>
  <w:style w:type="paragraph" w:customStyle="1" w:styleId="699">
    <w:name w:val="UserStyle_539"/>
    <w:basedOn w:val="1"/>
    <w:autoRedefine/>
    <w:qFormat/>
    <w:uiPriority w:val="99"/>
    <w:pPr>
      <w:snapToGrid w:val="0"/>
      <w:spacing w:before="78" w:line="300" w:lineRule="auto"/>
      <w:jc w:val="center"/>
    </w:pPr>
    <w:rPr>
      <w:rFonts w:eastAsia="黑体"/>
      <w:sz w:val="24"/>
      <w:szCs w:val="20"/>
    </w:rPr>
  </w:style>
  <w:style w:type="paragraph" w:customStyle="1" w:styleId="700">
    <w:name w:val="UserStyle_540"/>
    <w:basedOn w:val="1"/>
    <w:next w:val="89"/>
    <w:qFormat/>
    <w:uiPriority w:val="99"/>
    <w:pPr>
      <w:shd w:val="clear" w:color="auto" w:fill="FFFFFF"/>
      <w:spacing w:before="640" w:after="560" w:line="460" w:lineRule="exact"/>
      <w:jc w:val="center"/>
    </w:pPr>
    <w:rPr>
      <w:rFonts w:ascii="黑体" w:eastAsia="黑体"/>
      <w:kern w:val="0"/>
      <w:sz w:val="32"/>
      <w:szCs w:val="20"/>
    </w:rPr>
  </w:style>
  <w:style w:type="paragraph" w:customStyle="1" w:styleId="701">
    <w:name w:val="UserStyle_541"/>
    <w:basedOn w:val="89"/>
    <w:qFormat/>
    <w:uiPriority w:val="99"/>
    <w:pPr>
      <w:spacing w:before="0" w:after="0" w:line="460" w:lineRule="exact"/>
      <w:textAlignment w:val="auto"/>
    </w:pPr>
    <w:rPr>
      <w:rFonts w:ascii="宋体" w:eastAsia="宋体"/>
      <w:b w:val="0"/>
      <w:kern w:val="2"/>
      <w:sz w:val="24"/>
    </w:rPr>
  </w:style>
  <w:style w:type="paragraph" w:customStyle="1" w:styleId="702">
    <w:name w:val="UserStyle_542"/>
    <w:basedOn w:val="146"/>
    <w:next w:val="146"/>
    <w:qFormat/>
    <w:uiPriority w:val="99"/>
    <w:rPr>
      <w:rFonts w:hAnsi="Calibri"/>
      <w:sz w:val="24"/>
      <w:szCs w:val="24"/>
    </w:rPr>
  </w:style>
  <w:style w:type="paragraph" w:customStyle="1" w:styleId="703">
    <w:name w:val="UserStyle_543"/>
    <w:basedOn w:val="1"/>
    <w:next w:val="1"/>
    <w:qFormat/>
    <w:uiPriority w:val="99"/>
    <w:pPr>
      <w:spacing w:line="360" w:lineRule="auto"/>
    </w:pPr>
    <w:rPr>
      <w:rFonts w:ascii="宋体" w:hAnsi="宋体"/>
      <w:kern w:val="0"/>
      <w:sz w:val="24"/>
    </w:rPr>
  </w:style>
  <w:style w:type="paragraph" w:customStyle="1" w:styleId="704">
    <w:name w:val="UserStyle_544"/>
    <w:basedOn w:val="146"/>
    <w:next w:val="146"/>
    <w:qFormat/>
    <w:uiPriority w:val="99"/>
  </w:style>
  <w:style w:type="paragraph" w:customStyle="1" w:styleId="705">
    <w:name w:val="UserStyle_545"/>
    <w:basedOn w:val="1"/>
    <w:qFormat/>
    <w:uiPriority w:val="99"/>
    <w:rPr>
      <w:sz w:val="24"/>
    </w:rPr>
  </w:style>
  <w:style w:type="paragraph" w:customStyle="1" w:styleId="706">
    <w:name w:val="UserStyle_546"/>
    <w:basedOn w:val="150"/>
    <w:autoRedefine/>
    <w:qFormat/>
    <w:uiPriority w:val="99"/>
    <w:pPr>
      <w:pBdr>
        <w:top w:val="single" w:color="000000" w:sz="4" w:space="1"/>
      </w:pBdr>
      <w:jc w:val="center"/>
    </w:pPr>
  </w:style>
  <w:style w:type="paragraph" w:customStyle="1" w:styleId="707">
    <w:name w:val="UserStyle_547"/>
    <w:basedOn w:val="1"/>
    <w:autoRedefine/>
    <w:qFormat/>
    <w:uiPriority w:val="99"/>
    <w:pPr>
      <w:pBdr>
        <w:top w:val="single" w:color="000000" w:sz="8" w:space="0"/>
      </w:pBdr>
      <w:spacing w:before="100" w:beforeAutospacing="1" w:after="100" w:afterAutospacing="1"/>
      <w:jc w:val="center"/>
      <w:textAlignment w:val="center"/>
    </w:pPr>
    <w:rPr>
      <w:rFonts w:ascii="宋体" w:hAnsi="宋体"/>
      <w:kern w:val="0"/>
      <w:sz w:val="24"/>
    </w:rPr>
  </w:style>
  <w:style w:type="paragraph" w:customStyle="1" w:styleId="708">
    <w:name w:val="UserStyle_548"/>
    <w:basedOn w:val="1"/>
    <w:qFormat/>
    <w:uiPriority w:val="99"/>
  </w:style>
  <w:style w:type="paragraph" w:customStyle="1" w:styleId="709">
    <w:name w:val="UserStyle_549"/>
    <w:basedOn w:val="1"/>
    <w:autoRedefine/>
    <w:qFormat/>
    <w:uiPriority w:val="99"/>
    <w:pPr>
      <w:pBdr>
        <w:top w:val="single" w:color="000000" w:sz="4" w:space="0"/>
        <w:left w:val="single" w:color="000000" w:sz="4" w:space="0"/>
        <w:right w:val="single" w:color="000000" w:sz="4" w:space="0"/>
      </w:pBdr>
      <w:shd w:val="clear" w:color="auto" w:fill="FFFFFF"/>
      <w:spacing w:before="100" w:beforeAutospacing="1" w:after="100" w:afterAutospacing="1"/>
      <w:jc w:val="center"/>
      <w:textAlignment w:val="center"/>
    </w:pPr>
    <w:rPr>
      <w:rFonts w:ascii="?" w:hAnsi="宋体" w:eastAsia="?" w:cs="宋体"/>
      <w:b/>
      <w:bCs/>
      <w:color w:val="000000"/>
      <w:kern w:val="0"/>
      <w:sz w:val="18"/>
      <w:szCs w:val="18"/>
    </w:rPr>
  </w:style>
  <w:style w:type="paragraph" w:customStyle="1" w:styleId="710">
    <w:name w:val="UserStyle_550"/>
    <w:basedOn w:val="1"/>
    <w:qFormat/>
    <w:uiPriority w:val="99"/>
    <w:pPr>
      <w:shd w:val="clear" w:color="auto" w:fill="FFFFFF"/>
      <w:spacing w:before="100" w:beforeAutospacing="1" w:after="100" w:afterAutospacing="1"/>
      <w:jc w:val="center"/>
      <w:textAlignment w:val="center"/>
    </w:pPr>
    <w:rPr>
      <w:rFonts w:ascii="?" w:hAnsi="宋体" w:eastAsia="?" w:cs="宋体"/>
      <w:b/>
      <w:bCs/>
      <w:color w:val="000000"/>
      <w:kern w:val="0"/>
      <w:sz w:val="24"/>
    </w:rPr>
  </w:style>
  <w:style w:type="paragraph" w:customStyle="1" w:styleId="711">
    <w:name w:val="UserStyle_551"/>
    <w:basedOn w:val="1"/>
    <w:autoRedefine/>
    <w:qFormat/>
    <w:uiPriority w:val="99"/>
  </w:style>
  <w:style w:type="paragraph" w:customStyle="1" w:styleId="712">
    <w:name w:val="UserStyle_552"/>
    <w:basedOn w:val="1"/>
    <w:qFormat/>
    <w:uiPriority w:val="99"/>
    <w:rPr>
      <w:sz w:val="24"/>
    </w:rPr>
  </w:style>
  <w:style w:type="paragraph" w:customStyle="1" w:styleId="713">
    <w:name w:val="UserStyle_553"/>
    <w:basedOn w:val="1"/>
    <w:autoRedefine/>
    <w:qFormat/>
    <w:uiPriority w:val="99"/>
  </w:style>
  <w:style w:type="paragraph" w:customStyle="1" w:styleId="714">
    <w:name w:val="UserStyle_554"/>
    <w:basedOn w:val="150"/>
    <w:autoRedefine/>
    <w:qFormat/>
    <w:uiPriority w:val="99"/>
    <w:pPr>
      <w:pBdr>
        <w:top w:val="single" w:color="000000" w:sz="4" w:space="1"/>
      </w:pBdr>
      <w:jc w:val="center"/>
    </w:pPr>
  </w:style>
  <w:style w:type="paragraph" w:customStyle="1" w:styleId="715">
    <w:name w:val="UserStyle_555"/>
    <w:autoRedefine/>
    <w:qFormat/>
    <w:uiPriority w:val="99"/>
    <w:pPr>
      <w:tabs>
        <w:tab w:val="left" w:pos="425"/>
      </w:tabs>
      <w:ind w:left="425" w:hanging="425"/>
      <w:textAlignment w:val="baseline"/>
    </w:pPr>
    <w:rPr>
      <w:rFonts w:ascii="Times New Roman" w:hAnsi="Times New Roman" w:eastAsia="宋体" w:cs="Times New Roman"/>
      <w:lang w:val="en-US" w:eastAsia="zh-CN" w:bidi="ar-SA"/>
    </w:rPr>
  </w:style>
  <w:style w:type="paragraph" w:customStyle="1" w:styleId="716">
    <w:name w:val="UserStyle_556"/>
    <w:basedOn w:val="86"/>
    <w:autoRedefine/>
    <w:qFormat/>
    <w:uiPriority w:val="99"/>
    <w:pPr>
      <w:keepNext/>
      <w:keepLines/>
      <w:spacing w:before="340" w:after="330" w:line="578" w:lineRule="atLeast"/>
      <w:jc w:val="left"/>
    </w:pPr>
    <w:rPr>
      <w:b/>
      <w:bCs/>
      <w:kern w:val="44"/>
      <w:sz w:val="28"/>
      <w:szCs w:val="20"/>
    </w:rPr>
  </w:style>
  <w:style w:type="paragraph" w:customStyle="1" w:styleId="717">
    <w:name w:val="UserStyle_557"/>
    <w:basedOn w:val="1"/>
    <w:qFormat/>
    <w:uiPriority w:val="99"/>
    <w:pPr>
      <w:spacing w:line="360" w:lineRule="auto"/>
      <w:ind w:firstLine="200" w:firstLineChars="200"/>
    </w:pPr>
    <w:rPr>
      <w:rFonts w:ascii="宋体" w:hAnsi="宋体"/>
      <w:sz w:val="24"/>
    </w:rPr>
  </w:style>
  <w:style w:type="paragraph" w:customStyle="1" w:styleId="718">
    <w:name w:val="UserStyle_558"/>
    <w:basedOn w:val="1"/>
    <w:qFormat/>
    <w:uiPriority w:val="99"/>
    <w:rPr>
      <w:rFonts w:ascii="Tahoma" w:hAnsi="Tahoma"/>
      <w:sz w:val="24"/>
      <w:szCs w:val="20"/>
    </w:rPr>
  </w:style>
  <w:style w:type="paragraph" w:customStyle="1" w:styleId="719">
    <w:name w:val="UserStyle_559"/>
    <w:basedOn w:val="1"/>
    <w:qFormat/>
    <w:uiPriority w:val="99"/>
    <w:pPr>
      <w:spacing w:line="460" w:lineRule="exact"/>
      <w:ind w:left="425"/>
    </w:pPr>
    <w:rPr>
      <w:rFonts w:ascii="宋体"/>
      <w:kern w:val="0"/>
      <w:sz w:val="28"/>
      <w:szCs w:val="20"/>
    </w:rPr>
  </w:style>
  <w:style w:type="paragraph" w:customStyle="1" w:styleId="720">
    <w:name w:val="UserStyle_560"/>
    <w:basedOn w:val="1"/>
    <w:autoRedefine/>
    <w:qFormat/>
    <w:uiPriority w:val="99"/>
    <w:pPr>
      <w:pBdr>
        <w:top w:val="single" w:color="000000" w:sz="4" w:space="0"/>
        <w:left w:val="single" w:color="000000" w:sz="4" w:space="0"/>
        <w:bottom w:val="single" w:color="000000" w:sz="4" w:space="0"/>
        <w:right w:val="single" w:color="000000" w:sz="8" w:space="0"/>
      </w:pBdr>
      <w:spacing w:before="100" w:beforeAutospacing="1" w:after="100" w:afterAutospacing="1"/>
      <w:jc w:val="center"/>
    </w:pPr>
    <w:rPr>
      <w:color w:val="000000"/>
      <w:kern w:val="0"/>
      <w:sz w:val="24"/>
      <w:szCs w:val="20"/>
    </w:rPr>
  </w:style>
  <w:style w:type="paragraph" w:customStyle="1" w:styleId="721">
    <w:name w:val="UserStyle_561"/>
    <w:basedOn w:val="87"/>
    <w:qFormat/>
    <w:uiPriority w:val="99"/>
    <w:pPr>
      <w:spacing w:before="0" w:after="0" w:line="400" w:lineRule="exact"/>
      <w:jc w:val="center"/>
    </w:pPr>
    <w:rPr>
      <w:rFonts w:ascii="Times New Roman" w:hAnsi="Times New Roman" w:eastAsia="仿宋_GB2312"/>
      <w:b w:val="0"/>
      <w:color w:val="FF0000"/>
      <w:sz w:val="24"/>
      <w:szCs w:val="24"/>
    </w:rPr>
  </w:style>
  <w:style w:type="paragraph" w:customStyle="1" w:styleId="722">
    <w:name w:val="UserStyle_562"/>
    <w:basedOn w:val="86"/>
    <w:qFormat/>
    <w:uiPriority w:val="99"/>
    <w:pPr>
      <w:keepNext/>
      <w:snapToGrid w:val="0"/>
      <w:spacing w:before="240" w:after="240" w:line="360" w:lineRule="auto"/>
      <w:textAlignment w:val="auto"/>
    </w:pPr>
    <w:rPr>
      <w:rFonts w:ascii="黑体" w:hAnsi="Times New Roman" w:eastAsia="黑体" w:cs="MS Gothicfalt"/>
      <w:bCs/>
      <w:kern w:val="0"/>
      <w:sz w:val="36"/>
      <w:szCs w:val="44"/>
    </w:rPr>
  </w:style>
  <w:style w:type="paragraph" w:customStyle="1" w:styleId="723">
    <w:name w:val="UserStyle_563"/>
    <w:basedOn w:val="1"/>
    <w:autoRedefine/>
    <w:qFormat/>
    <w:uiPriority w:val="99"/>
    <w:pPr>
      <w:snapToGrid w:val="0"/>
      <w:spacing w:after="60" w:line="460" w:lineRule="exact"/>
      <w:ind w:firstLine="100" w:firstLineChars="100"/>
    </w:pPr>
    <w:rPr>
      <w:rFonts w:ascii="黑体" w:hAnsi="宋体" w:eastAsia="黑体"/>
      <w:kern w:val="0"/>
      <w:sz w:val="24"/>
    </w:rPr>
  </w:style>
  <w:style w:type="paragraph" w:customStyle="1" w:styleId="724">
    <w:name w:val="UserStyle_564"/>
    <w:basedOn w:val="1"/>
    <w:next w:val="1"/>
    <w:autoRedefine/>
    <w:qFormat/>
    <w:uiPriority w:val="99"/>
    <w:pPr>
      <w:tabs>
        <w:tab w:val="left" w:pos="1218"/>
        <w:tab w:val="left" w:pos="1985"/>
      </w:tabs>
      <w:spacing w:line="360" w:lineRule="auto"/>
      <w:jc w:val="left"/>
    </w:pPr>
    <w:rPr>
      <w:rFonts w:ascii="宋体" w:hAnsi="宋体"/>
      <w:color w:val="000000"/>
      <w:kern w:val="0"/>
      <w:sz w:val="24"/>
    </w:rPr>
  </w:style>
  <w:style w:type="paragraph" w:customStyle="1" w:styleId="725">
    <w:name w:val="UserStyle_565"/>
    <w:autoRedefine/>
    <w:qFormat/>
    <w:uiPriority w:val="99"/>
    <w:pPr>
      <w:textAlignment w:val="baseline"/>
    </w:pPr>
    <w:rPr>
      <w:rFonts w:ascii="宋体" w:hAnsi="Times New Roman" w:eastAsia="宋体" w:cs="Times New Roman"/>
      <w:sz w:val="24"/>
      <w:szCs w:val="24"/>
      <w:lang w:val="en-US" w:eastAsia="zh-CN" w:bidi="ar-SA"/>
    </w:rPr>
  </w:style>
  <w:style w:type="paragraph" w:customStyle="1" w:styleId="726">
    <w:name w:val="UserStyle_566"/>
    <w:basedOn w:val="1"/>
    <w:qFormat/>
    <w:uiPriority w:val="99"/>
    <w:pPr>
      <w:pBdr>
        <w:top w:val="single" w:color="000000" w:sz="4" w:space="0"/>
        <w:left w:val="single" w:color="000000" w:sz="4" w:space="0"/>
        <w:right w:val="single" w:color="000000" w:sz="4" w:space="0"/>
      </w:pBdr>
      <w:shd w:val="clear" w:color="auto" w:fill="FFFFFF"/>
      <w:spacing w:before="100" w:beforeAutospacing="1" w:after="100" w:afterAutospacing="1"/>
      <w:jc w:val="left"/>
    </w:pPr>
    <w:rPr>
      <w:rFonts w:ascii="宋体" w:hAnsi="宋体"/>
      <w:kern w:val="0"/>
      <w:sz w:val="24"/>
    </w:rPr>
  </w:style>
  <w:style w:type="paragraph" w:customStyle="1" w:styleId="727">
    <w:name w:val="UserStyle_567"/>
    <w:basedOn w:val="1"/>
    <w:autoRedefine/>
    <w:qFormat/>
    <w:uiPriority w:val="99"/>
    <w:pPr>
      <w:spacing w:line="360" w:lineRule="auto"/>
    </w:pPr>
    <w:rPr>
      <w:kern w:val="0"/>
      <w:szCs w:val="20"/>
    </w:rPr>
  </w:style>
  <w:style w:type="paragraph" w:customStyle="1" w:styleId="728">
    <w:name w:val="UserStyle_568"/>
    <w:basedOn w:val="1"/>
    <w:qFormat/>
    <w:uiPriority w:val="99"/>
    <w:pPr>
      <w:snapToGrid w:val="0"/>
      <w:spacing w:line="360" w:lineRule="auto"/>
      <w:ind w:firstLine="200" w:firstLineChars="200"/>
    </w:pPr>
    <w:rPr>
      <w:rFonts w:ascii="宋体" w:hAnsi="宋体" w:eastAsia="MS Gothicfalt"/>
      <w:kern w:val="0"/>
      <w:sz w:val="24"/>
      <w:szCs w:val="21"/>
      <w:u w:val="single"/>
    </w:rPr>
  </w:style>
  <w:style w:type="paragraph" w:customStyle="1" w:styleId="729">
    <w:name w:val="UserStyle_569"/>
    <w:basedOn w:val="1"/>
    <w:qFormat/>
    <w:uiPriority w:val="99"/>
    <w:pPr>
      <w:spacing w:line="312" w:lineRule="atLeast"/>
      <w:ind w:firstLine="425"/>
      <w:jc w:val="left"/>
    </w:pPr>
    <w:rPr>
      <w:rFonts w:ascii="楷体" w:eastAsia="楷体"/>
      <w:kern w:val="30"/>
      <w:sz w:val="30"/>
      <w:szCs w:val="20"/>
    </w:rPr>
  </w:style>
  <w:style w:type="paragraph" w:customStyle="1" w:styleId="730">
    <w:name w:val="UserStyle_570"/>
    <w:basedOn w:val="1"/>
    <w:qFormat/>
    <w:uiPriority w:val="99"/>
    <w:pPr>
      <w:snapToGrid w:val="0"/>
      <w:spacing w:line="460" w:lineRule="exact"/>
      <w:jc w:val="center"/>
    </w:pPr>
    <w:rPr>
      <w:rFonts w:ascii="黑体" w:eastAsia="黑体"/>
      <w:kern w:val="0"/>
      <w:sz w:val="24"/>
      <w:szCs w:val="21"/>
    </w:rPr>
  </w:style>
  <w:style w:type="paragraph" w:customStyle="1" w:styleId="731">
    <w:name w:val="UserStyle_571"/>
    <w:basedOn w:val="1"/>
    <w:next w:val="85"/>
    <w:qFormat/>
    <w:uiPriority w:val="99"/>
    <w:pPr>
      <w:tabs>
        <w:tab w:val="left" w:pos="735"/>
        <w:tab w:val="left" w:pos="780"/>
      </w:tabs>
      <w:spacing w:line="460" w:lineRule="exact"/>
      <w:ind w:firstLine="420"/>
    </w:pPr>
    <w:rPr>
      <w:kern w:val="0"/>
    </w:rPr>
  </w:style>
  <w:style w:type="paragraph" w:customStyle="1" w:styleId="732">
    <w:name w:val="UserStyle_572"/>
    <w:basedOn w:val="1"/>
    <w:autoRedefine/>
    <w:qFormat/>
    <w:uiPriority w:val="99"/>
    <w:pPr>
      <w:spacing w:line="360" w:lineRule="auto"/>
    </w:pPr>
    <w:rPr>
      <w:rFonts w:ascii="Courier New" w:hAnsi="Courier New" w:eastAsia="MS Gothicfalt"/>
      <w:b/>
      <w:kern w:val="0"/>
      <w:sz w:val="20"/>
      <w:szCs w:val="20"/>
      <w:lang w:eastAsia="ja-JP"/>
    </w:rPr>
  </w:style>
  <w:style w:type="paragraph" w:customStyle="1" w:styleId="733">
    <w:name w:val="UserStyle_573"/>
    <w:basedOn w:val="1"/>
    <w:autoRedefine/>
    <w:qFormat/>
    <w:uiPriority w:val="99"/>
    <w:pPr>
      <w:tabs>
        <w:tab w:val="left" w:pos="720"/>
      </w:tabs>
      <w:ind w:left="720" w:hanging="720"/>
    </w:pPr>
    <w:rPr>
      <w:sz w:val="24"/>
      <w:szCs w:val="20"/>
    </w:rPr>
  </w:style>
  <w:style w:type="paragraph" w:customStyle="1" w:styleId="734">
    <w:name w:val="UserStyle_574"/>
    <w:basedOn w:val="1"/>
    <w:autoRedefine/>
    <w:qFormat/>
    <w:uiPriority w:val="99"/>
    <w:pPr>
      <w:spacing w:before="100" w:beforeAutospacing="1" w:after="100" w:afterAutospacing="1"/>
      <w:jc w:val="left"/>
    </w:pPr>
    <w:rPr>
      <w:rFonts w:ascii="宋体" w:hAnsi="宋体"/>
      <w:kern w:val="0"/>
      <w:sz w:val="24"/>
    </w:rPr>
  </w:style>
  <w:style w:type="paragraph" w:customStyle="1" w:styleId="735">
    <w:name w:val="UserStyle_575"/>
    <w:basedOn w:val="1"/>
    <w:qFormat/>
    <w:uiPriority w:val="99"/>
    <w:rPr>
      <w:kern w:val="0"/>
      <w:sz w:val="18"/>
      <w:szCs w:val="20"/>
    </w:rPr>
  </w:style>
  <w:style w:type="paragraph" w:customStyle="1" w:styleId="736">
    <w:name w:val="UserStyle_576"/>
    <w:basedOn w:val="1"/>
    <w:autoRedefine/>
    <w:qFormat/>
    <w:uiPriority w:val="99"/>
    <w:pPr>
      <w:snapToGrid w:val="0"/>
      <w:spacing w:line="320" w:lineRule="exact"/>
      <w:jc w:val="center"/>
    </w:pPr>
    <w:rPr>
      <w:rFonts w:ascii="宋体" w:eastAsia="MS Gothicfalt"/>
      <w:spacing w:val="20"/>
      <w:kern w:val="28"/>
      <w:szCs w:val="20"/>
    </w:rPr>
  </w:style>
  <w:style w:type="paragraph" w:customStyle="1" w:styleId="737">
    <w:name w:val="UserStyle_577"/>
    <w:basedOn w:val="1"/>
    <w:qFormat/>
    <w:uiPriority w:val="99"/>
    <w:pPr>
      <w:snapToGrid w:val="0"/>
      <w:spacing w:line="353" w:lineRule="auto"/>
      <w:ind w:firstLine="200" w:firstLineChars="200"/>
    </w:pPr>
    <w:rPr>
      <w:rFonts w:ascii="宋体" w:hAnsi="宋体" w:eastAsia="仿宋_GB2312"/>
      <w:kern w:val="0"/>
      <w:sz w:val="28"/>
      <w:szCs w:val="21"/>
    </w:rPr>
  </w:style>
  <w:style w:type="paragraph" w:customStyle="1" w:styleId="738">
    <w:name w:val="UserStyle_578"/>
    <w:basedOn w:val="1"/>
    <w:next w:val="563"/>
    <w:autoRedefine/>
    <w:qFormat/>
    <w:uiPriority w:val="99"/>
    <w:pPr>
      <w:keepNext/>
      <w:snapToGrid w:val="0"/>
      <w:spacing w:before="360" w:after="120" w:line="480" w:lineRule="exact"/>
      <w:jc w:val="center"/>
    </w:pPr>
    <w:rPr>
      <w:rFonts w:ascii="Arial" w:hAnsi="Arial" w:eastAsia="仿宋_GB2312"/>
      <w:b/>
      <w:kern w:val="0"/>
      <w:sz w:val="24"/>
      <w:szCs w:val="20"/>
    </w:rPr>
  </w:style>
  <w:style w:type="paragraph" w:customStyle="1" w:styleId="739">
    <w:name w:val="UserStyle_579"/>
    <w:basedOn w:val="1"/>
    <w:qFormat/>
    <w:uiPriority w:val="99"/>
    <w:pPr>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left"/>
      <w:textAlignment w:val="center"/>
    </w:pPr>
    <w:rPr>
      <w:rFonts w:ascii="宋体" w:hAnsi="宋体"/>
      <w:color w:val="000000"/>
      <w:kern w:val="0"/>
      <w:sz w:val="18"/>
      <w:szCs w:val="18"/>
    </w:rPr>
  </w:style>
  <w:style w:type="paragraph" w:customStyle="1" w:styleId="740">
    <w:name w:val="UserStyle_580"/>
    <w:basedOn w:val="1"/>
    <w:autoRedefine/>
    <w:qFormat/>
    <w:uiPriority w:val="99"/>
    <w:pPr>
      <w:tabs>
        <w:tab w:val="left" w:pos="1134"/>
      </w:tabs>
      <w:spacing w:before="60" w:after="60" w:line="360" w:lineRule="atLeast"/>
      <w:ind w:left="1134" w:hanging="1134"/>
      <w:jc w:val="left"/>
    </w:pPr>
    <w:rPr>
      <w:rFonts w:ascii="Arial" w:hAnsi="Arial"/>
      <w:kern w:val="0"/>
      <w:sz w:val="24"/>
      <w:szCs w:val="20"/>
    </w:rPr>
  </w:style>
  <w:style w:type="paragraph" w:customStyle="1" w:styleId="741">
    <w:name w:val="UserStyle_581"/>
    <w:basedOn w:val="1"/>
    <w:qFormat/>
    <w:uiPriority w:val="99"/>
    <w:rPr>
      <w:rFonts w:ascii="黑体" w:eastAsia="黑体"/>
      <w:spacing w:val="20"/>
      <w:szCs w:val="20"/>
    </w:rPr>
  </w:style>
  <w:style w:type="paragraph" w:customStyle="1" w:styleId="742">
    <w:name w:val="UserStyle_582"/>
    <w:basedOn w:val="743"/>
    <w:qFormat/>
    <w:uiPriority w:val="99"/>
    <w:pPr>
      <w:tabs>
        <w:tab w:val="center" w:pos="-18551"/>
        <w:tab w:val="left" w:pos="780"/>
        <w:tab w:val="right" w:pos="4320"/>
        <w:tab w:val="left" w:pos="4536"/>
        <w:tab w:val="left" w:pos="5670"/>
        <w:tab w:val="left" w:pos="6804"/>
      </w:tabs>
      <w:spacing w:line="400" w:lineRule="exact"/>
      <w:ind w:left="780" w:leftChars="200" w:hanging="360" w:hangingChars="200"/>
      <w:jc w:val="left"/>
    </w:pPr>
    <w:rPr>
      <w:rFonts w:ascii="宋体" w:hAnsi="宋体"/>
      <w:bCs/>
      <w:smallCaps w:val="0"/>
      <w:sz w:val="18"/>
      <w:szCs w:val="24"/>
    </w:rPr>
  </w:style>
  <w:style w:type="paragraph" w:customStyle="1" w:styleId="743">
    <w:name w:val="UserStyle_583"/>
    <w:basedOn w:val="85"/>
    <w:qFormat/>
    <w:uiPriority w:val="99"/>
    <w:pPr>
      <w:keepLines/>
      <w:tabs>
        <w:tab w:val="center" w:pos="-18551"/>
        <w:tab w:val="right" w:pos="4320"/>
      </w:tabs>
      <w:spacing w:line="240" w:lineRule="atLeast"/>
      <w:jc w:val="center"/>
    </w:pPr>
    <w:rPr>
      <w:rFonts w:ascii="Garamond" w:hAnsi="Garamond"/>
      <w:smallCaps/>
      <w:spacing w:val="15"/>
      <w:kern w:val="0"/>
      <w:sz w:val="21"/>
    </w:rPr>
  </w:style>
  <w:style w:type="paragraph" w:customStyle="1" w:styleId="744">
    <w:name w:val="UserStyle_584"/>
    <w:basedOn w:val="1"/>
    <w:qFormat/>
    <w:uiPriority w:val="99"/>
    <w:pPr>
      <w:snapToGrid w:val="0"/>
      <w:spacing w:line="360" w:lineRule="auto"/>
    </w:pPr>
    <w:rPr>
      <w:rFonts w:ascii="宋体" w:hAnsi="宋体"/>
      <w:color w:val="000000"/>
      <w:sz w:val="24"/>
    </w:rPr>
  </w:style>
  <w:style w:type="paragraph" w:customStyle="1" w:styleId="745">
    <w:name w:val="UserStyle_585"/>
    <w:basedOn w:val="1"/>
    <w:qFormat/>
    <w:uiPriority w:val="99"/>
    <w:pPr>
      <w:jc w:val="center"/>
    </w:pPr>
    <w:rPr>
      <w:rFonts w:ascii="宋体"/>
      <w:color w:val="000000"/>
      <w:spacing w:val="10"/>
      <w:kern w:val="0"/>
      <w:szCs w:val="20"/>
    </w:rPr>
  </w:style>
  <w:style w:type="paragraph" w:customStyle="1" w:styleId="746">
    <w:name w:val="UserStyle_586"/>
    <w:autoRedefine/>
    <w:qFormat/>
    <w:uiPriority w:val="99"/>
    <w:pPr>
      <w:spacing w:line="312" w:lineRule="atLeast"/>
      <w:jc w:val="both"/>
      <w:textAlignment w:val="baseline"/>
    </w:pPr>
    <w:rPr>
      <w:rFonts w:ascii="宋体" w:hAnsi="Times New Roman" w:eastAsia="宋体" w:cs="Times New Roman"/>
      <w:sz w:val="34"/>
      <w:lang w:val="en-US" w:eastAsia="zh-CN" w:bidi="ar-SA"/>
    </w:rPr>
  </w:style>
  <w:style w:type="paragraph" w:customStyle="1" w:styleId="747">
    <w:name w:val="UserStyle_587"/>
    <w:basedOn w:val="1"/>
    <w:qFormat/>
    <w:uiPriority w:val="99"/>
    <w:pPr>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right"/>
      <w:textAlignment w:val="center"/>
    </w:pPr>
    <w:rPr>
      <w:rFonts w:ascii="宋体" w:hAnsi="宋体"/>
      <w:kern w:val="0"/>
      <w:sz w:val="18"/>
      <w:szCs w:val="18"/>
    </w:rPr>
  </w:style>
  <w:style w:type="paragraph" w:customStyle="1" w:styleId="748">
    <w:name w:val="UserStyle_588"/>
    <w:basedOn w:val="1"/>
    <w:qFormat/>
    <w:uiPriority w:val="99"/>
    <w:pPr>
      <w:snapToGrid w:val="0"/>
      <w:spacing w:line="360" w:lineRule="auto"/>
      <w:jc w:val="left"/>
    </w:pPr>
    <w:rPr>
      <w:rFonts w:ascii="仿宋_GB2312" w:hAnsi="宋体" w:eastAsia="仿宋_GB2312"/>
      <w:b/>
      <w:kern w:val="44"/>
      <w:sz w:val="28"/>
      <w:szCs w:val="28"/>
    </w:rPr>
  </w:style>
  <w:style w:type="paragraph" w:customStyle="1" w:styleId="749">
    <w:name w:val="UserStyle_589"/>
    <w:qFormat/>
    <w:uiPriority w:val="99"/>
    <w:pPr>
      <w:spacing w:line="360" w:lineRule="auto"/>
      <w:textAlignment w:val="baseline"/>
    </w:pPr>
    <w:rPr>
      <w:rFonts w:ascii="宋体" w:hAnsi="Times New Roman" w:eastAsia="宋体" w:cs="Times New Roman"/>
      <w:color w:val="000000"/>
      <w:spacing w:val="20"/>
      <w:sz w:val="24"/>
      <w:lang w:val="en-US" w:eastAsia="zh-CN" w:bidi="ar-SA"/>
    </w:rPr>
  </w:style>
  <w:style w:type="paragraph" w:customStyle="1" w:styleId="750">
    <w:name w:val="UserStyle_590"/>
    <w:basedOn w:val="86"/>
    <w:next w:val="1"/>
    <w:qFormat/>
    <w:uiPriority w:val="99"/>
    <w:pPr>
      <w:keepNext/>
      <w:spacing w:before="480" w:after="240" w:line="276" w:lineRule="auto"/>
      <w:jc w:val="left"/>
      <w:textAlignment w:val="auto"/>
    </w:pPr>
    <w:rPr>
      <w:rFonts w:ascii="Cambria" w:hAnsi="Cambria" w:eastAsia="MS Gothicfalt" w:cs="MS Gothicfalt"/>
      <w:b/>
      <w:bCs/>
      <w:color w:val="365F91"/>
      <w:kern w:val="0"/>
      <w:sz w:val="28"/>
      <w:szCs w:val="28"/>
    </w:rPr>
  </w:style>
  <w:style w:type="paragraph" w:customStyle="1" w:styleId="751">
    <w:name w:val="UserStyle_591"/>
    <w:basedOn w:val="86"/>
    <w:qFormat/>
    <w:uiPriority w:val="99"/>
    <w:pPr>
      <w:tabs>
        <w:tab w:val="left" w:pos="425"/>
      </w:tabs>
      <w:spacing w:line="360" w:lineRule="auto"/>
      <w:jc w:val="both"/>
    </w:pPr>
    <w:rPr>
      <w:rFonts w:ascii="Times New Roman" w:hAnsi="Times New Roman"/>
      <w:b/>
      <w:kern w:val="44"/>
      <w:sz w:val="24"/>
      <w:szCs w:val="24"/>
    </w:rPr>
  </w:style>
  <w:style w:type="paragraph" w:customStyle="1" w:styleId="752">
    <w:name w:val="UserStyle_592"/>
    <w:autoRedefine/>
    <w:qFormat/>
    <w:uiPriority w:val="99"/>
    <w:pPr>
      <w:textAlignment w:val="baseline"/>
    </w:pPr>
    <w:rPr>
      <w:rFonts w:ascii="Times New Roman" w:hAnsi="Times New Roman" w:eastAsia="宋体" w:cs="Times New Roman"/>
      <w:color w:val="000000"/>
      <w:lang w:val="en-US" w:eastAsia="zh-CN" w:bidi="ar-SA"/>
    </w:rPr>
  </w:style>
  <w:style w:type="paragraph" w:customStyle="1" w:styleId="753">
    <w:name w:val="UserStyle_593"/>
    <w:basedOn w:val="308"/>
    <w:qFormat/>
    <w:uiPriority w:val="99"/>
    <w:pPr>
      <w:snapToGrid w:val="0"/>
      <w:spacing w:line="240" w:lineRule="atLeast"/>
      <w:jc w:val="center"/>
      <w:textAlignment w:val="auto"/>
    </w:pPr>
    <w:rPr>
      <w:rFonts w:ascii="宋体" w:hAnsi="宋体"/>
      <w:kern w:val="2"/>
      <w:sz w:val="18"/>
    </w:rPr>
  </w:style>
  <w:style w:type="paragraph" w:customStyle="1" w:styleId="754">
    <w:name w:val="UserStyle_594"/>
    <w:basedOn w:val="1"/>
    <w:autoRedefine/>
    <w:qFormat/>
    <w:uiPriority w:val="99"/>
    <w:pPr>
      <w:spacing w:before="120" w:after="120" w:line="360" w:lineRule="auto"/>
      <w:ind w:firstLine="425"/>
    </w:pPr>
    <w:rPr>
      <w:rFonts w:ascii="宋体"/>
      <w:kern w:val="0"/>
      <w:sz w:val="24"/>
      <w:szCs w:val="20"/>
    </w:rPr>
  </w:style>
  <w:style w:type="paragraph" w:customStyle="1" w:styleId="755">
    <w:name w:val="UserStyle_595"/>
    <w:basedOn w:val="1"/>
    <w:next w:val="1"/>
    <w:qFormat/>
    <w:uiPriority w:val="99"/>
    <w:pPr>
      <w:spacing w:line="468" w:lineRule="atLeast"/>
      <w:jc w:val="left"/>
    </w:pPr>
    <w:rPr>
      <w:rFonts w:ascii="..ì." w:eastAsia="..ì."/>
      <w:kern w:val="0"/>
      <w:sz w:val="24"/>
    </w:rPr>
  </w:style>
  <w:style w:type="paragraph" w:customStyle="1" w:styleId="756">
    <w:name w:val="UserStyle_596"/>
    <w:basedOn w:val="1"/>
    <w:autoRedefine/>
    <w:qFormat/>
    <w:uiPriority w:val="99"/>
    <w:pPr>
      <w:spacing w:before="120" w:after="120" w:line="240" w:lineRule="atLeast"/>
    </w:pPr>
    <w:rPr>
      <w:rFonts w:ascii="Arial" w:hAnsi="Arial"/>
      <w:sz w:val="24"/>
      <w:szCs w:val="20"/>
    </w:rPr>
  </w:style>
  <w:style w:type="paragraph" w:customStyle="1" w:styleId="757">
    <w:name w:val="UserStyle_597"/>
    <w:qFormat/>
    <w:uiPriority w:val="99"/>
    <w:pPr>
      <w:spacing w:before="120"/>
      <w:jc w:val="right"/>
      <w:textAlignment w:val="baseline"/>
    </w:pPr>
    <w:rPr>
      <w:rFonts w:ascii="Times New Roman" w:hAnsi="Times New Roman" w:eastAsia="宋体" w:cs="Times New Roman"/>
      <w:sz w:val="18"/>
      <w:lang w:val="en-US" w:eastAsia="zh-CN" w:bidi="ar-SA"/>
    </w:rPr>
  </w:style>
  <w:style w:type="paragraph" w:customStyle="1" w:styleId="758">
    <w:name w:val="UserStyle_598"/>
    <w:basedOn w:val="1"/>
    <w:autoRedefine/>
    <w:qFormat/>
    <w:uiPriority w:val="99"/>
    <w:pPr>
      <w:ind w:firstLine="420" w:firstLineChars="200"/>
    </w:pPr>
    <w:rPr>
      <w:rFonts w:ascii="宋体"/>
      <w:kern w:val="0"/>
      <w:sz w:val="34"/>
      <w:szCs w:val="20"/>
    </w:rPr>
  </w:style>
  <w:style w:type="paragraph" w:customStyle="1" w:styleId="759">
    <w:name w:val="UserStyle_599"/>
    <w:basedOn w:val="87"/>
    <w:qFormat/>
    <w:uiPriority w:val="99"/>
    <w:pPr>
      <w:spacing w:line="536" w:lineRule="exact"/>
      <w:jc w:val="center"/>
    </w:pPr>
    <w:rPr>
      <w:rFonts w:ascii="黑体" w:hAnsi="宋体" w:eastAsia="宋体"/>
      <w:b w:val="0"/>
      <w:color w:val="CC99FF"/>
      <w:spacing w:val="1"/>
      <w:kern w:val="28"/>
      <w:sz w:val="24"/>
    </w:rPr>
  </w:style>
  <w:style w:type="paragraph" w:customStyle="1" w:styleId="760">
    <w:name w:val="UserStyle_600"/>
    <w:next w:val="1"/>
    <w:autoRedefine/>
    <w:qFormat/>
    <w:uiPriority w:val="99"/>
    <w:pPr>
      <w:tabs>
        <w:tab w:val="center" w:pos="4154"/>
        <w:tab w:val="right" w:pos="8306"/>
      </w:tabs>
      <w:spacing w:after="120"/>
      <w:jc w:val="right"/>
      <w:textAlignment w:val="baseline"/>
    </w:pPr>
    <w:rPr>
      <w:rFonts w:ascii="Times New Roman" w:hAnsi="Times New Roman" w:eastAsia="宋体" w:cs="Times New Roman"/>
      <w:sz w:val="21"/>
      <w:lang w:val="en-US" w:eastAsia="zh-CN" w:bidi="ar-SA"/>
    </w:rPr>
  </w:style>
  <w:style w:type="paragraph" w:customStyle="1" w:styleId="761">
    <w:name w:val="UserStyle_601"/>
    <w:basedOn w:val="1"/>
    <w:autoRedefine/>
    <w:qFormat/>
    <w:uiPriority w:val="99"/>
    <w:pPr>
      <w:spacing w:after="160" w:line="240" w:lineRule="exact"/>
      <w:jc w:val="left"/>
    </w:pPr>
    <w:rPr>
      <w:rFonts w:ascii="Arial" w:hAnsi="Arial"/>
      <w:b/>
      <w:kern w:val="0"/>
      <w:sz w:val="24"/>
      <w:szCs w:val="20"/>
      <w:lang w:eastAsia="en-US"/>
    </w:rPr>
  </w:style>
  <w:style w:type="paragraph" w:customStyle="1" w:styleId="762">
    <w:name w:val="UserStyle_602"/>
    <w:basedOn w:val="1"/>
    <w:qFormat/>
    <w:uiPriority w:val="99"/>
    <w:pPr>
      <w:spacing w:line="460" w:lineRule="exact"/>
      <w:jc w:val="center"/>
    </w:pPr>
    <w:rPr>
      <w:rFonts w:ascii="宋体" w:eastAsia="黑体"/>
      <w:kern w:val="0"/>
      <w:sz w:val="24"/>
    </w:rPr>
  </w:style>
  <w:style w:type="paragraph" w:customStyle="1" w:styleId="763">
    <w:name w:val="UserStyle_603"/>
    <w:basedOn w:val="1"/>
    <w:qFormat/>
    <w:uiPriority w:val="99"/>
    <w:pPr>
      <w:spacing w:line="360" w:lineRule="auto"/>
      <w:jc w:val="left"/>
    </w:pPr>
    <w:rPr>
      <w:rFonts w:ascii="宋体"/>
      <w:kern w:val="0"/>
      <w:sz w:val="24"/>
      <w:szCs w:val="20"/>
    </w:rPr>
  </w:style>
  <w:style w:type="paragraph" w:customStyle="1" w:styleId="764">
    <w:name w:val="UserStyle_604"/>
    <w:basedOn w:val="1"/>
    <w:qFormat/>
    <w:uiPriority w:val="99"/>
    <w:pPr>
      <w:spacing w:before="100" w:beforeAutospacing="1" w:after="100" w:afterAutospacing="1"/>
      <w:jc w:val="left"/>
    </w:pPr>
    <w:rPr>
      <w:rFonts w:ascii="宋体" w:hAnsi="宋体"/>
      <w:b/>
      <w:color w:val="000000"/>
      <w:kern w:val="0"/>
      <w:sz w:val="28"/>
      <w:szCs w:val="20"/>
    </w:rPr>
  </w:style>
  <w:style w:type="paragraph" w:customStyle="1" w:styleId="765">
    <w:name w:val="UserStyle_605"/>
    <w:basedOn w:val="1"/>
    <w:qFormat/>
    <w:uiPriority w:val="99"/>
    <w:pPr>
      <w:spacing w:line="500" w:lineRule="atLeast"/>
      <w:ind w:firstLine="540"/>
    </w:pPr>
    <w:rPr>
      <w:sz w:val="28"/>
      <w:szCs w:val="20"/>
    </w:rPr>
  </w:style>
  <w:style w:type="paragraph" w:customStyle="1" w:styleId="766">
    <w:name w:val="UserStyle_606"/>
    <w:basedOn w:val="146"/>
    <w:next w:val="146"/>
    <w:qFormat/>
    <w:uiPriority w:val="99"/>
  </w:style>
  <w:style w:type="paragraph" w:customStyle="1" w:styleId="767">
    <w:name w:val="UserStyle_607"/>
    <w:basedOn w:val="86"/>
    <w:qFormat/>
    <w:uiPriority w:val="99"/>
    <w:pPr>
      <w:keepNext/>
      <w:snapToGrid w:val="0"/>
      <w:spacing w:before="240" w:after="240" w:line="500" w:lineRule="exact"/>
    </w:pPr>
    <w:rPr>
      <w:rFonts w:ascii="宋体-18030" w:hAnsi="宋体-18030" w:eastAsia="黑体"/>
      <w:kern w:val="0"/>
      <w:sz w:val="32"/>
      <w:szCs w:val="32"/>
    </w:rPr>
  </w:style>
  <w:style w:type="paragraph" w:customStyle="1" w:styleId="768">
    <w:name w:val="UserStyle_608"/>
    <w:basedOn w:val="1"/>
    <w:autoRedefine/>
    <w:qFormat/>
    <w:uiPriority w:val="99"/>
    <w:pPr>
      <w:spacing w:before="100" w:beforeAutospacing="1" w:after="100" w:afterAutospacing="1" w:line="460" w:lineRule="exact"/>
      <w:ind w:firstLine="200" w:firstLineChars="200"/>
      <w:jc w:val="left"/>
    </w:pPr>
    <w:rPr>
      <w:rFonts w:ascii="宋体" w:eastAsia="Times New Roman"/>
      <w:kern w:val="0"/>
      <w:sz w:val="20"/>
      <w:szCs w:val="20"/>
    </w:rPr>
  </w:style>
  <w:style w:type="paragraph" w:customStyle="1" w:styleId="769">
    <w:name w:val="UserStyle_609"/>
    <w:basedOn w:val="1"/>
    <w:qFormat/>
    <w:uiPriority w:val="99"/>
    <w:pPr>
      <w:spacing w:line="336" w:lineRule="auto"/>
    </w:pPr>
    <w:rPr>
      <w:b/>
      <w:bCs/>
      <w:sz w:val="28"/>
      <w:szCs w:val="20"/>
    </w:rPr>
  </w:style>
  <w:style w:type="paragraph" w:customStyle="1" w:styleId="770">
    <w:name w:val="UserStyle_610"/>
    <w:basedOn w:val="1"/>
    <w:qFormat/>
    <w:uiPriority w:val="99"/>
    <w:pPr>
      <w:spacing w:before="120" w:after="60"/>
      <w:jc w:val="center"/>
      <w:textAlignment w:val="center"/>
    </w:pPr>
    <w:rPr>
      <w:rFonts w:ascii="黑体" w:eastAsia="黑体"/>
      <w:b/>
      <w:kern w:val="0"/>
      <w:sz w:val="32"/>
      <w:szCs w:val="32"/>
    </w:rPr>
  </w:style>
  <w:style w:type="paragraph" w:customStyle="1" w:styleId="771">
    <w:name w:val="UserStyle_611"/>
    <w:basedOn w:val="1"/>
    <w:autoRedefine/>
    <w:qFormat/>
    <w:uiPriority w:val="99"/>
    <w:pPr>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kern w:val="0"/>
      <w:sz w:val="32"/>
      <w:szCs w:val="20"/>
    </w:rPr>
  </w:style>
  <w:style w:type="paragraph" w:customStyle="1" w:styleId="772">
    <w:name w:val="UserStyle_612"/>
    <w:basedOn w:val="1"/>
    <w:qFormat/>
    <w:uiPriority w:val="99"/>
    <w:pPr>
      <w:pBdr>
        <w:left w:val="single" w:color="000000" w:sz="4" w:space="0"/>
        <w:bottom w:val="single" w:color="000000" w:sz="4" w:space="0"/>
        <w:right w:val="single" w:color="000000" w:sz="4" w:space="0"/>
      </w:pBdr>
      <w:shd w:val="clear" w:color="auto" w:fill="FFFFFF"/>
      <w:spacing w:before="100" w:beforeAutospacing="1" w:after="100" w:afterAutospacing="1"/>
      <w:jc w:val="left"/>
    </w:pPr>
    <w:rPr>
      <w:rFonts w:ascii="宋体" w:hAnsi="宋体"/>
      <w:kern w:val="0"/>
      <w:sz w:val="24"/>
    </w:rPr>
  </w:style>
  <w:style w:type="paragraph" w:customStyle="1" w:styleId="773">
    <w:name w:val="UserStyle_613"/>
    <w:basedOn w:val="1"/>
    <w:autoRedefine/>
    <w:qFormat/>
    <w:uiPriority w:val="99"/>
    <w:pPr>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kern w:val="0"/>
      <w:sz w:val="32"/>
      <w:szCs w:val="20"/>
    </w:rPr>
  </w:style>
  <w:style w:type="paragraph" w:customStyle="1" w:styleId="774">
    <w:name w:val="UserStyle_614"/>
    <w:basedOn w:val="1"/>
    <w:qFormat/>
    <w:uiPriority w:val="99"/>
    <w:pPr>
      <w:ind w:firstLine="420" w:firstLineChars="200"/>
    </w:pPr>
    <w:rPr>
      <w:rFonts w:ascii="Calibri" w:hAnsi="Calibri"/>
      <w:szCs w:val="22"/>
    </w:rPr>
  </w:style>
  <w:style w:type="paragraph" w:customStyle="1" w:styleId="775">
    <w:name w:val="UserStyle_615"/>
    <w:basedOn w:val="1"/>
    <w:autoRedefine/>
    <w:qFormat/>
    <w:uiPriority w:val="99"/>
    <w:pPr>
      <w:pBdr>
        <w:top w:val="single" w:color="000000" w:sz="4" w:space="0"/>
        <w:left w:val="single" w:color="000000" w:sz="4" w:space="0"/>
        <w:bottom w:val="single" w:color="000000" w:sz="8" w:space="0"/>
        <w:right w:val="single" w:color="000000" w:sz="8" w:space="0"/>
      </w:pBdr>
      <w:spacing w:before="100" w:beforeAutospacing="1" w:after="100" w:afterAutospacing="1"/>
      <w:jc w:val="left"/>
    </w:pPr>
    <w:rPr>
      <w:rFonts w:ascii="宋体" w:hAnsi="宋体"/>
      <w:kern w:val="0"/>
      <w:sz w:val="32"/>
      <w:szCs w:val="20"/>
    </w:rPr>
  </w:style>
  <w:style w:type="paragraph" w:customStyle="1" w:styleId="776">
    <w:name w:val="UserStyle_616"/>
    <w:basedOn w:val="1"/>
    <w:autoRedefine/>
    <w:qFormat/>
    <w:uiPriority w:val="99"/>
    <w:pPr>
      <w:spacing w:line="400" w:lineRule="exact"/>
      <w:ind w:hanging="358" w:hangingChars="149"/>
    </w:pPr>
    <w:rPr>
      <w:rFonts w:ascii="宋体" w:hAnsi="宋体" w:eastAsia="黑体"/>
      <w:b/>
      <w:bCs/>
      <w:color w:val="000000"/>
      <w:sz w:val="28"/>
    </w:rPr>
  </w:style>
  <w:style w:type="paragraph" w:customStyle="1" w:styleId="777">
    <w:name w:val="UserStyle_617"/>
    <w:basedOn w:val="1"/>
    <w:autoRedefine/>
    <w:qFormat/>
    <w:uiPriority w:val="99"/>
    <w:pPr>
      <w:keepNext/>
      <w:jc w:val="center"/>
    </w:pPr>
    <w:rPr>
      <w:rFonts w:eastAsia="黑体"/>
      <w:kern w:val="0"/>
      <w:sz w:val="18"/>
      <w:szCs w:val="20"/>
    </w:rPr>
  </w:style>
  <w:style w:type="paragraph" w:customStyle="1" w:styleId="778">
    <w:name w:val="UserStyle_618"/>
    <w:autoRedefine/>
    <w:qFormat/>
    <w:uiPriority w:val="99"/>
    <w:pPr>
      <w:spacing w:line="360" w:lineRule="auto"/>
      <w:ind w:firstLine="200" w:firstLineChars="200"/>
      <w:textAlignment w:val="baseline"/>
    </w:pPr>
    <w:rPr>
      <w:rFonts w:ascii="Times New Roman" w:hAnsi="Times New Roman" w:eastAsia="宋体" w:cs="Times New Roman"/>
      <w:sz w:val="24"/>
      <w:lang w:val="en-US" w:eastAsia="zh-CN" w:bidi="ar-SA"/>
    </w:rPr>
  </w:style>
  <w:style w:type="paragraph" w:customStyle="1" w:styleId="779">
    <w:name w:val="UserStyle_619"/>
    <w:basedOn w:val="1"/>
    <w:autoRedefine/>
    <w:qFormat/>
    <w:uiPriority w:val="99"/>
    <w:pPr>
      <w:snapToGrid w:val="0"/>
      <w:spacing w:line="460" w:lineRule="exact"/>
      <w:jc w:val="center"/>
    </w:pPr>
    <w:rPr>
      <w:rFonts w:ascii="宋体" w:hAnsi="宋体" w:eastAsia="MS Gothicfalt"/>
      <w:kern w:val="0"/>
      <w:szCs w:val="20"/>
    </w:rPr>
  </w:style>
  <w:style w:type="paragraph" w:customStyle="1" w:styleId="780">
    <w:name w:val="UserStyle_620"/>
    <w:basedOn w:val="1"/>
    <w:next w:val="1"/>
    <w:autoRedefine/>
    <w:qFormat/>
    <w:uiPriority w:val="99"/>
    <w:pPr>
      <w:spacing w:after="220"/>
      <w:ind w:right="-360"/>
      <w:jc w:val="left"/>
    </w:pPr>
    <w:rPr>
      <w:spacing w:val="-20"/>
      <w:kern w:val="0"/>
      <w:sz w:val="48"/>
      <w:szCs w:val="20"/>
    </w:rPr>
  </w:style>
  <w:style w:type="paragraph" w:customStyle="1" w:styleId="781">
    <w:name w:val="UserStyle_621"/>
    <w:basedOn w:val="1"/>
    <w:autoRedefine/>
    <w:qFormat/>
    <w:uiPriority w:val="99"/>
    <w:pPr>
      <w:spacing w:line="460" w:lineRule="exact"/>
      <w:ind w:firstLine="200" w:firstLineChars="200"/>
    </w:pPr>
    <w:rPr>
      <w:rFonts w:ascii="宋体"/>
      <w:kern w:val="0"/>
      <w:sz w:val="28"/>
    </w:rPr>
  </w:style>
  <w:style w:type="paragraph" w:customStyle="1" w:styleId="782">
    <w:name w:val="UserStyle_622"/>
    <w:basedOn w:val="1"/>
    <w:qFormat/>
    <w:uiPriority w:val="99"/>
    <w:pPr>
      <w:spacing w:line="360" w:lineRule="auto"/>
      <w:ind w:firstLine="480" w:firstLineChars="200"/>
    </w:pPr>
    <w:rPr>
      <w:rFonts w:ascii="宋体" w:hAnsi="宋体"/>
      <w:kern w:val="0"/>
      <w:sz w:val="24"/>
      <w:szCs w:val="20"/>
      <w:lang w:val="en-GB"/>
    </w:rPr>
  </w:style>
  <w:style w:type="paragraph" w:customStyle="1" w:styleId="783">
    <w:name w:val="UserStyle_623"/>
    <w:basedOn w:val="1"/>
    <w:qFormat/>
    <w:uiPriority w:val="99"/>
    <w:pPr>
      <w:pBdr>
        <w:top w:val="single" w:color="000000" w:sz="8" w:space="0"/>
        <w:left w:val="single" w:color="000000" w:sz="4" w:space="0"/>
        <w:bottom w:val="single" w:color="000000" w:sz="4" w:space="0"/>
        <w:right w:val="single" w:color="000000" w:sz="8" w:space="0"/>
      </w:pBdr>
      <w:spacing w:before="100" w:beforeAutospacing="1" w:after="100" w:afterAutospacing="1"/>
      <w:jc w:val="left"/>
    </w:pPr>
    <w:rPr>
      <w:rFonts w:ascii="宋体" w:hAnsi="宋体"/>
      <w:kern w:val="0"/>
      <w:sz w:val="32"/>
      <w:szCs w:val="20"/>
    </w:rPr>
  </w:style>
  <w:style w:type="paragraph" w:customStyle="1" w:styleId="784">
    <w:name w:val="UserStyle_624"/>
    <w:basedOn w:val="1"/>
    <w:qFormat/>
    <w:uiPriority w:val="99"/>
    <w:pPr>
      <w:keepLines/>
      <w:tabs>
        <w:tab w:val="center" w:pos="7200"/>
        <w:tab w:val="right" w:pos="14400"/>
      </w:tabs>
      <w:spacing w:line="396" w:lineRule="atLeast"/>
      <w:ind w:right="-79"/>
      <w:jc w:val="center"/>
    </w:pPr>
    <w:rPr>
      <w:rFonts w:ascii="宋体"/>
      <w:spacing w:val="80"/>
      <w:kern w:val="0"/>
      <w:sz w:val="24"/>
    </w:rPr>
  </w:style>
  <w:style w:type="paragraph" w:customStyle="1" w:styleId="785">
    <w:name w:val="UserStyle_625"/>
    <w:autoRedefine/>
    <w:qFormat/>
    <w:uiPriority w:val="99"/>
    <w:pPr>
      <w:spacing w:line="312" w:lineRule="atLeast"/>
      <w:jc w:val="both"/>
      <w:textAlignment w:val="baseline"/>
    </w:pPr>
    <w:rPr>
      <w:rFonts w:ascii="宋体" w:hAnsi="Times New Roman" w:eastAsia="宋体" w:cs="Times New Roman"/>
      <w:sz w:val="34"/>
      <w:lang w:val="en-US" w:eastAsia="zh-CN" w:bidi="ar-SA"/>
    </w:rPr>
  </w:style>
  <w:style w:type="paragraph" w:customStyle="1" w:styleId="786">
    <w:name w:val="UserStyle_626"/>
    <w:next w:val="1"/>
    <w:autoRedefine/>
    <w:qFormat/>
    <w:uiPriority w:val="99"/>
    <w:pPr>
      <w:spacing w:line="300" w:lineRule="exact"/>
      <w:jc w:val="center"/>
      <w:textAlignment w:val="baseline"/>
    </w:pPr>
    <w:rPr>
      <w:rFonts w:ascii="Arial" w:hAnsi="Arial" w:eastAsia="宋体" w:cs="Times New Roman"/>
      <w:sz w:val="21"/>
      <w:szCs w:val="24"/>
      <w:lang w:val="en-US" w:eastAsia="zh-CN" w:bidi="ar-SA"/>
    </w:rPr>
  </w:style>
  <w:style w:type="paragraph" w:customStyle="1" w:styleId="787">
    <w:name w:val="UserStyle_627"/>
    <w:basedOn w:val="1"/>
    <w:next w:val="1"/>
    <w:autoRedefine/>
    <w:qFormat/>
    <w:uiPriority w:val="99"/>
    <w:pPr>
      <w:tabs>
        <w:tab w:val="left" w:pos="1134"/>
      </w:tabs>
      <w:spacing w:line="360" w:lineRule="atLeast"/>
      <w:jc w:val="center"/>
    </w:pPr>
    <w:rPr>
      <w:rFonts w:ascii="Arial" w:hAnsi="Arial"/>
      <w:kern w:val="0"/>
      <w:szCs w:val="20"/>
    </w:rPr>
  </w:style>
  <w:style w:type="paragraph" w:customStyle="1" w:styleId="788">
    <w:name w:val="UserStyle_628"/>
    <w:basedOn w:val="1"/>
    <w:qFormat/>
    <w:uiPriority w:val="99"/>
    <w:pPr>
      <w:snapToGrid w:val="0"/>
      <w:spacing w:line="440" w:lineRule="atLeast"/>
      <w:ind w:firstLine="288"/>
    </w:pPr>
    <w:rPr>
      <w:kern w:val="0"/>
      <w:sz w:val="24"/>
    </w:rPr>
  </w:style>
  <w:style w:type="paragraph" w:customStyle="1" w:styleId="789">
    <w:name w:val="UserStyle_629"/>
    <w:basedOn w:val="1"/>
    <w:autoRedefine/>
    <w:qFormat/>
    <w:uiPriority w:val="99"/>
    <w:pPr>
      <w:snapToGrid w:val="0"/>
      <w:spacing w:line="440" w:lineRule="atLeast"/>
    </w:pPr>
    <w:rPr>
      <w:rFonts w:ascii="宋体"/>
      <w:sz w:val="24"/>
    </w:rPr>
  </w:style>
  <w:style w:type="paragraph" w:customStyle="1" w:styleId="790">
    <w:name w:val="UserStyle_630"/>
    <w:basedOn w:val="1"/>
    <w:qFormat/>
    <w:uiPriority w:val="99"/>
    <w:pPr>
      <w:framePr w:w="2400" w:wrap="notBeside" w:vAnchor="margin" w:hAnchor="text" w:x="8065" w:y="1009"/>
      <w:spacing w:line="240" w:lineRule="atLeast"/>
      <w:jc w:val="left"/>
    </w:pPr>
    <w:rPr>
      <w:kern w:val="0"/>
      <w:sz w:val="16"/>
      <w:szCs w:val="20"/>
    </w:rPr>
  </w:style>
  <w:style w:type="paragraph" w:customStyle="1" w:styleId="791">
    <w:name w:val="UserStyle_631"/>
    <w:basedOn w:val="1"/>
    <w:qFormat/>
    <w:uiPriority w:val="99"/>
    <w:pPr>
      <w:snapToGrid w:val="0"/>
      <w:spacing w:line="520" w:lineRule="exact"/>
      <w:ind w:firstLine="560" w:firstLineChars="200"/>
    </w:pPr>
    <w:rPr>
      <w:rFonts w:ascii="宋体" w:hAnsi="宋体" w:eastAsia="仿宋_GB2312"/>
      <w:color w:val="000000"/>
      <w:kern w:val="0"/>
      <w:sz w:val="28"/>
      <w:szCs w:val="28"/>
    </w:rPr>
  </w:style>
  <w:style w:type="paragraph" w:customStyle="1" w:styleId="792">
    <w:name w:val="UserStyle_632"/>
    <w:basedOn w:val="426"/>
    <w:qFormat/>
    <w:uiPriority w:val="99"/>
    <w:pPr>
      <w:ind w:left="0" w:firstLine="0"/>
      <w:jc w:val="center"/>
    </w:pPr>
    <w:rPr>
      <w:sz w:val="21"/>
    </w:rPr>
  </w:style>
  <w:style w:type="paragraph" w:customStyle="1" w:styleId="793">
    <w:name w:val="UserStyle_633"/>
    <w:basedOn w:val="1"/>
    <w:qFormat/>
    <w:uiPriority w:val="99"/>
    <w:pPr>
      <w:pBdr>
        <w:bottom w:val="single" w:color="000000" w:sz="4" w:space="0"/>
      </w:pBdr>
      <w:shd w:val="clear" w:color="auto" w:fill="FFFFFF"/>
      <w:spacing w:before="100" w:beforeAutospacing="1" w:after="100" w:afterAutospacing="1"/>
      <w:jc w:val="center"/>
      <w:textAlignment w:val="center"/>
    </w:pPr>
    <w:rPr>
      <w:rFonts w:ascii="?" w:hAnsi="宋体" w:eastAsia="?" w:cs="宋体"/>
      <w:b/>
      <w:bCs/>
      <w:color w:val="000000"/>
      <w:kern w:val="0"/>
      <w:sz w:val="24"/>
    </w:rPr>
  </w:style>
  <w:style w:type="paragraph" w:customStyle="1" w:styleId="794">
    <w:name w:val="UserStyle_634"/>
    <w:basedOn w:val="87"/>
    <w:autoRedefine/>
    <w:qFormat/>
    <w:uiPriority w:val="99"/>
    <w:pPr>
      <w:spacing w:line="360" w:lineRule="auto"/>
      <w:jc w:val="left"/>
    </w:pPr>
    <w:rPr>
      <w:rFonts w:ascii="黑体" w:hAnsi="宋体" w:eastAsia="宋体"/>
      <w:b w:val="0"/>
      <w:bCs/>
      <w:color w:val="FF6600"/>
      <w:kern w:val="28"/>
      <w:sz w:val="24"/>
    </w:rPr>
  </w:style>
  <w:style w:type="paragraph" w:customStyle="1" w:styleId="795">
    <w:name w:val="UserStyle_635"/>
    <w:next w:val="1"/>
    <w:qFormat/>
    <w:uiPriority w:val="99"/>
    <w:pPr>
      <w:shd w:val="clear" w:color="auto" w:fill="FFFFFF"/>
      <w:tabs>
        <w:tab w:val="left" w:pos="420"/>
      </w:tabs>
      <w:spacing w:before="640" w:after="560"/>
      <w:ind w:left="420" w:hanging="420"/>
      <w:jc w:val="center"/>
      <w:textAlignment w:val="baseline"/>
    </w:pPr>
    <w:rPr>
      <w:rFonts w:ascii="黑体" w:hAnsi="Times New Roman" w:eastAsia="黑体" w:cs="Times New Roman"/>
      <w:sz w:val="32"/>
      <w:lang w:val="en-US" w:eastAsia="zh-CN" w:bidi="ar-SA"/>
    </w:rPr>
  </w:style>
  <w:style w:type="paragraph" w:customStyle="1" w:styleId="796">
    <w:name w:val="UserStyle_636"/>
    <w:basedOn w:val="1"/>
    <w:autoRedefine/>
    <w:qFormat/>
    <w:uiPriority w:val="99"/>
    <w:pPr>
      <w:spacing w:line="460" w:lineRule="exact"/>
    </w:pPr>
    <w:rPr>
      <w:rFonts w:ascii="宋体"/>
      <w:kern w:val="0"/>
      <w:sz w:val="24"/>
    </w:rPr>
  </w:style>
  <w:style w:type="paragraph" w:customStyle="1" w:styleId="797">
    <w:name w:val="UserStyle_637"/>
    <w:basedOn w:val="1"/>
    <w:autoRedefine/>
    <w:qFormat/>
    <w:uiPriority w:val="99"/>
    <w:pPr>
      <w:tabs>
        <w:tab w:val="left" w:pos="3240"/>
      </w:tabs>
      <w:spacing w:line="360" w:lineRule="auto"/>
    </w:pPr>
    <w:rPr>
      <w:rFonts w:ascii="仿宋_GB2312" w:eastAsia="楷体_GB2312"/>
      <w:spacing w:val="12"/>
      <w:kern w:val="0"/>
      <w:sz w:val="24"/>
      <w:szCs w:val="20"/>
    </w:rPr>
  </w:style>
  <w:style w:type="paragraph" w:customStyle="1" w:styleId="798">
    <w:name w:val="UserStyle_638"/>
    <w:basedOn w:val="87"/>
    <w:qFormat/>
    <w:uiPriority w:val="99"/>
    <w:pPr>
      <w:spacing w:line="240" w:lineRule="auto"/>
      <w:jc w:val="center"/>
    </w:pPr>
    <w:rPr>
      <w:rFonts w:eastAsia="宋体"/>
      <w:kern w:val="0"/>
      <w:sz w:val="28"/>
    </w:rPr>
  </w:style>
  <w:style w:type="paragraph" w:customStyle="1" w:styleId="799">
    <w:name w:val="UserStyle_639"/>
    <w:basedOn w:val="561"/>
    <w:autoRedefine/>
    <w:qFormat/>
    <w:uiPriority w:val="99"/>
  </w:style>
  <w:style w:type="paragraph" w:customStyle="1" w:styleId="800">
    <w:name w:val="UserStyle_640"/>
    <w:basedOn w:val="1"/>
    <w:qFormat/>
    <w:uiPriority w:val="99"/>
    <w:pPr>
      <w:pBdr>
        <w:top w:val="single" w:color="000000" w:sz="4" w:space="0"/>
        <w:left w:val="single" w:color="000000" w:sz="4" w:space="0"/>
        <w:bottom w:val="single" w:color="000000" w:sz="8" w:space="0"/>
        <w:right w:val="single" w:color="000000" w:sz="4" w:space="0"/>
      </w:pBdr>
      <w:spacing w:before="100" w:beforeAutospacing="1" w:after="100" w:afterAutospacing="1"/>
      <w:jc w:val="center"/>
    </w:pPr>
    <w:rPr>
      <w:rFonts w:ascii="宋体" w:hAnsi="宋体"/>
      <w:kern w:val="0"/>
      <w:sz w:val="32"/>
      <w:szCs w:val="20"/>
    </w:rPr>
  </w:style>
  <w:style w:type="paragraph" w:customStyle="1" w:styleId="801">
    <w:name w:val="UserStyle_641"/>
    <w:basedOn w:val="238"/>
    <w:autoRedefine/>
    <w:qFormat/>
    <w:uiPriority w:val="99"/>
    <w:pPr>
      <w:ind w:firstLine="2340" w:firstLineChars="1300"/>
      <w:jc w:val="both"/>
    </w:pPr>
  </w:style>
  <w:style w:type="paragraph" w:customStyle="1" w:styleId="802">
    <w:name w:val="UserStyle_642"/>
    <w:basedOn w:val="1"/>
    <w:qFormat/>
    <w:uiPriority w:val="99"/>
    <w:pPr>
      <w:spacing w:after="160" w:line="240" w:lineRule="exact"/>
      <w:jc w:val="left"/>
    </w:pPr>
    <w:rPr>
      <w:rFonts w:ascii="Verdana" w:hAnsi="Verdana" w:eastAsia="仿宋_GB2312"/>
      <w:kern w:val="0"/>
      <w:sz w:val="24"/>
      <w:szCs w:val="20"/>
      <w:lang w:eastAsia="en-US"/>
    </w:rPr>
  </w:style>
  <w:style w:type="paragraph" w:customStyle="1" w:styleId="803">
    <w:name w:val="UserStyle_643"/>
    <w:basedOn w:val="1"/>
    <w:autoRedefine/>
    <w:qFormat/>
    <w:uiPriority w:val="99"/>
    <w:pPr>
      <w:pBdr>
        <w:top w:val="single" w:color="000000" w:sz="8" w:space="0"/>
        <w:left w:val="single" w:color="000000" w:sz="8" w:space="0"/>
        <w:bottom w:val="single" w:color="000000" w:sz="4" w:space="0"/>
        <w:right w:val="single" w:color="000000" w:sz="4" w:space="0"/>
      </w:pBdr>
      <w:spacing w:before="100" w:beforeAutospacing="1" w:after="100" w:afterAutospacing="1"/>
      <w:jc w:val="center"/>
    </w:pPr>
    <w:rPr>
      <w:color w:val="000000"/>
      <w:kern w:val="0"/>
      <w:sz w:val="24"/>
      <w:szCs w:val="20"/>
    </w:rPr>
  </w:style>
  <w:style w:type="paragraph" w:customStyle="1" w:styleId="804">
    <w:name w:val="UserStyle_644"/>
    <w:basedOn w:val="1"/>
    <w:qFormat/>
    <w:uiPriority w:val="99"/>
    <w:pPr>
      <w:spacing w:line="460" w:lineRule="exact"/>
      <w:jc w:val="left"/>
    </w:pPr>
    <w:rPr>
      <w:rFonts w:ascii="宋体"/>
      <w:kern w:val="0"/>
      <w:sz w:val="24"/>
      <w:szCs w:val="20"/>
    </w:rPr>
  </w:style>
  <w:style w:type="paragraph" w:customStyle="1" w:styleId="805">
    <w:name w:val="UserStyle_645"/>
    <w:basedOn w:val="1"/>
    <w:autoRedefine/>
    <w:qFormat/>
    <w:uiPriority w:val="99"/>
    <w:pPr>
      <w:spacing w:line="320" w:lineRule="exact"/>
      <w:jc w:val="center"/>
    </w:pPr>
    <w:rPr>
      <w:kern w:val="0"/>
      <w:szCs w:val="21"/>
    </w:rPr>
  </w:style>
  <w:style w:type="paragraph" w:customStyle="1" w:styleId="806">
    <w:name w:val="UserStyle_646"/>
    <w:basedOn w:val="1"/>
    <w:autoRedefine/>
    <w:qFormat/>
    <w:uiPriority w:val="99"/>
    <w:pPr>
      <w:tabs>
        <w:tab w:val="left" w:pos="720"/>
        <w:tab w:val="left" w:pos="1440"/>
        <w:tab w:val="left" w:pos="2160"/>
        <w:tab w:val="left" w:pos="2880"/>
        <w:tab w:val="left" w:pos="3600"/>
        <w:tab w:val="left" w:pos="4320"/>
        <w:tab w:val="left" w:pos="5040"/>
        <w:tab w:val="left" w:pos="5760"/>
        <w:tab w:val="left" w:pos="6480"/>
      </w:tabs>
      <w:spacing w:after="120" w:line="460" w:lineRule="exact"/>
      <w:ind w:left="2160" w:hanging="720"/>
      <w:jc w:val="left"/>
    </w:pPr>
    <w:rPr>
      <w:rFonts w:ascii="宋体"/>
      <w:kern w:val="0"/>
      <w:sz w:val="24"/>
      <w:szCs w:val="20"/>
      <w:lang w:eastAsia="en-US"/>
    </w:rPr>
  </w:style>
  <w:style w:type="paragraph" w:customStyle="1" w:styleId="807">
    <w:name w:val="UserStyle_647"/>
    <w:basedOn w:val="666"/>
    <w:qFormat/>
    <w:uiPriority w:val="99"/>
    <w:pPr>
      <w:ind w:firstLine="0"/>
    </w:pPr>
  </w:style>
  <w:style w:type="paragraph" w:customStyle="1" w:styleId="808">
    <w:name w:val="UserStyle_648"/>
    <w:basedOn w:val="1"/>
    <w:qFormat/>
    <w:uiPriority w:val="99"/>
    <w:rPr>
      <w:rFonts w:ascii="宋体" w:hAnsi="宋体"/>
      <w:bCs/>
      <w:szCs w:val="21"/>
    </w:rPr>
  </w:style>
  <w:style w:type="paragraph" w:customStyle="1" w:styleId="809">
    <w:name w:val="UserStyle_649"/>
    <w:basedOn w:val="1"/>
    <w:qFormat/>
    <w:uiPriority w:val="99"/>
    <w:pPr>
      <w:spacing w:after="160" w:line="240" w:lineRule="exact"/>
      <w:jc w:val="left"/>
    </w:pPr>
    <w:rPr>
      <w:rFonts w:ascii="Verdana" w:hAnsi="Verdana"/>
      <w:kern w:val="0"/>
      <w:sz w:val="20"/>
      <w:szCs w:val="20"/>
      <w:lang w:eastAsia="en-US"/>
    </w:rPr>
  </w:style>
  <w:style w:type="paragraph" w:customStyle="1" w:styleId="810">
    <w:name w:val="UserStyle_650"/>
    <w:basedOn w:val="1"/>
    <w:qFormat/>
    <w:uiPriority w:val="99"/>
    <w:pPr>
      <w:snapToGrid w:val="0"/>
      <w:ind w:firstLine="200" w:firstLineChars="200"/>
    </w:pPr>
    <w:rPr>
      <w:rFonts w:ascii="宋体" w:hAnsi="Swis721 Lt BT" w:eastAsia="楷体_GB2312"/>
      <w:kern w:val="0"/>
      <w:szCs w:val="28"/>
    </w:rPr>
  </w:style>
  <w:style w:type="paragraph" w:customStyle="1" w:styleId="811">
    <w:name w:val="UserStyle_651"/>
    <w:basedOn w:val="1"/>
    <w:autoRedefine/>
    <w:qFormat/>
    <w:uiPriority w:val="99"/>
    <w:pPr>
      <w:snapToGrid w:val="0"/>
      <w:spacing w:line="460" w:lineRule="exact"/>
      <w:ind w:firstLine="200" w:firstLineChars="200"/>
    </w:pPr>
    <w:rPr>
      <w:rFonts w:ascii="宋体" w:hAnsi="宋体"/>
      <w:color w:val="000000"/>
      <w:kern w:val="0"/>
      <w:sz w:val="24"/>
      <w:szCs w:val="20"/>
    </w:rPr>
  </w:style>
  <w:style w:type="paragraph" w:customStyle="1" w:styleId="812">
    <w:name w:val="UserStyle_652"/>
    <w:basedOn w:val="1"/>
    <w:qFormat/>
    <w:uiPriority w:val="99"/>
    <w:pPr>
      <w:pBdr>
        <w:top w:val="single" w:color="000000" w:sz="4" w:space="0"/>
        <w:left w:val="single" w:color="000000" w:sz="8" w:space="0"/>
        <w:bottom w:val="single" w:color="000000" w:sz="8" w:space="0"/>
        <w:right w:val="single" w:color="000000" w:sz="4" w:space="0"/>
      </w:pBdr>
      <w:shd w:val="clear" w:color="auto" w:fill="FFFFFF"/>
      <w:spacing w:before="100" w:beforeAutospacing="1" w:after="100" w:afterAutospacing="1"/>
      <w:jc w:val="center"/>
      <w:textAlignment w:val="center"/>
    </w:pPr>
    <w:rPr>
      <w:rFonts w:ascii="宋体" w:hAnsi="宋体"/>
      <w:kern w:val="0"/>
      <w:sz w:val="24"/>
      <w:szCs w:val="20"/>
    </w:rPr>
  </w:style>
  <w:style w:type="paragraph" w:customStyle="1" w:styleId="813">
    <w:name w:val="UserStyle_653"/>
    <w:basedOn w:val="1"/>
    <w:qFormat/>
    <w:uiPriority w:val="99"/>
    <w:pPr>
      <w:spacing w:line="360" w:lineRule="auto"/>
      <w:ind w:firstLine="200" w:firstLineChars="200"/>
    </w:pPr>
    <w:rPr>
      <w:rFonts w:ascii="宋体" w:hAnsi="宋体"/>
      <w:sz w:val="24"/>
    </w:rPr>
  </w:style>
  <w:style w:type="paragraph" w:customStyle="1" w:styleId="814">
    <w:name w:val="UserStyle_654"/>
    <w:basedOn w:val="1"/>
    <w:qFormat/>
    <w:uiPriority w:val="99"/>
    <w:pPr>
      <w:spacing w:line="400" w:lineRule="exact"/>
    </w:pPr>
    <w:rPr>
      <w:rFonts w:ascii="宋体"/>
      <w:kern w:val="0"/>
      <w:sz w:val="28"/>
      <w:szCs w:val="20"/>
    </w:rPr>
  </w:style>
  <w:style w:type="paragraph" w:customStyle="1" w:styleId="815">
    <w:name w:val="UserStyle_655"/>
    <w:basedOn w:val="676"/>
    <w:next w:val="89"/>
    <w:qFormat/>
    <w:uiPriority w:val="99"/>
    <w:pPr>
      <w:ind w:left="851" w:hanging="397"/>
    </w:pPr>
  </w:style>
  <w:style w:type="paragraph" w:customStyle="1" w:styleId="816">
    <w:name w:val="UserStyle_656"/>
    <w:basedOn w:val="85"/>
    <w:next w:val="85"/>
    <w:qFormat/>
    <w:uiPriority w:val="99"/>
    <w:pPr>
      <w:keepNext/>
      <w:keepLines/>
      <w:spacing w:line="240" w:lineRule="atLeast"/>
      <w:ind w:right="-360"/>
      <w:jc w:val="left"/>
    </w:pPr>
    <w:rPr>
      <w:rFonts w:ascii="Arial" w:hAnsi="Arial"/>
      <w:spacing w:val="-4"/>
      <w:kern w:val="0"/>
      <w:sz w:val="18"/>
    </w:rPr>
  </w:style>
  <w:style w:type="paragraph" w:customStyle="1" w:styleId="817">
    <w:name w:val="UserStyle_657"/>
    <w:basedOn w:val="88"/>
    <w:qFormat/>
    <w:uiPriority w:val="99"/>
    <w:pPr>
      <w:tabs>
        <w:tab w:val="left" w:pos="1260"/>
      </w:tabs>
      <w:spacing w:before="0" w:after="0" w:line="360" w:lineRule="auto"/>
    </w:pPr>
    <w:rPr>
      <w:sz w:val="28"/>
      <w:szCs w:val="24"/>
    </w:rPr>
  </w:style>
  <w:style w:type="paragraph" w:customStyle="1" w:styleId="818">
    <w:name w:val="UserStyle_658"/>
    <w:basedOn w:val="146"/>
    <w:next w:val="146"/>
    <w:autoRedefine/>
    <w:qFormat/>
    <w:uiPriority w:val="99"/>
  </w:style>
  <w:style w:type="paragraph" w:customStyle="1" w:styleId="819">
    <w:name w:val="UserStyle_659"/>
    <w:qFormat/>
    <w:uiPriority w:val="99"/>
    <w:pPr>
      <w:textAlignment w:val="baseline"/>
    </w:pPr>
    <w:rPr>
      <w:rFonts w:ascii="Times New Roman" w:hAnsi="Times New Roman" w:eastAsia="宋体" w:cs="Times New Roman"/>
      <w:lang w:val="de-DE" w:eastAsia="en-US" w:bidi="ar-SA"/>
    </w:rPr>
  </w:style>
  <w:style w:type="paragraph" w:customStyle="1" w:styleId="820">
    <w:name w:val="UserStyle_660"/>
    <w:basedOn w:val="1"/>
    <w:autoRedefine/>
    <w:qFormat/>
    <w:uiPriority w:val="99"/>
    <w:pPr>
      <w:spacing w:before="100" w:beforeAutospacing="1" w:after="100" w:afterAutospacing="1"/>
      <w:jc w:val="center"/>
    </w:pPr>
    <w:rPr>
      <w:rFonts w:ascii="宋体" w:hAnsi="宋体"/>
      <w:kern w:val="0"/>
      <w:sz w:val="32"/>
      <w:szCs w:val="20"/>
    </w:rPr>
  </w:style>
  <w:style w:type="paragraph" w:customStyle="1" w:styleId="821">
    <w:name w:val="UserStyle_661"/>
    <w:basedOn w:val="1"/>
    <w:qFormat/>
    <w:uiPriority w:val="99"/>
    <w:pPr>
      <w:tabs>
        <w:tab w:val="left" w:pos="1077"/>
        <w:tab w:val="left" w:pos="1134"/>
      </w:tabs>
      <w:spacing w:before="60" w:after="60" w:line="440" w:lineRule="atLeast"/>
      <w:ind w:left="1980" w:hanging="360"/>
    </w:pPr>
    <w:rPr>
      <w:sz w:val="24"/>
      <w:szCs w:val="20"/>
    </w:rPr>
  </w:style>
  <w:style w:type="paragraph" w:customStyle="1" w:styleId="822">
    <w:name w:val="UserStyle_662"/>
    <w:basedOn w:val="1"/>
    <w:autoRedefine/>
    <w:qFormat/>
    <w:uiPriority w:val="99"/>
    <w:pPr>
      <w:spacing w:before="360" w:line="360" w:lineRule="auto"/>
      <w:jc w:val="center"/>
    </w:pPr>
    <w:rPr>
      <w:rFonts w:eastAsia="黑体"/>
      <w:kern w:val="0"/>
      <w:sz w:val="24"/>
      <w:szCs w:val="20"/>
    </w:rPr>
  </w:style>
  <w:style w:type="paragraph" w:customStyle="1" w:styleId="823">
    <w:name w:val="UserStyle_663"/>
    <w:basedOn w:val="1"/>
    <w:qFormat/>
    <w:uiPriority w:val="99"/>
    <w:pPr>
      <w:spacing w:line="336" w:lineRule="auto"/>
    </w:pPr>
    <w:rPr>
      <w:rFonts w:ascii="宋体" w:hAnsi="宋体"/>
      <w:b/>
      <w:bCs/>
      <w:kern w:val="28"/>
      <w:sz w:val="28"/>
      <w:szCs w:val="20"/>
    </w:rPr>
  </w:style>
  <w:style w:type="paragraph" w:customStyle="1" w:styleId="824">
    <w:name w:val="UserStyle_664"/>
    <w:basedOn w:val="146"/>
    <w:next w:val="146"/>
    <w:autoRedefine/>
    <w:qFormat/>
    <w:uiPriority w:val="99"/>
    <w:pPr>
      <w:spacing w:line="468" w:lineRule="atLeast"/>
    </w:pPr>
    <w:rPr>
      <w:rFonts w:ascii="..ì." w:eastAsia="..ì."/>
      <w:sz w:val="24"/>
      <w:szCs w:val="24"/>
    </w:rPr>
  </w:style>
  <w:style w:type="paragraph" w:customStyle="1" w:styleId="825">
    <w:name w:val="UserStyle_665"/>
    <w:next w:val="1"/>
    <w:qFormat/>
    <w:uiPriority w:val="99"/>
    <w:pPr>
      <w:tabs>
        <w:tab w:val="left" w:pos="210"/>
      </w:tabs>
      <w:ind w:left="348" w:hanging="360"/>
      <w:jc w:val="center"/>
      <w:textAlignment w:val="baseline"/>
    </w:pPr>
    <w:rPr>
      <w:rFonts w:ascii="黑体" w:hAnsi="Times New Roman" w:eastAsia="黑体" w:cs="Times New Roman"/>
      <w:b/>
      <w:lang w:val="en-US" w:eastAsia="zh-CN" w:bidi="ar-SA"/>
    </w:rPr>
  </w:style>
  <w:style w:type="paragraph" w:customStyle="1" w:styleId="826">
    <w:name w:val="UserStyle_666"/>
    <w:basedOn w:val="88"/>
    <w:autoRedefine/>
    <w:qFormat/>
    <w:uiPriority w:val="99"/>
    <w:pPr>
      <w:spacing w:before="0" w:after="0" w:line="440" w:lineRule="exact"/>
      <w:jc w:val="left"/>
    </w:pPr>
    <w:rPr>
      <w:rFonts w:ascii="宋体" w:hAnsi="宋体" w:cs="宋体"/>
      <w:bCs/>
    </w:rPr>
  </w:style>
  <w:style w:type="paragraph" w:customStyle="1" w:styleId="827">
    <w:name w:val="UserStyle_667"/>
    <w:basedOn w:val="1"/>
    <w:qFormat/>
    <w:uiPriority w:val="99"/>
    <w:pPr>
      <w:shd w:val="clear" w:color="auto" w:fill="000080"/>
      <w:spacing w:line="360" w:lineRule="atLeast"/>
      <w:jc w:val="left"/>
    </w:pPr>
    <w:rPr>
      <w:kern w:val="0"/>
      <w:sz w:val="24"/>
      <w:szCs w:val="20"/>
    </w:rPr>
  </w:style>
  <w:style w:type="paragraph" w:customStyle="1" w:styleId="828">
    <w:name w:val="UserStyle_668"/>
    <w:basedOn w:val="1"/>
    <w:autoRedefine/>
    <w:qFormat/>
    <w:uiPriority w:val="99"/>
    <w:pPr>
      <w:pBdr>
        <w:top w:val="single" w:color="000000" w:sz="4" w:space="0"/>
        <w:left w:val="single" w:color="000000" w:sz="8" w:space="0"/>
        <w:bottom w:val="single" w:color="000000" w:sz="4" w:space="0"/>
        <w:right w:val="single" w:color="000000" w:sz="4" w:space="0"/>
      </w:pBdr>
      <w:spacing w:before="100" w:beforeAutospacing="1" w:after="100" w:afterAutospacing="1"/>
      <w:jc w:val="left"/>
    </w:pPr>
    <w:rPr>
      <w:rFonts w:ascii="宋体" w:hAnsi="宋体"/>
      <w:kern w:val="0"/>
      <w:sz w:val="32"/>
      <w:szCs w:val="20"/>
    </w:rPr>
  </w:style>
  <w:style w:type="paragraph" w:customStyle="1" w:styleId="829">
    <w:name w:val="UserStyle_669"/>
    <w:basedOn w:val="1"/>
    <w:qFormat/>
    <w:uiPriority w:val="99"/>
    <w:pPr>
      <w:spacing w:line="240" w:lineRule="atLeast"/>
    </w:pPr>
    <w:rPr>
      <w:rFonts w:ascii="仿宋_GB2312" w:eastAsia="仿宋_GB2312"/>
      <w:kern w:val="0"/>
      <w:szCs w:val="20"/>
    </w:rPr>
  </w:style>
  <w:style w:type="paragraph" w:customStyle="1" w:styleId="830">
    <w:name w:val="UserStyle_670"/>
    <w:basedOn w:val="1"/>
    <w:next w:val="406"/>
    <w:qFormat/>
    <w:uiPriority w:val="99"/>
    <w:pPr>
      <w:ind w:left="420" w:right="33"/>
      <w:jc w:val="left"/>
    </w:pPr>
    <w:rPr>
      <w:kern w:val="0"/>
      <w:sz w:val="24"/>
      <w:szCs w:val="20"/>
    </w:rPr>
  </w:style>
  <w:style w:type="paragraph" w:customStyle="1" w:styleId="831">
    <w:name w:val="UserStyle_671"/>
    <w:basedOn w:val="1"/>
    <w:qFormat/>
    <w:uiPriority w:val="99"/>
    <w:pPr>
      <w:spacing w:before="100" w:beforeAutospacing="1" w:after="100" w:afterAutospacing="1"/>
      <w:jc w:val="left"/>
    </w:pPr>
    <w:rPr>
      <w:rFonts w:ascii="宋体" w:hAnsi="宋体"/>
      <w:kern w:val="0"/>
      <w:sz w:val="32"/>
      <w:szCs w:val="20"/>
    </w:rPr>
  </w:style>
  <w:style w:type="paragraph" w:customStyle="1" w:styleId="832">
    <w:name w:val="UserStyle_672"/>
    <w:basedOn w:val="1"/>
    <w:qFormat/>
    <w:uiPriority w:val="99"/>
    <w:pPr>
      <w:pBdr>
        <w:top w:val="single" w:color="000000" w:sz="8" w:space="0"/>
        <w:left w:val="single" w:color="000000" w:sz="4" w:space="0"/>
        <w:bottom w:val="single" w:color="000000" w:sz="4" w:space="0"/>
        <w:right w:val="single" w:color="000000" w:sz="4" w:space="0"/>
      </w:pBdr>
      <w:shd w:val="clear" w:color="auto" w:fill="FFFFFF"/>
      <w:spacing w:before="100" w:beforeAutospacing="1" w:after="100" w:afterAutospacing="1"/>
      <w:jc w:val="center"/>
      <w:textAlignment w:val="center"/>
    </w:pPr>
    <w:rPr>
      <w:rFonts w:ascii="宋体" w:hAnsi="宋体"/>
      <w:kern w:val="0"/>
      <w:sz w:val="24"/>
      <w:szCs w:val="20"/>
    </w:rPr>
  </w:style>
  <w:style w:type="paragraph" w:customStyle="1" w:styleId="833">
    <w:name w:val="UserStyle_673"/>
    <w:basedOn w:val="1"/>
    <w:semiHidden/>
    <w:qFormat/>
    <w:uiPriority w:val="99"/>
    <w:pPr>
      <w:snapToGrid w:val="0"/>
      <w:spacing w:line="360" w:lineRule="auto"/>
      <w:ind w:firstLine="480" w:firstLineChars="200"/>
    </w:pPr>
    <w:rPr>
      <w:sz w:val="24"/>
      <w:szCs w:val="20"/>
    </w:rPr>
  </w:style>
  <w:style w:type="paragraph" w:customStyle="1" w:styleId="834">
    <w:name w:val="UserStyle_674"/>
    <w:basedOn w:val="1"/>
    <w:qFormat/>
    <w:uiPriority w:val="99"/>
    <w:pPr>
      <w:tabs>
        <w:tab w:val="left" w:pos="573"/>
      </w:tabs>
      <w:snapToGrid w:val="0"/>
      <w:spacing w:line="360" w:lineRule="auto"/>
    </w:pPr>
    <w:rPr>
      <w:rFonts w:ascii="宋体" w:hAnsi="宋体"/>
      <w:kern w:val="0"/>
      <w:sz w:val="24"/>
      <w:lang w:val="zh-CN"/>
    </w:rPr>
  </w:style>
  <w:style w:type="paragraph" w:customStyle="1" w:styleId="835">
    <w:name w:val="UserStyle_675"/>
    <w:basedOn w:val="1"/>
    <w:autoRedefine/>
    <w:qFormat/>
    <w:uiPriority w:val="99"/>
    <w:pPr>
      <w:keepNext/>
      <w:keepLines/>
      <w:tabs>
        <w:tab w:val="center" w:pos="6804"/>
      </w:tabs>
      <w:spacing w:before="80"/>
      <w:jc w:val="center"/>
      <w:textAlignment w:val="bottom"/>
    </w:pPr>
    <w:rPr>
      <w:kern w:val="0"/>
      <w:sz w:val="28"/>
      <w:szCs w:val="20"/>
    </w:rPr>
  </w:style>
  <w:style w:type="paragraph" w:customStyle="1" w:styleId="836">
    <w:name w:val="UserStyle_676"/>
    <w:next w:val="1"/>
    <w:qFormat/>
    <w:uiPriority w:val="99"/>
    <w:pPr>
      <w:spacing w:line="305" w:lineRule="auto"/>
      <w:jc w:val="center"/>
      <w:textAlignment w:val="baseline"/>
    </w:pPr>
    <w:rPr>
      <w:rFonts w:ascii="Times New Roman" w:hAnsi="Times New Roman" w:eastAsia="宋体" w:cs="Times New Roman"/>
      <w:kern w:val="2"/>
      <w:sz w:val="24"/>
      <w:szCs w:val="24"/>
      <w:lang w:val="en-US" w:eastAsia="zh-CN" w:bidi="ar-SA"/>
    </w:rPr>
  </w:style>
  <w:style w:type="paragraph" w:customStyle="1" w:styleId="837">
    <w:name w:val="UserStyle_677"/>
    <w:basedOn w:val="1"/>
    <w:autoRedefine/>
    <w:qFormat/>
    <w:uiPriority w:val="99"/>
    <w:pPr>
      <w:tabs>
        <w:tab w:val="left" w:pos="510"/>
      </w:tabs>
      <w:spacing w:line="460" w:lineRule="exact"/>
      <w:ind w:firstLine="482"/>
    </w:pPr>
    <w:rPr>
      <w:kern w:val="0"/>
      <w:sz w:val="24"/>
      <w:szCs w:val="20"/>
    </w:rPr>
  </w:style>
  <w:style w:type="paragraph" w:customStyle="1" w:styleId="838">
    <w:name w:val="UserStyle_678"/>
    <w:basedOn w:val="1"/>
    <w:qFormat/>
    <w:uiPriority w:val="99"/>
    <w:pPr>
      <w:shd w:val="clear" w:color="auto" w:fill="FFFFFF"/>
      <w:spacing w:before="760" w:after="6820" w:line="300" w:lineRule="exact"/>
      <w:jc w:val="center"/>
    </w:pPr>
    <w:rPr>
      <w:rFonts w:ascii="PMingLiUfalt" w:hAnsi="PMingLiUfalt" w:eastAsia="PMingLiUfalt"/>
      <w:spacing w:val="40"/>
      <w:sz w:val="30"/>
      <w:szCs w:val="30"/>
    </w:rPr>
  </w:style>
  <w:style w:type="paragraph" w:customStyle="1" w:styleId="839">
    <w:name w:val="UserStyle_679"/>
    <w:basedOn w:val="1"/>
    <w:autoRedefine/>
    <w:qFormat/>
    <w:uiPriority w:val="99"/>
    <w:pPr>
      <w:snapToGrid w:val="0"/>
      <w:spacing w:line="460" w:lineRule="exact"/>
      <w:ind w:firstLine="167" w:firstLineChars="167"/>
    </w:pPr>
    <w:rPr>
      <w:rFonts w:ascii="宋体" w:hAnsi="宋体"/>
      <w:color w:val="000000"/>
      <w:kern w:val="0"/>
      <w:sz w:val="24"/>
      <w:szCs w:val="20"/>
    </w:rPr>
  </w:style>
  <w:style w:type="paragraph" w:customStyle="1" w:styleId="840">
    <w:name w:val="UserStyle_680"/>
    <w:basedOn w:val="85"/>
    <w:next w:val="85"/>
    <w:qFormat/>
    <w:uiPriority w:val="99"/>
    <w:pPr>
      <w:keepNext/>
      <w:keepLines/>
      <w:spacing w:line="240" w:lineRule="atLeast"/>
      <w:jc w:val="left"/>
    </w:pPr>
    <w:rPr>
      <w:rFonts w:ascii="Garamond" w:hAnsi="Garamond"/>
      <w:kern w:val="20"/>
      <w:sz w:val="21"/>
    </w:rPr>
  </w:style>
  <w:style w:type="paragraph" w:customStyle="1" w:styleId="841">
    <w:name w:val="UserStyle_681"/>
    <w:basedOn w:val="1"/>
    <w:autoRedefine/>
    <w:qFormat/>
    <w:uiPriority w:val="99"/>
    <w:pPr>
      <w:snapToGrid w:val="0"/>
      <w:spacing w:line="460" w:lineRule="exact"/>
      <w:jc w:val="center"/>
    </w:pPr>
    <w:rPr>
      <w:rFonts w:ascii="宋体" w:hAnsi="宋体" w:eastAsia="MS Gothicfalt"/>
      <w:kern w:val="0"/>
      <w:szCs w:val="20"/>
    </w:rPr>
  </w:style>
  <w:style w:type="paragraph" w:customStyle="1" w:styleId="842">
    <w:name w:val="UserStyle_682"/>
    <w:basedOn w:val="1"/>
    <w:qFormat/>
    <w:uiPriority w:val="99"/>
    <w:pPr>
      <w:spacing w:before="100" w:beforeAutospacing="1" w:after="100" w:afterAutospacing="1"/>
      <w:jc w:val="left"/>
    </w:pPr>
    <w:rPr>
      <w:rFonts w:ascii="宋体" w:hAnsi="宋体"/>
      <w:kern w:val="0"/>
      <w:sz w:val="24"/>
      <w:szCs w:val="20"/>
    </w:rPr>
  </w:style>
  <w:style w:type="paragraph" w:customStyle="1" w:styleId="843">
    <w:name w:val="UserStyle_683"/>
    <w:basedOn w:val="1"/>
    <w:autoRedefine/>
    <w:qFormat/>
    <w:uiPriority w:val="99"/>
    <w:pPr>
      <w:spacing w:line="480" w:lineRule="auto"/>
      <w:jc w:val="left"/>
    </w:pPr>
    <w:rPr>
      <w:rFonts w:ascii="宋体" w:hAnsi="宋体"/>
      <w:kern w:val="0"/>
      <w:sz w:val="24"/>
      <w:szCs w:val="20"/>
    </w:rPr>
  </w:style>
  <w:style w:type="paragraph" w:customStyle="1" w:styleId="844">
    <w:name w:val="UserStyle_684"/>
    <w:basedOn w:val="87"/>
    <w:autoRedefine/>
    <w:qFormat/>
    <w:uiPriority w:val="99"/>
    <w:pPr>
      <w:spacing w:before="0" w:after="0" w:line="440" w:lineRule="exact"/>
    </w:pPr>
    <w:rPr>
      <w:rFonts w:ascii="宋体" w:hAnsi="宋体" w:eastAsia="宋体" w:cs="宋体"/>
      <w:bCs/>
      <w:kern w:val="0"/>
      <w:sz w:val="24"/>
    </w:rPr>
  </w:style>
  <w:style w:type="paragraph" w:customStyle="1" w:styleId="845">
    <w:name w:val="UserStyle_685"/>
    <w:basedOn w:val="1"/>
    <w:autoRedefine/>
    <w:qFormat/>
    <w:uiPriority w:val="99"/>
    <w:pPr>
      <w:spacing w:before="360" w:after="240" w:line="420" w:lineRule="atLeast"/>
      <w:ind w:firstLine="454"/>
    </w:pPr>
    <w:rPr>
      <w:b/>
      <w:kern w:val="0"/>
      <w:szCs w:val="20"/>
    </w:rPr>
  </w:style>
  <w:style w:type="paragraph" w:customStyle="1" w:styleId="846">
    <w:name w:val="UserStyle_686"/>
    <w:basedOn w:val="1"/>
    <w:autoRedefine/>
    <w:qFormat/>
    <w:uiPriority w:val="99"/>
    <w:pPr>
      <w:spacing w:line="360" w:lineRule="exact"/>
    </w:pPr>
    <w:rPr>
      <w:rFonts w:eastAsia="长城楷体"/>
      <w:kern w:val="0"/>
      <w:sz w:val="24"/>
    </w:rPr>
  </w:style>
  <w:style w:type="paragraph" w:customStyle="1" w:styleId="847">
    <w:name w:val="UserStyle_687"/>
    <w:basedOn w:val="85"/>
    <w:qFormat/>
    <w:uiPriority w:val="99"/>
    <w:pPr>
      <w:tabs>
        <w:tab w:val="left" w:pos="1440"/>
      </w:tabs>
      <w:spacing w:line="400" w:lineRule="exact"/>
      <w:ind w:left="1440" w:hanging="450" w:firstLineChars="200"/>
      <w:jc w:val="left"/>
    </w:pPr>
    <w:rPr>
      <w:bCs/>
      <w:kern w:val="0"/>
    </w:rPr>
  </w:style>
  <w:style w:type="paragraph" w:customStyle="1" w:styleId="848">
    <w:name w:val="UserStyle_688"/>
    <w:basedOn w:val="1"/>
    <w:autoRedefine/>
    <w:qFormat/>
    <w:uiPriority w:val="99"/>
    <w:pPr>
      <w:framePr w:w="2405" w:wrap="notBeside" w:vAnchor="margin" w:hAnchor="text" w:x="5761" w:y="1009"/>
      <w:spacing w:line="240" w:lineRule="atLeast"/>
      <w:jc w:val="left"/>
    </w:pPr>
    <w:rPr>
      <w:kern w:val="0"/>
      <w:sz w:val="16"/>
      <w:szCs w:val="20"/>
    </w:rPr>
  </w:style>
  <w:style w:type="paragraph" w:customStyle="1" w:styleId="849">
    <w:name w:val="UserStyle_689"/>
    <w:basedOn w:val="1"/>
    <w:autoRedefine/>
    <w:qFormat/>
    <w:uiPriority w:val="99"/>
    <w:pPr>
      <w:spacing w:line="336" w:lineRule="auto"/>
    </w:pPr>
    <w:rPr>
      <w:rFonts w:ascii="宋体" w:hAnsi="宋体"/>
      <w:b/>
      <w:bCs/>
      <w:sz w:val="28"/>
      <w:szCs w:val="20"/>
    </w:rPr>
  </w:style>
  <w:style w:type="paragraph" w:customStyle="1" w:styleId="850">
    <w:name w:val="UserStyle_690"/>
    <w:basedOn w:val="42"/>
    <w:qFormat/>
    <w:uiPriority w:val="99"/>
    <w:pPr>
      <w:keepNext/>
      <w:keepLines/>
      <w:spacing w:before="140" w:after="0"/>
    </w:pPr>
    <w:rPr>
      <w:rFonts w:ascii="Garamond" w:hAnsi="Garamond"/>
      <w:b w:val="0"/>
      <w:bCs w:val="0"/>
      <w:caps/>
      <w:spacing w:val="60"/>
      <w:kern w:val="20"/>
      <w:sz w:val="44"/>
      <w:szCs w:val="20"/>
    </w:rPr>
  </w:style>
  <w:style w:type="paragraph" w:customStyle="1" w:styleId="851">
    <w:name w:val="UserStyle_691"/>
    <w:basedOn w:val="1"/>
    <w:autoRedefine/>
    <w:qFormat/>
    <w:uiPriority w:val="99"/>
    <w:pPr>
      <w:tabs>
        <w:tab w:val="left" w:pos="510"/>
      </w:tabs>
      <w:spacing w:line="430" w:lineRule="atLeast"/>
      <w:jc w:val="center"/>
    </w:pPr>
    <w:rPr>
      <w:spacing w:val="16"/>
      <w:kern w:val="0"/>
      <w:szCs w:val="20"/>
    </w:rPr>
  </w:style>
  <w:style w:type="paragraph" w:customStyle="1" w:styleId="852">
    <w:name w:val="UserStyle_692"/>
    <w:qFormat/>
    <w:uiPriority w:val="99"/>
    <w:pPr>
      <w:textAlignment w:val="baseline"/>
    </w:pPr>
    <w:rPr>
      <w:rFonts w:ascii="????" w:hAnsi="Times New Roman" w:eastAsia="????" w:cs="Times New Roman"/>
      <w:lang w:val="en-US" w:eastAsia="zh-CN" w:bidi="ar-SA"/>
    </w:rPr>
  </w:style>
  <w:style w:type="paragraph" w:customStyle="1" w:styleId="853">
    <w:name w:val="UserStyle_693"/>
    <w:basedOn w:val="1"/>
    <w:qFormat/>
    <w:uiPriority w:val="99"/>
    <w:pPr>
      <w:spacing w:line="360" w:lineRule="auto"/>
      <w:ind w:left="510"/>
      <w:jc w:val="left"/>
    </w:pPr>
    <w:rPr>
      <w:sz w:val="24"/>
      <w:szCs w:val="20"/>
    </w:rPr>
  </w:style>
  <w:style w:type="paragraph" w:customStyle="1" w:styleId="854">
    <w:name w:val="UserStyle_694"/>
    <w:basedOn w:val="1"/>
    <w:qFormat/>
    <w:uiPriority w:val="99"/>
    <w:rPr>
      <w:kern w:val="0"/>
    </w:rPr>
  </w:style>
  <w:style w:type="paragraph" w:customStyle="1" w:styleId="855">
    <w:name w:val="UserStyle_695"/>
    <w:basedOn w:val="1"/>
    <w:next w:val="856"/>
    <w:qFormat/>
    <w:uiPriority w:val="99"/>
    <w:pPr>
      <w:tabs>
        <w:tab w:val="left" w:pos="2160"/>
        <w:tab w:val="right" w:pos="6480"/>
      </w:tabs>
      <w:spacing w:before="220" w:after="60" w:line="240" w:lineRule="atLeast"/>
      <w:ind w:right="-360"/>
      <w:jc w:val="left"/>
    </w:pPr>
    <w:rPr>
      <w:kern w:val="0"/>
      <w:sz w:val="20"/>
      <w:szCs w:val="20"/>
    </w:rPr>
  </w:style>
  <w:style w:type="paragraph" w:customStyle="1" w:styleId="856">
    <w:name w:val="UserStyle_696"/>
    <w:basedOn w:val="85"/>
    <w:qFormat/>
    <w:uiPriority w:val="99"/>
    <w:pPr>
      <w:tabs>
        <w:tab w:val="left" w:pos="420"/>
      </w:tabs>
      <w:spacing w:after="60" w:line="240" w:lineRule="atLeast"/>
      <w:ind w:left="420" w:right="-360" w:hanging="420"/>
      <w:jc w:val="left"/>
    </w:pPr>
    <w:rPr>
      <w:rFonts w:ascii="Times New Roman" w:hAnsi="Times New Roman"/>
      <w:kern w:val="0"/>
      <w:sz w:val="20"/>
    </w:rPr>
  </w:style>
  <w:style w:type="paragraph" w:customStyle="1" w:styleId="857">
    <w:name w:val="UserStyle_697"/>
    <w:basedOn w:val="1"/>
    <w:qFormat/>
    <w:uiPriority w:val="99"/>
    <w:pPr>
      <w:spacing w:line="360" w:lineRule="atLeast"/>
      <w:ind w:firstLine="454"/>
      <w:jc w:val="left"/>
    </w:pPr>
    <w:rPr>
      <w:rFonts w:ascii="宋体"/>
      <w:kern w:val="0"/>
      <w:sz w:val="24"/>
      <w:szCs w:val="20"/>
    </w:rPr>
  </w:style>
  <w:style w:type="paragraph" w:customStyle="1" w:styleId="858">
    <w:name w:val="UserStyle_698"/>
    <w:basedOn w:val="1"/>
    <w:qFormat/>
    <w:uiPriority w:val="99"/>
    <w:pPr>
      <w:pBdr>
        <w:left w:val="single" w:color="000000" w:sz="4" w:space="0"/>
      </w:pBdr>
      <w:spacing w:before="100" w:beforeAutospacing="1" w:after="100" w:afterAutospacing="1"/>
      <w:jc w:val="center"/>
      <w:textAlignment w:val="center"/>
    </w:pPr>
    <w:rPr>
      <w:rFonts w:ascii="宋体" w:hAnsi="宋体"/>
      <w:kern w:val="0"/>
      <w:sz w:val="24"/>
    </w:rPr>
  </w:style>
  <w:style w:type="paragraph" w:customStyle="1" w:styleId="859">
    <w:name w:val="UserStyle_699"/>
    <w:basedOn w:val="1"/>
    <w:autoRedefine/>
    <w:qFormat/>
    <w:uiPriority w:val="99"/>
    <w:pPr>
      <w:spacing w:line="360" w:lineRule="auto"/>
    </w:pPr>
    <w:rPr>
      <w:kern w:val="0"/>
      <w:szCs w:val="20"/>
    </w:rPr>
  </w:style>
  <w:style w:type="paragraph" w:customStyle="1" w:styleId="860">
    <w:name w:val="UserStyle_700"/>
    <w:basedOn w:val="1"/>
    <w:qFormat/>
    <w:uiPriority w:val="99"/>
  </w:style>
  <w:style w:type="paragraph" w:customStyle="1" w:styleId="861">
    <w:name w:val="UserStyle_701"/>
    <w:basedOn w:val="1"/>
    <w:autoRedefine/>
    <w:qFormat/>
    <w:uiPriority w:val="99"/>
    <w:rPr>
      <w:rFonts w:ascii="宋体" w:hAnsi="宋体"/>
      <w:lang w:val="zh-CN"/>
    </w:rPr>
  </w:style>
  <w:style w:type="paragraph" w:customStyle="1" w:styleId="862">
    <w:name w:val="UserStyle_702"/>
    <w:qFormat/>
    <w:uiPriority w:val="99"/>
    <w:pPr>
      <w:keepNext/>
      <w:spacing w:line="312" w:lineRule="auto"/>
      <w:ind w:left="560" w:hanging="560" w:hangingChars="200"/>
      <w:jc w:val="both"/>
      <w:textAlignment w:val="baseline"/>
    </w:pPr>
    <w:rPr>
      <w:rFonts w:ascii="Times New Roman" w:hAnsi="Times New Roman" w:eastAsia="宋体" w:cs="Times New Roman"/>
      <w:kern w:val="28"/>
      <w:sz w:val="28"/>
      <w:lang w:val="en-US" w:eastAsia="zh-CN" w:bidi="ar-SA"/>
    </w:rPr>
  </w:style>
  <w:style w:type="paragraph" w:customStyle="1" w:styleId="863">
    <w:name w:val="UserStyle_703"/>
    <w:basedOn w:val="245"/>
    <w:next w:val="1"/>
    <w:autoRedefine/>
    <w:qFormat/>
    <w:uiPriority w:val="99"/>
    <w:pPr>
      <w:snapToGrid w:val="0"/>
      <w:spacing w:after="120" w:line="360" w:lineRule="exact"/>
    </w:pPr>
    <w:rPr>
      <w:rFonts w:ascii="宋体" w:hAnsi="宋体"/>
      <w:b w:val="0"/>
      <w:sz w:val="24"/>
      <w:szCs w:val="24"/>
    </w:rPr>
  </w:style>
  <w:style w:type="paragraph" w:customStyle="1" w:styleId="864">
    <w:name w:val="UserStyle_704"/>
    <w:basedOn w:val="1"/>
    <w:qFormat/>
    <w:uiPriority w:val="99"/>
    <w:pPr>
      <w:spacing w:line="460" w:lineRule="exact"/>
      <w:ind w:firstLine="480" w:firstLineChars="200"/>
    </w:pPr>
    <w:rPr>
      <w:sz w:val="24"/>
      <w:szCs w:val="20"/>
    </w:rPr>
  </w:style>
  <w:style w:type="paragraph" w:customStyle="1" w:styleId="865">
    <w:name w:val="UserStyle_705"/>
    <w:basedOn w:val="1"/>
    <w:autoRedefine/>
    <w:qFormat/>
    <w:uiPriority w:val="99"/>
    <w:pPr>
      <w:keepNext/>
      <w:keepLines/>
      <w:spacing w:before="40" w:after="40"/>
      <w:jc w:val="center"/>
    </w:pPr>
    <w:rPr>
      <w:rFonts w:eastAsia="黑体"/>
      <w:color w:val="000000"/>
      <w:kern w:val="0"/>
      <w:sz w:val="18"/>
      <w:szCs w:val="20"/>
    </w:rPr>
  </w:style>
  <w:style w:type="paragraph" w:customStyle="1" w:styleId="866">
    <w:name w:val="UserStyle_706"/>
    <w:basedOn w:val="1"/>
    <w:qFormat/>
    <w:uiPriority w:val="99"/>
    <w:pPr>
      <w:tabs>
        <w:tab w:val="left" w:pos="480"/>
      </w:tabs>
      <w:spacing w:line="360" w:lineRule="auto"/>
      <w:ind w:left="480" w:hanging="480"/>
    </w:pPr>
    <w:rPr>
      <w:rFonts w:ascii="宋体"/>
      <w:sz w:val="24"/>
    </w:rPr>
  </w:style>
  <w:style w:type="paragraph" w:customStyle="1" w:styleId="867">
    <w:name w:val="UserStyle_707"/>
    <w:basedOn w:val="146"/>
    <w:next w:val="146"/>
    <w:autoRedefine/>
    <w:qFormat/>
    <w:uiPriority w:val="99"/>
    <w:rPr>
      <w:rFonts w:hAnsi="Calibri"/>
      <w:sz w:val="24"/>
      <w:szCs w:val="24"/>
    </w:rPr>
  </w:style>
  <w:style w:type="paragraph" w:customStyle="1" w:styleId="868">
    <w:name w:val="UserStyle_708"/>
    <w:basedOn w:val="1"/>
    <w:autoRedefine/>
    <w:qFormat/>
    <w:uiPriority w:val="99"/>
    <w:pPr>
      <w:pBdr>
        <w:left w:val="single" w:color="000000" w:sz="4" w:space="0"/>
      </w:pBdr>
      <w:spacing w:before="100" w:beforeAutospacing="1" w:after="100" w:afterAutospacing="1"/>
      <w:jc w:val="left"/>
      <w:textAlignment w:val="center"/>
    </w:pPr>
    <w:rPr>
      <w:rFonts w:ascii="宋体" w:hAnsi="宋体"/>
      <w:color w:val="0000FF"/>
      <w:kern w:val="0"/>
      <w:sz w:val="24"/>
    </w:rPr>
  </w:style>
  <w:style w:type="paragraph" w:customStyle="1" w:styleId="869">
    <w:name w:val="UserStyle_709"/>
    <w:basedOn w:val="1"/>
    <w:autoRedefine/>
    <w:qFormat/>
    <w:uiPriority w:val="99"/>
    <w:pPr>
      <w:spacing w:before="100" w:beforeAutospacing="1" w:after="100" w:afterAutospacing="1"/>
      <w:jc w:val="left"/>
    </w:pPr>
    <w:rPr>
      <w:kern w:val="0"/>
      <w:sz w:val="36"/>
      <w:szCs w:val="20"/>
    </w:rPr>
  </w:style>
  <w:style w:type="paragraph" w:customStyle="1" w:styleId="870">
    <w:name w:val="UserStyle_710"/>
    <w:basedOn w:val="1"/>
    <w:autoRedefine/>
    <w:qFormat/>
    <w:uiPriority w:val="99"/>
    <w:pPr>
      <w:pBdr>
        <w:bottom w:val="single" w:color="000000" w:sz="6" w:space="1"/>
      </w:pBdr>
      <w:tabs>
        <w:tab w:val="center" w:pos="4153"/>
        <w:tab w:val="right" w:pos="8306"/>
      </w:tabs>
      <w:snapToGrid w:val="0"/>
      <w:jc w:val="center"/>
    </w:pPr>
    <w:rPr>
      <w:rFonts w:ascii="宋体"/>
      <w:kern w:val="0"/>
      <w:sz w:val="18"/>
      <w:szCs w:val="20"/>
    </w:rPr>
  </w:style>
  <w:style w:type="paragraph" w:customStyle="1" w:styleId="871">
    <w:name w:val="UserStyle_711"/>
    <w:basedOn w:val="88"/>
    <w:qFormat/>
    <w:uiPriority w:val="99"/>
    <w:pPr>
      <w:spacing w:before="0" w:after="0" w:line="240" w:lineRule="auto"/>
      <w:jc w:val="left"/>
      <w:textAlignment w:val="auto"/>
    </w:pPr>
    <w:rPr>
      <w:rFonts w:ascii="黑体" w:eastAsia="黑体"/>
      <w:b w:val="0"/>
      <w:kern w:val="2"/>
      <w:sz w:val="28"/>
      <w:szCs w:val="32"/>
    </w:rPr>
  </w:style>
  <w:style w:type="paragraph" w:customStyle="1" w:styleId="872">
    <w:name w:val="UserStyle_712"/>
    <w:basedOn w:val="1"/>
    <w:autoRedefine/>
    <w:qFormat/>
    <w:uiPriority w:val="99"/>
    <w:pPr>
      <w:spacing w:line="360" w:lineRule="auto"/>
    </w:pPr>
    <w:rPr>
      <w:spacing w:val="8"/>
      <w:kern w:val="0"/>
      <w:sz w:val="24"/>
      <w:szCs w:val="20"/>
    </w:rPr>
  </w:style>
  <w:style w:type="paragraph" w:customStyle="1" w:styleId="873">
    <w:name w:val="UserStyle_713"/>
    <w:autoRedefine/>
    <w:qFormat/>
    <w:uiPriority w:val="99"/>
    <w:pPr>
      <w:spacing w:before="120"/>
      <w:textAlignment w:val="baseline"/>
    </w:pPr>
    <w:rPr>
      <w:rFonts w:ascii="Times New Roman" w:hAnsi="Times New Roman" w:eastAsia="宋体" w:cs="Times New Roman"/>
      <w:sz w:val="18"/>
      <w:lang w:val="en-US" w:eastAsia="zh-CN" w:bidi="ar-SA"/>
    </w:rPr>
  </w:style>
  <w:style w:type="paragraph" w:customStyle="1" w:styleId="874">
    <w:name w:val="UserStyle_714"/>
    <w:basedOn w:val="88"/>
    <w:qFormat/>
    <w:uiPriority w:val="99"/>
    <w:pPr>
      <w:tabs>
        <w:tab w:val="left" w:pos="1260"/>
      </w:tabs>
      <w:snapToGrid w:val="0"/>
      <w:spacing w:before="0" w:after="0" w:line="353" w:lineRule="auto"/>
      <w:textAlignment w:val="auto"/>
    </w:pPr>
    <w:rPr>
      <w:rFonts w:ascii="Swis721 BT" w:hAnsi="Swis721 BT" w:cs="MS Gothicfalt"/>
      <w:b w:val="0"/>
      <w:bCs/>
      <w:kern w:val="2"/>
      <w:szCs w:val="24"/>
    </w:rPr>
  </w:style>
  <w:style w:type="paragraph" w:customStyle="1" w:styleId="875">
    <w:name w:val="UserStyle_715"/>
    <w:basedOn w:val="1"/>
    <w:qFormat/>
    <w:uiPriority w:val="99"/>
    <w:pPr>
      <w:tabs>
        <w:tab w:val="right" w:pos="8956"/>
      </w:tabs>
      <w:spacing w:before="120" w:after="120"/>
      <w:jc w:val="center"/>
    </w:pPr>
    <w:rPr>
      <w:rFonts w:ascii="Arial" w:hAnsi="Arial"/>
      <w:b/>
      <w:kern w:val="0"/>
      <w:sz w:val="22"/>
      <w:szCs w:val="22"/>
    </w:rPr>
  </w:style>
  <w:style w:type="paragraph" w:customStyle="1" w:styleId="876">
    <w:name w:val="UserStyle_716"/>
    <w:basedOn w:val="1"/>
    <w:qFormat/>
    <w:uiPriority w:val="99"/>
    <w:pPr>
      <w:jc w:val="center"/>
    </w:pPr>
    <w:rPr>
      <w:rFonts w:ascii="宋体"/>
      <w:b/>
      <w:kern w:val="0"/>
      <w:sz w:val="36"/>
      <w:szCs w:val="20"/>
    </w:rPr>
  </w:style>
  <w:style w:type="paragraph" w:customStyle="1" w:styleId="877">
    <w:name w:val="UserStyle_717"/>
    <w:basedOn w:val="1"/>
    <w:qFormat/>
    <w:uiPriority w:val="99"/>
    <w:pPr>
      <w:snapToGrid w:val="0"/>
      <w:spacing w:line="360" w:lineRule="auto"/>
      <w:ind w:firstLine="200" w:firstLineChars="200"/>
    </w:pPr>
    <w:rPr>
      <w:szCs w:val="20"/>
    </w:rPr>
  </w:style>
  <w:style w:type="paragraph" w:customStyle="1" w:styleId="878">
    <w:name w:val="UserStyle_718"/>
    <w:basedOn w:val="1"/>
    <w:qFormat/>
    <w:uiPriority w:val="99"/>
    <w:pPr>
      <w:spacing w:line="312" w:lineRule="atLeast"/>
      <w:ind w:firstLine="567"/>
    </w:pPr>
    <w:rPr>
      <w:rFonts w:ascii="长城仿宋" w:eastAsia="长城仿宋"/>
      <w:kern w:val="0"/>
      <w:sz w:val="28"/>
      <w:szCs w:val="20"/>
    </w:rPr>
  </w:style>
  <w:style w:type="paragraph" w:customStyle="1" w:styleId="879">
    <w:name w:val="UserStyle_719"/>
    <w:basedOn w:val="1"/>
    <w:autoRedefine/>
    <w:qFormat/>
    <w:uiPriority w:val="99"/>
    <w:pPr>
      <w:spacing w:before="100" w:after="100"/>
      <w:ind w:left="360" w:right="360"/>
      <w:jc w:val="left"/>
    </w:pPr>
    <w:rPr>
      <w:kern w:val="0"/>
      <w:sz w:val="24"/>
      <w:szCs w:val="20"/>
    </w:rPr>
  </w:style>
  <w:style w:type="paragraph" w:customStyle="1" w:styleId="880">
    <w:name w:val="UserStyle_720"/>
    <w:basedOn w:val="87"/>
    <w:autoRedefine/>
    <w:qFormat/>
    <w:uiPriority w:val="99"/>
    <w:pPr>
      <w:spacing w:before="0" w:after="0" w:line="440" w:lineRule="exact"/>
      <w:jc w:val="left"/>
    </w:pPr>
    <w:rPr>
      <w:rFonts w:ascii="宋体" w:eastAsia="宋体" w:cs="宋体"/>
      <w:bCs/>
      <w:sz w:val="28"/>
      <w:szCs w:val="28"/>
    </w:rPr>
  </w:style>
  <w:style w:type="paragraph" w:customStyle="1" w:styleId="881">
    <w:name w:val="UserStyle_721"/>
    <w:basedOn w:val="1"/>
    <w:next w:val="1"/>
    <w:qFormat/>
    <w:uiPriority w:val="99"/>
    <w:pPr>
      <w:jc w:val="center"/>
    </w:pPr>
    <w:rPr>
      <w:sz w:val="24"/>
      <w:szCs w:val="20"/>
    </w:rPr>
  </w:style>
  <w:style w:type="paragraph" w:customStyle="1" w:styleId="882">
    <w:name w:val="UserStyle_722"/>
    <w:basedOn w:val="1"/>
    <w:autoRedefine/>
    <w:qFormat/>
    <w:uiPriority w:val="99"/>
    <w:pPr>
      <w:spacing w:line="320" w:lineRule="atLeast"/>
      <w:ind w:firstLine="567"/>
    </w:pPr>
    <w:rPr>
      <w:rFonts w:ascii="宋体"/>
      <w:kern w:val="0"/>
      <w:sz w:val="24"/>
      <w:szCs w:val="20"/>
    </w:rPr>
  </w:style>
  <w:style w:type="paragraph" w:customStyle="1" w:styleId="883">
    <w:name w:val="266"/>
    <w:basedOn w:val="86"/>
    <w:next w:val="1"/>
    <w:qFormat/>
    <w:uiPriority w:val="99"/>
    <w:pPr>
      <w:keepNext/>
      <w:keepLines/>
      <w:spacing w:before="480" w:line="276" w:lineRule="auto"/>
      <w:jc w:val="left"/>
      <w:textAlignment w:val="auto"/>
    </w:pPr>
    <w:rPr>
      <w:rFonts w:ascii="Cambria" w:hAnsi="Cambria"/>
      <w:bCs/>
      <w:color w:val="365F91"/>
    </w:rPr>
  </w:style>
  <w:style w:type="paragraph" w:customStyle="1" w:styleId="884">
    <w:name w:val="UserStyle_723"/>
    <w:basedOn w:val="1"/>
    <w:autoRedefine/>
    <w:qFormat/>
    <w:uiPriority w:val="99"/>
    <w:pPr>
      <w:pBdr>
        <w:top w:val="single" w:color="000000" w:sz="4" w:space="0"/>
        <w:left w:val="single" w:color="000000" w:sz="4" w:space="0"/>
        <w:bottom w:val="single" w:color="000000" w:sz="8" w:space="0"/>
        <w:right w:val="single" w:color="000000" w:sz="4" w:space="0"/>
      </w:pBdr>
      <w:spacing w:before="100" w:beforeAutospacing="1" w:after="100" w:afterAutospacing="1"/>
      <w:jc w:val="left"/>
    </w:pPr>
    <w:rPr>
      <w:rFonts w:ascii="宋体" w:hAnsi="宋体"/>
      <w:kern w:val="0"/>
      <w:sz w:val="32"/>
      <w:szCs w:val="20"/>
    </w:rPr>
  </w:style>
  <w:style w:type="paragraph" w:customStyle="1" w:styleId="885">
    <w:name w:val="UserStyle_724"/>
    <w:basedOn w:val="1"/>
    <w:qFormat/>
    <w:uiPriority w:val="99"/>
    <w:pPr>
      <w:jc w:val="center"/>
    </w:pPr>
    <w:rPr>
      <w:rFonts w:ascii="黑体" w:eastAsia="黑体"/>
    </w:rPr>
  </w:style>
  <w:style w:type="paragraph" w:customStyle="1" w:styleId="886">
    <w:name w:val="UserStyle_725"/>
    <w:autoRedefine/>
    <w:qFormat/>
    <w:uiPriority w:val="99"/>
    <w:pPr>
      <w:spacing w:before="308"/>
      <w:jc w:val="right"/>
      <w:textAlignment w:val="center"/>
    </w:pPr>
    <w:rPr>
      <w:rFonts w:ascii="Times New Roman" w:hAnsi="Times New Roman" w:eastAsia="宋体" w:cs="Times New Roman"/>
      <w:sz w:val="28"/>
      <w:lang w:val="en-US" w:eastAsia="zh-CN" w:bidi="ar-SA"/>
    </w:rPr>
  </w:style>
  <w:style w:type="paragraph" w:customStyle="1" w:styleId="887">
    <w:name w:val="UserStyle_726"/>
    <w:basedOn w:val="1"/>
    <w:qFormat/>
    <w:uiPriority w:val="99"/>
    <w:pPr>
      <w:spacing w:line="520" w:lineRule="exact"/>
      <w:ind w:firstLine="482"/>
    </w:pPr>
    <w:rPr>
      <w:rFonts w:ascii="宋体"/>
      <w:sz w:val="24"/>
      <w:szCs w:val="20"/>
    </w:rPr>
  </w:style>
  <w:style w:type="paragraph" w:customStyle="1" w:styleId="888">
    <w:name w:val="UserStyle_727"/>
    <w:autoRedefine/>
    <w:qFormat/>
    <w:uiPriority w:val="99"/>
    <w:pPr>
      <w:tabs>
        <w:tab w:val="right" w:pos="1474"/>
      </w:tabs>
      <w:spacing w:line="360" w:lineRule="auto"/>
      <w:textAlignment w:val="baseline"/>
    </w:pPr>
    <w:rPr>
      <w:rFonts w:ascii="Times New Roman" w:hAnsi="Times New Roman" w:eastAsia="宋体" w:cs="Times New Roman"/>
      <w:sz w:val="24"/>
      <w:lang w:val="en-US" w:eastAsia="zh-CN" w:bidi="ar-SA"/>
    </w:rPr>
  </w:style>
  <w:style w:type="paragraph" w:customStyle="1" w:styleId="889">
    <w:name w:val="UserStyle_728"/>
    <w:basedOn w:val="760"/>
    <w:next w:val="1"/>
    <w:autoRedefine/>
    <w:qFormat/>
    <w:uiPriority w:val="99"/>
    <w:pPr>
      <w:jc w:val="left"/>
    </w:pPr>
  </w:style>
  <w:style w:type="paragraph" w:customStyle="1" w:styleId="890">
    <w:name w:val="UserStyle_729"/>
    <w:basedOn w:val="1"/>
    <w:autoRedefine/>
    <w:qFormat/>
    <w:uiPriority w:val="99"/>
    <w:pPr>
      <w:spacing w:after="160" w:line="240" w:lineRule="exact"/>
      <w:jc w:val="left"/>
    </w:pPr>
    <w:rPr>
      <w:rFonts w:ascii="Verdana" w:hAnsi="Verdana" w:eastAsia="仿宋_GB2312"/>
      <w:kern w:val="0"/>
      <w:sz w:val="24"/>
      <w:szCs w:val="20"/>
      <w:lang w:eastAsia="en-US"/>
    </w:rPr>
  </w:style>
  <w:style w:type="paragraph" w:customStyle="1" w:styleId="891">
    <w:name w:val="UserStyle_730"/>
    <w:basedOn w:val="85"/>
    <w:next w:val="85"/>
    <w:autoRedefine/>
    <w:qFormat/>
    <w:uiPriority w:val="99"/>
    <w:pPr>
      <w:keepNext/>
      <w:spacing w:after="220" w:line="240" w:lineRule="atLeast"/>
      <w:ind w:right="-360"/>
      <w:jc w:val="left"/>
    </w:pPr>
    <w:rPr>
      <w:rFonts w:ascii="Times New Roman" w:hAnsi="Times New Roman"/>
      <w:kern w:val="0"/>
      <w:sz w:val="20"/>
    </w:rPr>
  </w:style>
  <w:style w:type="paragraph" w:customStyle="1" w:styleId="892">
    <w:name w:val="UserStyle_731"/>
    <w:basedOn w:val="88"/>
    <w:qFormat/>
    <w:uiPriority w:val="99"/>
    <w:pPr>
      <w:spacing w:before="0" w:after="0" w:line="400" w:lineRule="exact"/>
      <w:textAlignment w:val="auto"/>
    </w:pPr>
    <w:rPr>
      <w:rFonts w:eastAsia="黑体"/>
      <w:b w:val="0"/>
      <w:kern w:val="2"/>
    </w:rPr>
  </w:style>
  <w:style w:type="paragraph" w:customStyle="1" w:styleId="893">
    <w:name w:val="UserStyle_732"/>
    <w:basedOn w:val="1"/>
    <w:qFormat/>
    <w:uiPriority w:val="99"/>
    <w:pPr>
      <w:spacing w:before="100" w:beforeAutospacing="1" w:after="100" w:afterAutospacing="1" w:line="460" w:lineRule="exact"/>
      <w:ind w:firstLine="200" w:firstLineChars="200"/>
      <w:jc w:val="left"/>
    </w:pPr>
    <w:rPr>
      <w:rFonts w:ascii="宋体" w:eastAsia="Times New Roman"/>
      <w:kern w:val="0"/>
      <w:sz w:val="24"/>
    </w:rPr>
  </w:style>
  <w:style w:type="paragraph" w:customStyle="1" w:styleId="894">
    <w:name w:val="UserStyle_733"/>
    <w:basedOn w:val="88"/>
    <w:autoRedefine/>
    <w:qFormat/>
    <w:uiPriority w:val="99"/>
    <w:pPr>
      <w:tabs>
        <w:tab w:val="left" w:pos="814"/>
      </w:tabs>
      <w:spacing w:before="120" w:after="120" w:line="360" w:lineRule="auto"/>
      <w:ind w:left="425" w:firstLine="29"/>
      <w:jc w:val="center"/>
      <w:textAlignment w:val="auto"/>
    </w:pPr>
    <w:rPr>
      <w:rFonts w:ascii="黑体" w:hAnsi="宋体" w:eastAsia="黑体"/>
      <w:b w:val="0"/>
      <w:sz w:val="44"/>
    </w:rPr>
  </w:style>
  <w:style w:type="paragraph" w:customStyle="1" w:styleId="895">
    <w:name w:val="UserStyle_734"/>
    <w:basedOn w:val="1"/>
    <w:qFormat/>
    <w:uiPriority w:val="99"/>
    <w:pPr>
      <w:spacing w:before="100" w:beforeAutospacing="1" w:after="100" w:afterAutospacing="1"/>
      <w:jc w:val="left"/>
    </w:pPr>
    <w:rPr>
      <w:kern w:val="0"/>
      <w:sz w:val="32"/>
      <w:szCs w:val="20"/>
    </w:rPr>
  </w:style>
  <w:style w:type="paragraph" w:customStyle="1" w:styleId="896">
    <w:name w:val="UserStyle_735"/>
    <w:basedOn w:val="1"/>
    <w:qFormat/>
    <w:uiPriority w:val="99"/>
    <w:pPr>
      <w:spacing w:line="460" w:lineRule="exact"/>
      <w:jc w:val="center"/>
      <w:textAlignment w:val="bottom"/>
    </w:pPr>
    <w:rPr>
      <w:rFonts w:ascii="宋体"/>
      <w:smallCaps/>
      <w:kern w:val="0"/>
      <w:szCs w:val="20"/>
    </w:rPr>
  </w:style>
  <w:style w:type="paragraph" w:customStyle="1" w:styleId="897">
    <w:name w:val="UserStyle_736"/>
    <w:basedOn w:val="1"/>
    <w:next w:val="1"/>
    <w:qFormat/>
    <w:uiPriority w:val="99"/>
    <w:pPr>
      <w:spacing w:after="253"/>
      <w:jc w:val="left"/>
    </w:pPr>
    <w:rPr>
      <w:rFonts w:ascii="Times" w:hAnsi="Times"/>
      <w:kern w:val="0"/>
      <w:sz w:val="24"/>
    </w:rPr>
  </w:style>
  <w:style w:type="paragraph" w:customStyle="1" w:styleId="898">
    <w:name w:val="UserStyle_737"/>
    <w:basedOn w:val="88"/>
    <w:qFormat/>
    <w:uiPriority w:val="99"/>
    <w:pPr>
      <w:snapToGrid w:val="0"/>
      <w:spacing w:before="0" w:after="0" w:line="460" w:lineRule="exact"/>
      <w:jc w:val="left"/>
      <w:textAlignment w:val="auto"/>
    </w:pPr>
    <w:rPr>
      <w:rFonts w:ascii="宋体"/>
      <w:bCs/>
      <w:color w:val="000000"/>
      <w:szCs w:val="28"/>
    </w:rPr>
  </w:style>
  <w:style w:type="paragraph" w:customStyle="1" w:styleId="899">
    <w:name w:val="UserStyle_738"/>
    <w:basedOn w:val="1"/>
    <w:qFormat/>
    <w:uiPriority w:val="99"/>
    <w:pPr>
      <w:snapToGrid w:val="0"/>
      <w:spacing w:line="360" w:lineRule="auto"/>
      <w:ind w:firstLine="200" w:firstLineChars="200"/>
    </w:pPr>
    <w:rPr>
      <w:rFonts w:ascii="宋体" w:hAnsi="宋体" w:eastAsia="MS Gothicfalt"/>
      <w:kern w:val="0"/>
      <w:sz w:val="24"/>
      <w:szCs w:val="21"/>
    </w:rPr>
  </w:style>
  <w:style w:type="paragraph" w:customStyle="1" w:styleId="900">
    <w:name w:val="UserStyle_739"/>
    <w:basedOn w:val="1"/>
    <w:autoRedefine/>
    <w:qFormat/>
    <w:uiPriority w:val="99"/>
    <w:pPr>
      <w:ind w:right="-360"/>
      <w:jc w:val="left"/>
    </w:pPr>
    <w:rPr>
      <w:kern w:val="0"/>
      <w:sz w:val="20"/>
      <w:szCs w:val="20"/>
    </w:rPr>
  </w:style>
  <w:style w:type="paragraph" w:customStyle="1" w:styleId="901">
    <w:name w:val="UserStyle_740"/>
    <w:basedOn w:val="245"/>
    <w:autoRedefine/>
    <w:qFormat/>
    <w:uiPriority w:val="99"/>
    <w:pPr>
      <w:spacing w:after="120" w:line="480" w:lineRule="auto"/>
      <w:ind w:firstLine="560" w:firstLineChars="200"/>
    </w:pPr>
    <w:rPr>
      <w:rFonts w:eastAsia="仿宋_GB2312"/>
      <w:b w:val="0"/>
      <w:kern w:val="0"/>
    </w:rPr>
  </w:style>
  <w:style w:type="paragraph" w:customStyle="1" w:styleId="902">
    <w:name w:val="UserStyle_741"/>
    <w:basedOn w:val="267"/>
    <w:qFormat/>
    <w:uiPriority w:val="99"/>
    <w:pPr>
      <w:spacing w:line="520" w:lineRule="exact"/>
      <w:ind w:firstLine="200"/>
    </w:pPr>
    <w:rPr>
      <w:sz w:val="28"/>
    </w:rPr>
  </w:style>
  <w:style w:type="paragraph" w:customStyle="1" w:styleId="903">
    <w:name w:val="UserStyle_742"/>
    <w:basedOn w:val="1"/>
    <w:autoRedefine/>
    <w:qFormat/>
    <w:uiPriority w:val="99"/>
    <w:pPr>
      <w:spacing w:line="360" w:lineRule="atLeast"/>
      <w:jc w:val="left"/>
    </w:pPr>
    <w:rPr>
      <w:rFonts w:ascii="宋体"/>
      <w:kern w:val="0"/>
      <w:sz w:val="24"/>
      <w:szCs w:val="20"/>
    </w:rPr>
  </w:style>
  <w:style w:type="paragraph" w:customStyle="1" w:styleId="904">
    <w:name w:val="UserStyle_743"/>
    <w:basedOn w:val="87"/>
    <w:qFormat/>
    <w:uiPriority w:val="99"/>
    <w:pPr>
      <w:spacing w:before="0" w:after="0" w:line="440" w:lineRule="exact"/>
      <w:jc w:val="left"/>
    </w:pPr>
    <w:rPr>
      <w:rFonts w:ascii="宋体" w:eastAsia="宋体" w:cs="宋体"/>
      <w:bCs/>
      <w:sz w:val="28"/>
      <w:szCs w:val="28"/>
    </w:rPr>
  </w:style>
  <w:style w:type="paragraph" w:customStyle="1" w:styleId="905">
    <w:name w:val="UserStyle_744"/>
    <w:basedOn w:val="1"/>
    <w:autoRedefine/>
    <w:qFormat/>
    <w:uiPriority w:val="99"/>
    <w:pPr>
      <w:tabs>
        <w:tab w:val="left" w:pos="0"/>
      </w:tabs>
      <w:snapToGrid w:val="0"/>
      <w:spacing w:line="360" w:lineRule="atLeast"/>
      <w:jc w:val="center"/>
    </w:pPr>
    <w:rPr>
      <w:rFonts w:ascii="宋体"/>
      <w:kern w:val="0"/>
      <w:szCs w:val="20"/>
    </w:rPr>
  </w:style>
  <w:style w:type="paragraph" w:customStyle="1" w:styleId="906">
    <w:name w:val="UserStyle_745"/>
    <w:basedOn w:val="794"/>
    <w:qFormat/>
    <w:uiPriority w:val="99"/>
    <w:rPr>
      <w:bCs w:val="0"/>
      <w:color w:val="000000"/>
      <w:szCs w:val="32"/>
    </w:rPr>
  </w:style>
  <w:style w:type="paragraph" w:customStyle="1" w:styleId="907">
    <w:name w:val="UserStyle_746"/>
    <w:basedOn w:val="1"/>
    <w:autoRedefine/>
    <w:qFormat/>
    <w:uiPriority w:val="99"/>
    <w:pPr>
      <w:pBdr>
        <w:top w:val="single" w:color="000000" w:sz="4" w:space="0"/>
        <w:bottom w:val="single" w:color="000000" w:sz="8" w:space="0"/>
        <w:right w:val="single" w:color="000000" w:sz="4" w:space="0"/>
      </w:pBdr>
      <w:spacing w:before="100" w:beforeAutospacing="1" w:after="100" w:afterAutospacing="1"/>
      <w:jc w:val="center"/>
      <w:textAlignment w:val="center"/>
    </w:pPr>
    <w:rPr>
      <w:rFonts w:ascii="宋体" w:hAnsi="宋体"/>
      <w:kern w:val="0"/>
      <w:sz w:val="24"/>
    </w:rPr>
  </w:style>
  <w:style w:type="paragraph" w:customStyle="1" w:styleId="908">
    <w:name w:val="UserStyle_747"/>
    <w:basedOn w:val="1"/>
    <w:qFormat/>
    <w:uiPriority w:val="99"/>
    <w:pPr>
      <w:spacing w:line="500" w:lineRule="exact"/>
      <w:ind w:firstLine="200" w:firstLineChars="200"/>
    </w:pPr>
    <w:rPr>
      <w:rFonts w:ascii="宋体"/>
      <w:color w:val="000000"/>
      <w:kern w:val="0"/>
      <w:sz w:val="24"/>
      <w:szCs w:val="20"/>
      <w:lang w:val="zh-CN"/>
    </w:rPr>
  </w:style>
  <w:style w:type="paragraph" w:customStyle="1" w:styleId="909">
    <w:name w:val="UserStyle_748"/>
    <w:basedOn w:val="1"/>
    <w:autoRedefine/>
    <w:qFormat/>
    <w:uiPriority w:val="99"/>
    <w:pPr>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left"/>
      <w:textAlignment w:val="center"/>
    </w:pPr>
    <w:rPr>
      <w:rFonts w:ascii="宋体" w:hAnsi="宋体"/>
      <w:color w:val="000000"/>
      <w:kern w:val="0"/>
      <w:sz w:val="18"/>
      <w:szCs w:val="18"/>
    </w:rPr>
  </w:style>
  <w:style w:type="paragraph" w:customStyle="1" w:styleId="910">
    <w:name w:val="UserStyle_749"/>
    <w:basedOn w:val="42"/>
    <w:autoRedefine/>
    <w:qFormat/>
    <w:uiPriority w:val="99"/>
    <w:pPr>
      <w:tabs>
        <w:tab w:val="left" w:pos="570"/>
      </w:tabs>
      <w:ind w:left="570" w:hanging="570"/>
    </w:pPr>
    <w:rPr>
      <w:bCs w:val="0"/>
      <w:color w:val="0000FF"/>
      <w:sz w:val="30"/>
      <w:szCs w:val="20"/>
    </w:rPr>
  </w:style>
  <w:style w:type="table" w:customStyle="1" w:styleId="911">
    <w:name w:val="TableGrid"/>
    <w:basedOn w:val="96"/>
    <w:autoRedefine/>
    <w:qFormat/>
    <w:uiPriority w:val="0"/>
    <w:tblPr>
      <w:tblCellMar>
        <w:top w:w="0" w:type="dxa"/>
        <w:left w:w="0" w:type="dxa"/>
        <w:bottom w:w="0" w:type="dxa"/>
        <w:right w:w="0" w:type="dxa"/>
      </w:tblCellMar>
    </w:tblPr>
  </w:style>
  <w:style w:type="character" w:customStyle="1" w:styleId="912">
    <w:name w:val="正文文本 3 Char"/>
    <w:link w:val="17"/>
    <w:autoRedefine/>
    <w:qFormat/>
    <w:locked/>
    <w:uiPriority w:val="99"/>
    <w:rPr>
      <w:rFonts w:eastAsia="宋体"/>
      <w:kern w:val="2"/>
      <w:sz w:val="16"/>
      <w:lang w:val="en-US" w:eastAsia="zh-CN"/>
    </w:rPr>
  </w:style>
  <w:style w:type="character" w:customStyle="1" w:styleId="913">
    <w:name w:val="new"/>
    <w:qFormat/>
    <w:uiPriority w:val="99"/>
    <w:rPr>
      <w:rFonts w:ascii="Times New Roman" w:hAnsi="Times New Roman"/>
      <w:color w:val="444444"/>
      <w:sz w:val="24"/>
    </w:rPr>
  </w:style>
  <w:style w:type="character" w:customStyle="1" w:styleId="914">
    <w:name w:val="first-child"/>
    <w:autoRedefine/>
    <w:qFormat/>
    <w:uiPriority w:val="99"/>
    <w:rPr>
      <w:rFonts w:ascii="Times New Roman" w:hAnsi="Times New Roman" w:cs="Times New Roman"/>
      <w:sz w:val="24"/>
      <w:szCs w:val="24"/>
    </w:rPr>
  </w:style>
  <w:style w:type="character" w:customStyle="1" w:styleId="915">
    <w:name w:val="old"/>
    <w:qFormat/>
    <w:uiPriority w:val="99"/>
    <w:rPr>
      <w:rFonts w:ascii="Times New Roman" w:hAnsi="Times New Roman"/>
      <w:color w:val="444444"/>
      <w:sz w:val="24"/>
    </w:rPr>
  </w:style>
  <w:style w:type="character" w:customStyle="1" w:styleId="916">
    <w:name w:val="tmpztreemove_arrow"/>
    <w:qFormat/>
    <w:uiPriority w:val="99"/>
    <w:rPr>
      <w:rFonts w:ascii="Times New Roman" w:hAnsi="Times New Roman" w:cs="Times New Roman"/>
      <w:sz w:val="24"/>
      <w:szCs w:val="24"/>
    </w:rPr>
  </w:style>
  <w:style w:type="character" w:customStyle="1" w:styleId="917">
    <w:name w:val="layui-layer-tabnow"/>
    <w:qFormat/>
    <w:uiPriority w:val="99"/>
    <w:rPr>
      <w:rFonts w:ascii="Times New Roman" w:hAnsi="Times New Roman"/>
      <w:sz w:val="24"/>
      <w:bdr w:val="single" w:color="CCCCCC" w:sz="6" w:space="0"/>
      <w:shd w:val="clear" w:color="auto" w:fill="FFFFFF"/>
    </w:rPr>
  </w:style>
  <w:style w:type="character" w:customStyle="1" w:styleId="918">
    <w:name w:val="box-member"/>
    <w:qFormat/>
    <w:uiPriority w:val="99"/>
    <w:rPr>
      <w:rFonts w:ascii="Times New Roman" w:hAnsi="Times New Roman"/>
      <w:color w:val="999999"/>
      <w:sz w:val="24"/>
    </w:rPr>
  </w:style>
  <w:style w:type="character" w:customStyle="1" w:styleId="919">
    <w:name w:val="button"/>
    <w:qFormat/>
    <w:uiPriority w:val="99"/>
    <w:rPr>
      <w:rFonts w:ascii="Times New Roman" w:hAnsi="Times New Roman" w:cs="Times New Roman"/>
      <w:sz w:val="24"/>
      <w:szCs w:val="24"/>
    </w:rPr>
  </w:style>
  <w:style w:type="character" w:customStyle="1" w:styleId="920">
    <w:name w:val="content1"/>
    <w:qFormat/>
    <w:uiPriority w:val="99"/>
    <w:rPr>
      <w:sz w:val="19"/>
    </w:rPr>
  </w:style>
  <w:style w:type="character" w:customStyle="1" w:styleId="921">
    <w:name w:val="already"/>
    <w:autoRedefine/>
    <w:qFormat/>
    <w:uiPriority w:val="99"/>
    <w:rPr>
      <w:rFonts w:ascii="Times New Roman" w:hAnsi="Times New Roman"/>
      <w:color w:val="49C25B"/>
      <w:sz w:val="24"/>
    </w:rPr>
  </w:style>
  <w:style w:type="character" w:customStyle="1" w:styleId="922">
    <w:name w:val="Para head"/>
    <w:qFormat/>
    <w:uiPriority w:val="99"/>
    <w:rPr>
      <w:rFonts w:ascii="Arial" w:hAnsi="Arial"/>
      <w:sz w:val="20"/>
    </w:rPr>
  </w:style>
  <w:style w:type="character" w:customStyle="1" w:styleId="923">
    <w:name w:val="hover20"/>
    <w:autoRedefine/>
    <w:qFormat/>
    <w:uiPriority w:val="99"/>
    <w:rPr>
      <w:rFonts w:ascii="Times New Roman" w:hAnsi="Times New Roman" w:cs="Times New Roman"/>
      <w:sz w:val="24"/>
      <w:szCs w:val="24"/>
    </w:rPr>
  </w:style>
  <w:style w:type="paragraph" w:customStyle="1" w:styleId="924">
    <w:name w:val="修订1"/>
    <w:semiHidden/>
    <w:qFormat/>
    <w:uiPriority w:val="99"/>
    <w:rPr>
      <w:rFonts w:ascii="Calibri" w:hAnsi="Calibri" w:eastAsia="宋体" w:cs="Times New Roman"/>
      <w:kern w:val="2"/>
      <w:sz w:val="21"/>
      <w:szCs w:val="24"/>
      <w:lang w:val="en-US" w:eastAsia="zh-CN" w:bidi="ar-SA"/>
    </w:rPr>
  </w:style>
  <w:style w:type="paragraph" w:customStyle="1" w:styleId="925">
    <w:name w:val="WPSOffice手动目录 1"/>
    <w:autoRedefine/>
    <w:qFormat/>
    <w:uiPriority w:val="99"/>
    <w:rPr>
      <w:rFonts w:ascii="Calibri" w:hAnsi="Calibri" w:eastAsia="宋体" w:cs="Times New Roman"/>
      <w:lang w:val="en-US" w:eastAsia="zh-CN" w:bidi="ar-SA"/>
    </w:rPr>
  </w:style>
  <w:style w:type="paragraph" w:customStyle="1" w:styleId="926">
    <w:name w:val="目录文字"/>
    <w:basedOn w:val="1"/>
    <w:qFormat/>
    <w:uiPriority w:val="99"/>
    <w:pPr>
      <w:spacing w:line="480" w:lineRule="auto"/>
      <w:jc w:val="left"/>
      <w:textAlignment w:val="auto"/>
    </w:pPr>
    <w:rPr>
      <w:rFonts w:ascii="宋体" w:hAnsi="宋体"/>
      <w:kern w:val="0"/>
      <w:sz w:val="24"/>
      <w:szCs w:val="20"/>
    </w:rPr>
  </w:style>
  <w:style w:type="paragraph" w:customStyle="1" w:styleId="927">
    <w:name w:val="Char Char Char Char"/>
    <w:basedOn w:val="1"/>
    <w:autoRedefine/>
    <w:qFormat/>
    <w:uiPriority w:val="99"/>
    <w:pPr>
      <w:widowControl w:val="0"/>
      <w:textAlignment w:val="auto"/>
    </w:pPr>
    <w:rPr>
      <w:rFonts w:ascii="Calibri" w:hAnsi="Calibri"/>
    </w:rPr>
  </w:style>
  <w:style w:type="paragraph" w:customStyle="1" w:styleId="928">
    <w:name w:val="WPSOffice手动目录 2"/>
    <w:qFormat/>
    <w:uiPriority w:val="99"/>
    <w:pPr>
      <w:ind w:left="200" w:leftChars="200"/>
    </w:pPr>
    <w:rPr>
      <w:rFonts w:ascii="Calibri" w:hAnsi="Calibri" w:eastAsia="宋体" w:cs="Times New Roman"/>
      <w:lang w:val="en-US" w:eastAsia="zh-CN" w:bidi="ar-SA"/>
    </w:rPr>
  </w:style>
  <w:style w:type="paragraph" w:customStyle="1" w:styleId="929">
    <w:name w:val="菲页1"/>
    <w:basedOn w:val="3"/>
    <w:autoRedefine/>
    <w:qFormat/>
    <w:uiPriority w:val="99"/>
    <w:pPr>
      <w:widowControl/>
      <w:tabs>
        <w:tab w:val="center" w:pos="4677"/>
      </w:tabs>
      <w:jc w:val="center"/>
    </w:pPr>
    <w:rPr>
      <w:rFonts w:ascii="黑体" w:hAnsi="宋体" w:eastAsia="仿宋_GB2312"/>
      <w:b w:val="0"/>
      <w:bCs w:val="0"/>
      <w:color w:val="000000"/>
      <w:kern w:val="0"/>
      <w:sz w:val="52"/>
    </w:rPr>
  </w:style>
  <w:style w:type="paragraph" w:customStyle="1" w:styleId="930">
    <w:name w:val="菲页2"/>
    <w:basedOn w:val="4"/>
    <w:autoRedefine/>
    <w:qFormat/>
    <w:uiPriority w:val="99"/>
    <w:pPr>
      <w:widowControl/>
      <w:tabs>
        <w:tab w:val="left" w:pos="720"/>
      </w:tabs>
      <w:spacing w:before="120" w:after="120" w:line="360" w:lineRule="auto"/>
      <w:ind w:left="720" w:hanging="720"/>
      <w:jc w:val="center"/>
    </w:pPr>
    <w:rPr>
      <w:rFonts w:ascii="黑体" w:hAnsi="宋体" w:eastAsia="黑体"/>
      <w:b w:val="0"/>
      <w:bCs w:val="0"/>
      <w:kern w:val="0"/>
      <w:sz w:val="44"/>
      <w:szCs w:val="20"/>
    </w:rPr>
  </w:style>
  <w:style w:type="paragraph" w:customStyle="1" w:styleId="931">
    <w:name w:val="TOC 标题1"/>
    <w:basedOn w:val="2"/>
    <w:next w:val="1"/>
    <w:autoRedefine/>
    <w:qFormat/>
    <w:uiPriority w:val="39"/>
    <w:pPr>
      <w:outlineLvl w:val="9"/>
    </w:pPr>
  </w:style>
  <w:style w:type="character" w:customStyle="1" w:styleId="932">
    <w:name w:val="批注文字 Char1"/>
    <w:autoRedefine/>
    <w:semiHidden/>
    <w:qFormat/>
    <w:uiPriority w:val="99"/>
    <w:rPr>
      <w:rFonts w:cs="Times New Roman"/>
      <w:sz w:val="24"/>
      <w:szCs w:val="24"/>
    </w:rPr>
  </w:style>
  <w:style w:type="paragraph" w:customStyle="1" w:styleId="933">
    <w:name w:val="正文1"/>
    <w:qFormat/>
    <w:uiPriority w:val="99"/>
    <w:pPr>
      <w:widowControl w:val="0"/>
      <w:adjustRightInd w:val="0"/>
      <w:spacing w:line="312" w:lineRule="atLeast"/>
      <w:jc w:val="both"/>
    </w:pPr>
    <w:rPr>
      <w:rFonts w:ascii="宋体" w:hAnsi="Calibri" w:eastAsia="宋体" w:cs="Times New Roman"/>
      <w:sz w:val="34"/>
      <w:lang w:val="en-US" w:eastAsia="zh-CN" w:bidi="ar-SA"/>
    </w:rPr>
  </w:style>
  <w:style w:type="paragraph" w:customStyle="1" w:styleId="934">
    <w:name w:val="修订2"/>
    <w:autoRedefine/>
    <w:qFormat/>
    <w:uiPriority w:val="99"/>
    <w:rPr>
      <w:rFonts w:ascii="Calibri" w:hAnsi="Calibri" w:eastAsia="宋体" w:cs="Times New Roman"/>
      <w:kern w:val="2"/>
      <w:sz w:val="21"/>
      <w:szCs w:val="24"/>
      <w:lang w:val="en-US" w:eastAsia="zh-CN" w:bidi="ar-SA"/>
    </w:rPr>
  </w:style>
  <w:style w:type="character" w:customStyle="1" w:styleId="935">
    <w:name w:val="批注主题 Char1"/>
    <w:autoRedefine/>
    <w:semiHidden/>
    <w:qFormat/>
    <w:uiPriority w:val="99"/>
    <w:rPr>
      <w:rFonts w:cs="Times New Roman"/>
      <w:b/>
      <w:bCs/>
      <w:sz w:val="24"/>
      <w:szCs w:val="24"/>
    </w:rPr>
  </w:style>
  <w:style w:type="paragraph" w:customStyle="1" w:styleId="936">
    <w:name w:val="样式 标题 2 + Times New Roman 四号 非加粗 段前: 5 磅 段后: 0 磅 行距: 固定值 20..."/>
    <w:basedOn w:val="3"/>
    <w:autoRedefine/>
    <w:qFormat/>
    <w:uiPriority w:val="99"/>
    <w:pPr>
      <w:spacing w:before="100" w:after="0" w:line="400" w:lineRule="exact"/>
    </w:pPr>
    <w:rPr>
      <w:rFonts w:ascii="Times New Roman" w:hAnsi="Times New Roman" w:cs="宋体"/>
      <w:b w:val="0"/>
      <w:bCs w:val="0"/>
      <w:sz w:val="28"/>
      <w:szCs w:val="20"/>
    </w:rPr>
  </w:style>
  <w:style w:type="paragraph" w:customStyle="1" w:styleId="937">
    <w:name w:val="Table Paragraph"/>
    <w:basedOn w:val="1"/>
    <w:qFormat/>
    <w:uiPriority w:val="99"/>
    <w:pPr>
      <w:widowControl w:val="0"/>
      <w:textAlignment w:val="auto"/>
    </w:pPr>
    <w:rPr>
      <w:rFonts w:ascii="Calibri" w:hAnsi="Calibri"/>
    </w:rPr>
  </w:style>
  <w:style w:type="paragraph" w:customStyle="1" w:styleId="938">
    <w:name w:val="Char Char Char Char1"/>
    <w:basedOn w:val="1"/>
    <w:qFormat/>
    <w:uiPriority w:val="99"/>
    <w:pPr>
      <w:widowControl w:val="0"/>
      <w:textAlignment w:val="auto"/>
    </w:pPr>
    <w:rPr>
      <w:rFonts w:ascii="Calibri" w:hAnsi="Calibri"/>
    </w:rPr>
  </w:style>
  <w:style w:type="paragraph" w:customStyle="1" w:styleId="939">
    <w:name w:val="目录"/>
    <w:basedOn w:val="1"/>
    <w:qFormat/>
    <w:uiPriority w:val="99"/>
    <w:pPr>
      <w:jc w:val="center"/>
      <w:textAlignment w:val="auto"/>
    </w:pPr>
    <w:rPr>
      <w:rFonts w:ascii="宋体" w:hAnsi="Calibri"/>
      <w:b/>
      <w:kern w:val="0"/>
      <w:sz w:val="36"/>
      <w:szCs w:val="20"/>
    </w:rPr>
  </w:style>
  <w:style w:type="paragraph" w:customStyle="1" w:styleId="940">
    <w:name w:val="列出段落1"/>
    <w:basedOn w:val="1"/>
    <w:qFormat/>
    <w:uiPriority w:val="99"/>
    <w:pPr>
      <w:widowControl w:val="0"/>
      <w:ind w:firstLine="420" w:firstLineChars="200"/>
      <w:textAlignment w:val="auto"/>
    </w:pPr>
    <w:rPr>
      <w:rFonts w:ascii="Calibri" w:hAnsi="Calibri"/>
    </w:rPr>
  </w:style>
  <w:style w:type="paragraph" w:customStyle="1" w:styleId="941">
    <w:name w:val="z-窗体顶端1"/>
    <w:basedOn w:val="1"/>
    <w:next w:val="1"/>
    <w:link w:val="942"/>
    <w:qFormat/>
    <w:locked/>
    <w:uiPriority w:val="99"/>
    <w:pPr>
      <w:widowControl w:val="0"/>
      <w:pBdr>
        <w:bottom w:val="single" w:color="auto" w:sz="6" w:space="1"/>
      </w:pBdr>
      <w:jc w:val="center"/>
      <w:textAlignment w:val="auto"/>
    </w:pPr>
    <w:rPr>
      <w:rFonts w:ascii="Arial" w:hAnsi="Calibri"/>
      <w:vanish/>
      <w:sz w:val="16"/>
    </w:rPr>
  </w:style>
  <w:style w:type="character" w:customStyle="1" w:styleId="942">
    <w:name w:val="z-窗体顶端 Char"/>
    <w:link w:val="941"/>
    <w:autoRedefine/>
    <w:qFormat/>
    <w:locked/>
    <w:uiPriority w:val="99"/>
    <w:rPr>
      <w:rFonts w:ascii="Arial" w:hAnsi="Calibri" w:cs="Times New Roman"/>
      <w:vanish/>
      <w:sz w:val="24"/>
      <w:szCs w:val="24"/>
    </w:rPr>
  </w:style>
  <w:style w:type="paragraph" w:styleId="943">
    <w:name w:val="List Paragraph"/>
    <w:basedOn w:val="1"/>
    <w:autoRedefine/>
    <w:qFormat/>
    <w:uiPriority w:val="34"/>
    <w:pPr>
      <w:widowControl w:val="0"/>
      <w:ind w:firstLine="420" w:firstLineChars="200"/>
      <w:textAlignment w:val="auto"/>
    </w:pPr>
    <w:rPr>
      <w:rFonts w:ascii="Calibri" w:hAnsi="Calibri"/>
    </w:rPr>
  </w:style>
  <w:style w:type="paragraph" w:customStyle="1" w:styleId="944">
    <w:name w:val="菲页(卷)"/>
    <w:basedOn w:val="2"/>
    <w:next w:val="933"/>
    <w:qFormat/>
    <w:uiPriority w:val="99"/>
    <w:pPr>
      <w:outlineLvl w:val="1"/>
    </w:pPr>
    <w:rPr>
      <w:rFonts w:hAnsi="Times New Roman" w:cs="Times New Roman"/>
    </w:rPr>
  </w:style>
  <w:style w:type="paragraph" w:customStyle="1" w:styleId="945">
    <w:name w:val="样式 标题 3 + (中文) 黑体 小四 非加粗 段前: 7.8 磅 段后: 0 磅 行距: 固定值 20 磅"/>
    <w:basedOn w:val="4"/>
    <w:qFormat/>
    <w:uiPriority w:val="99"/>
    <w:pPr>
      <w:spacing w:before="0" w:after="0" w:line="400" w:lineRule="exact"/>
    </w:pPr>
    <w:rPr>
      <w:rFonts w:eastAsia="黑体" w:cs="宋体"/>
      <w:b w:val="0"/>
      <w:bCs w:val="0"/>
      <w:sz w:val="24"/>
      <w:szCs w:val="20"/>
    </w:rPr>
  </w:style>
  <w:style w:type="paragraph" w:customStyle="1" w:styleId="946">
    <w:name w:val="样式1"/>
    <w:basedOn w:val="1"/>
    <w:link w:val="955"/>
    <w:autoRedefine/>
    <w:qFormat/>
    <w:uiPriority w:val="0"/>
    <w:pPr>
      <w:widowControl w:val="0"/>
      <w:spacing w:before="120" w:after="120" w:line="300" w:lineRule="auto"/>
      <w:textAlignment w:val="auto"/>
    </w:pPr>
    <w:rPr>
      <w:rFonts w:ascii="宋体" w:hAnsi="宋体"/>
      <w:b/>
      <w:sz w:val="24"/>
      <w:szCs w:val="20"/>
    </w:rPr>
  </w:style>
  <w:style w:type="paragraph" w:customStyle="1" w:styleId="947">
    <w:name w:val="z-窗体底端1"/>
    <w:basedOn w:val="1"/>
    <w:next w:val="1"/>
    <w:link w:val="948"/>
    <w:qFormat/>
    <w:locked/>
    <w:uiPriority w:val="99"/>
    <w:pPr>
      <w:widowControl w:val="0"/>
      <w:pBdr>
        <w:top w:val="single" w:color="auto" w:sz="6" w:space="1"/>
      </w:pBdr>
      <w:jc w:val="center"/>
      <w:textAlignment w:val="auto"/>
    </w:pPr>
    <w:rPr>
      <w:rFonts w:ascii="Arial" w:hAnsi="Calibri"/>
      <w:vanish/>
      <w:sz w:val="16"/>
    </w:rPr>
  </w:style>
  <w:style w:type="character" w:customStyle="1" w:styleId="948">
    <w:name w:val="z-窗体底端 Char"/>
    <w:link w:val="947"/>
    <w:autoRedefine/>
    <w:qFormat/>
    <w:locked/>
    <w:uiPriority w:val="99"/>
    <w:rPr>
      <w:rFonts w:ascii="Arial" w:hAnsi="Calibri" w:cs="Times New Roman"/>
      <w:vanish/>
      <w:sz w:val="24"/>
      <w:szCs w:val="24"/>
    </w:rPr>
  </w:style>
  <w:style w:type="paragraph" w:customStyle="1" w:styleId="949">
    <w:name w:val="页脚2"/>
    <w:basedOn w:val="1"/>
    <w:qFormat/>
    <w:uiPriority w:val="99"/>
    <w:pPr>
      <w:widowControl w:val="0"/>
      <w:tabs>
        <w:tab w:val="center" w:pos="4153"/>
        <w:tab w:val="right" w:pos="8306"/>
      </w:tabs>
      <w:snapToGrid w:val="0"/>
      <w:jc w:val="left"/>
      <w:textAlignment w:val="auto"/>
    </w:pPr>
    <w:rPr>
      <w:rFonts w:ascii="Calibri" w:hAnsi="Calibri"/>
      <w:sz w:val="18"/>
    </w:rPr>
  </w:style>
  <w:style w:type="paragraph" w:customStyle="1" w:styleId="950">
    <w:name w:val="Preformatted"/>
    <w:basedOn w:val="1"/>
    <w:autoRedefine/>
    <w:qFormat/>
    <w:uiPriority w:val="99"/>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textAlignment w:val="auto"/>
    </w:pPr>
    <w:rPr>
      <w:rFonts w:ascii="Courier New" w:hAnsi="Courier New"/>
      <w:kern w:val="0"/>
      <w:sz w:val="20"/>
      <w:szCs w:val="20"/>
    </w:rPr>
  </w:style>
  <w:style w:type="paragraph" w:customStyle="1" w:styleId="951">
    <w:name w:val="Char Char Char Char Char Char Char Char Char"/>
    <w:basedOn w:val="1"/>
    <w:autoRedefine/>
    <w:qFormat/>
    <w:uiPriority w:val="99"/>
    <w:pPr>
      <w:spacing w:after="160" w:line="240" w:lineRule="exact"/>
      <w:jc w:val="left"/>
      <w:textAlignment w:val="auto"/>
    </w:pPr>
  </w:style>
  <w:style w:type="paragraph" w:customStyle="1" w:styleId="952">
    <w:name w:val="List Paragraph1"/>
    <w:basedOn w:val="1"/>
    <w:autoRedefine/>
    <w:qFormat/>
    <w:uiPriority w:val="99"/>
    <w:pPr>
      <w:ind w:firstLine="420" w:firstLineChars="200"/>
    </w:pPr>
  </w:style>
  <w:style w:type="character" w:customStyle="1" w:styleId="953">
    <w:name w:val="正文文本 2 Char"/>
    <w:link w:val="39"/>
    <w:autoRedefine/>
    <w:qFormat/>
    <w:uiPriority w:val="99"/>
    <w:rPr>
      <w:kern w:val="2"/>
      <w:sz w:val="24"/>
      <w:szCs w:val="22"/>
    </w:rPr>
  </w:style>
  <w:style w:type="character" w:customStyle="1" w:styleId="954">
    <w:name w:val="content"/>
    <w:qFormat/>
    <w:uiPriority w:val="0"/>
  </w:style>
  <w:style w:type="character" w:customStyle="1" w:styleId="955">
    <w:name w:val="样式1 字符"/>
    <w:link w:val="946"/>
    <w:qFormat/>
    <w:uiPriority w:val="0"/>
    <w:rPr>
      <w:rFonts w:ascii="宋体" w:hAnsi="宋体"/>
      <w:b/>
      <w:kern w:val="2"/>
      <w:sz w:val="24"/>
    </w:rPr>
  </w:style>
  <w:style w:type="character" w:customStyle="1" w:styleId="956">
    <w:name w:val="refer-count"/>
    <w:autoRedefine/>
    <w:qFormat/>
    <w:uiPriority w:val="0"/>
  </w:style>
  <w:style w:type="character" w:customStyle="1" w:styleId="957">
    <w:name w:val="HTML 预设格式 Char"/>
    <w:link w:val="40"/>
    <w:qFormat/>
    <w:uiPriority w:val="99"/>
    <w:rPr>
      <w:rFonts w:ascii="宋体" w:hAnsi="宋体" w:cs="宋体"/>
      <w:sz w:val="24"/>
      <w:szCs w:val="24"/>
    </w:rPr>
  </w:style>
  <w:style w:type="character" w:customStyle="1" w:styleId="958">
    <w:name w:val="law-parenthese"/>
    <w:qFormat/>
    <w:uiPriority w:val="0"/>
  </w:style>
  <w:style w:type="character" w:customStyle="1" w:styleId="959">
    <w:name w:val="search-in-page-highlight-item"/>
    <w:qFormat/>
    <w:uiPriority w:val="0"/>
  </w:style>
  <w:style w:type="character" w:styleId="960">
    <w:name w:val="Placeholder Text"/>
    <w:unhideWhenUsed/>
    <w:qFormat/>
    <w:uiPriority w:val="99"/>
    <w:rPr>
      <w:color w:val="808080"/>
    </w:rPr>
  </w:style>
  <w:style w:type="character" w:customStyle="1" w:styleId="961">
    <w:name w:val="未处理的提及2"/>
    <w:unhideWhenUsed/>
    <w:qFormat/>
    <w:uiPriority w:val="99"/>
    <w:rPr>
      <w:color w:val="605E5C"/>
      <w:shd w:val="clear" w:color="auto" w:fill="E1DFDD"/>
    </w:rPr>
  </w:style>
  <w:style w:type="character" w:customStyle="1" w:styleId="962">
    <w:name w:val="未处理的提及3"/>
    <w:autoRedefine/>
    <w:unhideWhenUsed/>
    <w:qFormat/>
    <w:uiPriority w:val="99"/>
    <w:rPr>
      <w:color w:val="605E5C"/>
      <w:shd w:val="clear" w:color="auto" w:fill="E1DFDD"/>
    </w:rPr>
  </w:style>
  <w:style w:type="character" w:customStyle="1" w:styleId="963">
    <w:name w:val="未处理的提及1"/>
    <w:autoRedefine/>
    <w:unhideWhenUsed/>
    <w:qFormat/>
    <w:uiPriority w:val="99"/>
    <w:rPr>
      <w:color w:val="605E5C"/>
      <w:shd w:val="clear" w:color="auto" w:fill="E1DFDD"/>
    </w:rPr>
  </w:style>
  <w:style w:type="character" w:customStyle="1" w:styleId="964">
    <w:name w:val="文档结构图 Char"/>
    <w:link w:val="14"/>
    <w:qFormat/>
    <w:uiPriority w:val="99"/>
    <w:rPr>
      <w:rFonts w:ascii="宋体"/>
      <w:kern w:val="2"/>
      <w:sz w:val="24"/>
      <w:szCs w:val="24"/>
    </w:rPr>
  </w:style>
  <w:style w:type="character" w:customStyle="1" w:styleId="965">
    <w:name w:val="search-in-page-highlight-wrapper"/>
    <w:autoRedefine/>
    <w:qFormat/>
    <w:uiPriority w:val="0"/>
  </w:style>
  <w:style w:type="paragraph" w:customStyle="1" w:styleId="966">
    <w:name w:val="协议书标题2"/>
    <w:basedOn w:val="3"/>
    <w:next w:val="1"/>
    <w:qFormat/>
    <w:uiPriority w:val="0"/>
    <w:pPr>
      <w:keepNext w:val="0"/>
      <w:keepLines w:val="0"/>
      <w:widowControl/>
      <w:numPr>
        <w:ilvl w:val="0"/>
        <w:numId w:val="1"/>
      </w:numPr>
      <w:tabs>
        <w:tab w:val="left" w:pos="567"/>
      </w:tabs>
      <w:wordWrap w:val="0"/>
      <w:topLinePunct/>
      <w:adjustRightInd w:val="0"/>
      <w:snapToGrid w:val="0"/>
      <w:spacing w:before="0" w:after="120" w:afterLines="50" w:line="360" w:lineRule="auto"/>
      <w:jc w:val="left"/>
    </w:pPr>
    <w:rPr>
      <w:rFonts w:ascii="宋体" w:hAnsi="宋体" w:eastAsia="宋体"/>
      <w:bCs w:val="0"/>
      <w:kern w:val="0"/>
      <w:sz w:val="24"/>
      <w:szCs w:val="20"/>
    </w:rPr>
  </w:style>
  <w:style w:type="paragraph" w:customStyle="1" w:styleId="967">
    <w:name w:val="LIST ALPHA CAPS 2"/>
    <w:basedOn w:val="1"/>
    <w:next w:val="39"/>
    <w:autoRedefine/>
    <w:qFormat/>
    <w:uiPriority w:val="0"/>
    <w:pPr>
      <w:numPr>
        <w:ilvl w:val="1"/>
        <w:numId w:val="2"/>
      </w:numPr>
      <w:tabs>
        <w:tab w:val="left" w:pos="50"/>
        <w:tab w:val="left" w:pos="1417"/>
      </w:tabs>
      <w:wordWrap w:val="0"/>
      <w:topLinePunct/>
      <w:adjustRightInd w:val="0"/>
      <w:snapToGrid w:val="0"/>
      <w:spacing w:after="200" w:afterLines="50" w:line="288" w:lineRule="auto"/>
      <w:ind w:firstLine="200" w:firstLineChars="200"/>
      <w:textAlignment w:val="auto"/>
    </w:pPr>
    <w:rPr>
      <w:rFonts w:ascii="CG Times" w:hAnsi="CG Times"/>
      <w:kern w:val="0"/>
      <w:sz w:val="22"/>
      <w:szCs w:val="20"/>
      <w:lang w:val="en-GB"/>
    </w:rPr>
  </w:style>
  <w:style w:type="paragraph" w:customStyle="1" w:styleId="968">
    <w:name w:val="TOC 标题2"/>
    <w:basedOn w:val="2"/>
    <w:next w:val="1"/>
    <w:autoRedefine/>
    <w:qFormat/>
    <w:uiPriority w:val="0"/>
    <w:pPr>
      <w:keepLines/>
      <w:widowControl w:val="0"/>
      <w:tabs>
        <w:tab w:val="clear" w:pos="432"/>
      </w:tabs>
      <w:spacing w:before="260" w:after="260" w:line="413" w:lineRule="auto"/>
      <w:ind w:left="0" w:firstLine="0"/>
    </w:pPr>
    <w:rPr>
      <w:rFonts w:ascii="宋体" w:eastAsia="宋体" w:cs="Times New Roman"/>
      <w:b/>
      <w:bCs/>
      <w:kern w:val="44"/>
      <w:sz w:val="36"/>
      <w:szCs w:val="44"/>
      <w:lang w:val="zh-CN"/>
    </w:rPr>
  </w:style>
  <w:style w:type="paragraph" w:customStyle="1" w:styleId="969">
    <w:name w:val="通用标题3"/>
    <w:next w:val="1"/>
    <w:qFormat/>
    <w:uiPriority w:val="0"/>
    <w:pPr>
      <w:widowControl w:val="0"/>
      <w:numPr>
        <w:ilvl w:val="1"/>
        <w:numId w:val="3"/>
      </w:numPr>
      <w:tabs>
        <w:tab w:val="left" w:pos="851"/>
      </w:tabs>
      <w:adjustRightInd w:val="0"/>
      <w:snapToGrid w:val="0"/>
      <w:spacing w:after="120" w:afterLines="50" w:line="360" w:lineRule="auto"/>
      <w:jc w:val="both"/>
      <w:outlineLvl w:val="2"/>
    </w:pPr>
    <w:rPr>
      <w:rFonts w:ascii="黑体" w:hAnsi="黑体" w:eastAsia="黑体" w:cs="Times New Roman"/>
      <w:b/>
      <w:kern w:val="2"/>
      <w:sz w:val="24"/>
      <w:szCs w:val="24"/>
      <w:lang w:val="en-US" w:eastAsia="zh-CN" w:bidi="ar-SA"/>
    </w:rPr>
  </w:style>
  <w:style w:type="paragraph" w:customStyle="1" w:styleId="970">
    <w:name w:val="Title 5"/>
    <w:next w:val="971"/>
    <w:autoRedefine/>
    <w:qFormat/>
    <w:uiPriority w:val="0"/>
    <w:pPr>
      <w:numPr>
        <w:ilvl w:val="0"/>
        <w:numId w:val="4"/>
      </w:numPr>
      <w:ind w:left="1701" w:hanging="426"/>
      <w:jc w:val="both"/>
    </w:pPr>
    <w:rPr>
      <w:rFonts w:ascii="Times New Roman" w:hAnsi="Times New Roman" w:eastAsia="宋体" w:cs="Times New Roman"/>
      <w:kern w:val="2"/>
      <w:sz w:val="24"/>
      <w:szCs w:val="24"/>
      <w:lang w:val="en-US" w:eastAsia="zh-CN" w:bidi="ar-SA"/>
    </w:rPr>
  </w:style>
  <w:style w:type="paragraph" w:customStyle="1" w:styleId="971">
    <w:name w:val="Title 5 Chinese"/>
    <w:autoRedefine/>
    <w:qFormat/>
    <w:uiPriority w:val="0"/>
    <w:pPr>
      <w:ind w:left="1701"/>
    </w:pPr>
    <w:rPr>
      <w:rFonts w:ascii="Times New Roman" w:hAnsi="Times New Roman" w:eastAsia="宋体" w:cs="Times New Roman"/>
      <w:kern w:val="2"/>
      <w:sz w:val="24"/>
      <w:szCs w:val="24"/>
      <w:lang w:val="en-US" w:eastAsia="zh-CN" w:bidi="ar-SA"/>
    </w:rPr>
  </w:style>
  <w:style w:type="paragraph" w:customStyle="1" w:styleId="972">
    <w:name w:val="专用标题3"/>
    <w:basedOn w:val="4"/>
    <w:autoRedefine/>
    <w:qFormat/>
    <w:uiPriority w:val="0"/>
    <w:pPr>
      <w:widowControl/>
      <w:numPr>
        <w:ilvl w:val="1"/>
        <w:numId w:val="5"/>
      </w:numPr>
      <w:wordWrap w:val="0"/>
      <w:topLinePunct/>
      <w:adjustRightInd w:val="0"/>
      <w:snapToGrid w:val="0"/>
      <w:spacing w:before="0" w:after="120" w:afterLines="50" w:line="360" w:lineRule="auto"/>
      <w:jc w:val="left"/>
    </w:pPr>
    <w:rPr>
      <w:rFonts w:ascii="宋体" w:hAnsi="宋体"/>
      <w:bCs w:val="0"/>
      <w:kern w:val="0"/>
      <w:sz w:val="24"/>
      <w:szCs w:val="20"/>
    </w:rPr>
  </w:style>
  <w:style w:type="paragraph" w:customStyle="1" w:styleId="973">
    <w:name w:val="Title 4 Chinese"/>
    <w:autoRedefine/>
    <w:qFormat/>
    <w:uiPriority w:val="0"/>
    <w:pPr>
      <w:ind w:left="1276"/>
    </w:pPr>
    <w:rPr>
      <w:rFonts w:ascii="Times New Roman" w:hAnsi="Times New Roman" w:eastAsia="宋体" w:cs="Times New Roman"/>
      <w:kern w:val="2"/>
      <w:sz w:val="24"/>
      <w:szCs w:val="24"/>
      <w:lang w:val="en-US" w:eastAsia="zh-CN" w:bidi="ar-SA"/>
    </w:rPr>
  </w:style>
  <w:style w:type="paragraph" w:customStyle="1" w:styleId="974">
    <w:name w:val="专用标题4"/>
    <w:basedOn w:val="5"/>
    <w:next w:val="1"/>
    <w:autoRedefine/>
    <w:qFormat/>
    <w:uiPriority w:val="0"/>
    <w:pPr>
      <w:numPr>
        <w:ilvl w:val="2"/>
        <w:numId w:val="5"/>
      </w:numPr>
      <w:adjustRightInd w:val="0"/>
      <w:snapToGrid w:val="0"/>
      <w:spacing w:before="0" w:after="0" w:line="240" w:lineRule="auto"/>
      <w:jc w:val="left"/>
    </w:pPr>
    <w:rPr>
      <w:rFonts w:eastAsia="宋体"/>
      <w:kern w:val="2"/>
      <w:szCs w:val="22"/>
    </w:rPr>
  </w:style>
  <w:style w:type="character" w:customStyle="1" w:styleId="975">
    <w:name w:val="HTML 预设格式 Char1"/>
    <w:autoRedefine/>
    <w:semiHidden/>
    <w:qFormat/>
    <w:uiPriority w:val="99"/>
    <w:rPr>
      <w:rFonts w:ascii="Courier New" w:hAnsi="Courier New" w:cs="Courier New"/>
      <w:kern w:val="2"/>
    </w:rPr>
  </w:style>
  <w:style w:type="paragraph" w:customStyle="1" w:styleId="976">
    <w:name w:val="LIST ALPHA CAPS 3"/>
    <w:basedOn w:val="1"/>
    <w:next w:val="17"/>
    <w:autoRedefine/>
    <w:qFormat/>
    <w:uiPriority w:val="0"/>
    <w:pPr>
      <w:numPr>
        <w:ilvl w:val="2"/>
        <w:numId w:val="2"/>
      </w:numPr>
      <w:tabs>
        <w:tab w:val="left" w:pos="68"/>
        <w:tab w:val="left" w:pos="1928"/>
      </w:tabs>
      <w:wordWrap w:val="0"/>
      <w:topLinePunct/>
      <w:adjustRightInd w:val="0"/>
      <w:snapToGrid w:val="0"/>
      <w:spacing w:after="200" w:afterLines="50" w:line="288" w:lineRule="auto"/>
      <w:ind w:firstLine="200" w:firstLineChars="200"/>
      <w:textAlignment w:val="auto"/>
    </w:pPr>
    <w:rPr>
      <w:rFonts w:ascii="CG Times" w:hAnsi="CG Times"/>
      <w:kern w:val="0"/>
      <w:sz w:val="22"/>
      <w:szCs w:val="20"/>
      <w:lang w:val="en-GB"/>
    </w:rPr>
  </w:style>
  <w:style w:type="paragraph" w:customStyle="1" w:styleId="977">
    <w:name w:val="通用标题6"/>
    <w:basedOn w:val="1"/>
    <w:autoRedefine/>
    <w:qFormat/>
    <w:uiPriority w:val="0"/>
    <w:pPr>
      <w:numPr>
        <w:ilvl w:val="4"/>
        <w:numId w:val="6"/>
      </w:numPr>
      <w:tabs>
        <w:tab w:val="left" w:pos="993"/>
      </w:tabs>
      <w:adjustRightInd w:val="0"/>
      <w:snapToGrid w:val="0"/>
      <w:spacing w:after="120" w:afterLines="50" w:line="360" w:lineRule="auto"/>
      <w:textAlignment w:val="auto"/>
    </w:pPr>
    <w:rPr>
      <w:rFonts w:ascii="宋体" w:hAnsi="宋体"/>
      <w:kern w:val="0"/>
      <w:sz w:val="24"/>
      <w:szCs w:val="20"/>
    </w:rPr>
  </w:style>
  <w:style w:type="paragraph" w:customStyle="1" w:styleId="978">
    <w:name w:val="附件标题1"/>
    <w:next w:val="1"/>
    <w:autoRedefine/>
    <w:qFormat/>
    <w:uiPriority w:val="0"/>
    <w:pPr>
      <w:numPr>
        <w:ilvl w:val="0"/>
        <w:numId w:val="7"/>
      </w:numPr>
      <w:tabs>
        <w:tab w:val="left" w:pos="567"/>
      </w:tabs>
      <w:adjustRightInd w:val="0"/>
      <w:snapToGrid w:val="0"/>
      <w:spacing w:after="120" w:afterLines="50" w:line="312" w:lineRule="auto"/>
    </w:pPr>
    <w:rPr>
      <w:rFonts w:ascii="黑体" w:hAnsi="黑体" w:eastAsia="黑体" w:cs="Times New Roman"/>
      <w:b/>
      <w:kern w:val="2"/>
      <w:sz w:val="24"/>
      <w:szCs w:val="24"/>
      <w:lang w:val="en-US" w:eastAsia="zh-CN" w:bidi="ar-SA"/>
    </w:rPr>
  </w:style>
  <w:style w:type="paragraph" w:customStyle="1" w:styleId="979">
    <w:name w:val="through-content"/>
    <w:basedOn w:val="1"/>
    <w:autoRedefine/>
    <w:qFormat/>
    <w:uiPriority w:val="0"/>
    <w:pPr>
      <w:wordWrap w:val="0"/>
      <w:topLinePunct/>
      <w:spacing w:before="100" w:beforeAutospacing="1" w:after="100" w:afterAutospacing="1"/>
      <w:jc w:val="left"/>
      <w:textAlignment w:val="auto"/>
    </w:pPr>
    <w:rPr>
      <w:rFonts w:ascii="宋体" w:hAnsi="宋体" w:cs="宋体"/>
      <w:kern w:val="0"/>
      <w:sz w:val="24"/>
      <w:szCs w:val="20"/>
    </w:rPr>
  </w:style>
  <w:style w:type="character" w:customStyle="1" w:styleId="980">
    <w:name w:val="文档结构图 Char1"/>
    <w:semiHidden/>
    <w:qFormat/>
    <w:uiPriority w:val="99"/>
    <w:rPr>
      <w:rFonts w:ascii="宋体" w:hAnsi="Times New Roman"/>
      <w:kern w:val="2"/>
      <w:sz w:val="18"/>
      <w:szCs w:val="18"/>
    </w:rPr>
  </w:style>
  <w:style w:type="paragraph" w:customStyle="1" w:styleId="981">
    <w:name w:val="样式3"/>
    <w:next w:val="1"/>
    <w:autoRedefine/>
    <w:qFormat/>
    <w:uiPriority w:val="0"/>
    <w:pPr>
      <w:numPr>
        <w:ilvl w:val="2"/>
        <w:numId w:val="8"/>
      </w:numPr>
    </w:pPr>
    <w:rPr>
      <w:rFonts w:ascii="Times New Roman" w:hAnsi="Times New Roman" w:eastAsia="宋体" w:cs="Times New Roman"/>
      <w:bCs/>
      <w:kern w:val="2"/>
      <w:sz w:val="24"/>
      <w:szCs w:val="24"/>
      <w:lang w:val="en-US" w:eastAsia="zh-CN" w:bidi="ar-SA"/>
    </w:rPr>
  </w:style>
  <w:style w:type="paragraph" w:customStyle="1" w:styleId="982">
    <w:name w:val="List ALPHA CAPS 1"/>
    <w:basedOn w:val="1"/>
    <w:next w:val="19"/>
    <w:autoRedefine/>
    <w:qFormat/>
    <w:uiPriority w:val="0"/>
    <w:pPr>
      <w:numPr>
        <w:ilvl w:val="0"/>
        <w:numId w:val="2"/>
      </w:numPr>
      <w:tabs>
        <w:tab w:val="left" w:pos="22"/>
        <w:tab w:val="left" w:pos="624"/>
      </w:tabs>
      <w:wordWrap w:val="0"/>
      <w:topLinePunct/>
      <w:adjustRightInd w:val="0"/>
      <w:snapToGrid w:val="0"/>
      <w:spacing w:after="200" w:afterLines="50" w:line="288" w:lineRule="auto"/>
      <w:ind w:firstLine="200" w:firstLineChars="200"/>
      <w:textAlignment w:val="auto"/>
    </w:pPr>
    <w:rPr>
      <w:rFonts w:ascii="CG Times" w:hAnsi="CG Times"/>
      <w:kern w:val="0"/>
      <w:sz w:val="22"/>
      <w:szCs w:val="20"/>
      <w:lang w:val="en-GB"/>
    </w:rPr>
  </w:style>
  <w:style w:type="paragraph" w:customStyle="1" w:styleId="983">
    <w:name w:val="Title 4"/>
    <w:next w:val="973"/>
    <w:qFormat/>
    <w:uiPriority w:val="0"/>
    <w:pPr>
      <w:numPr>
        <w:ilvl w:val="0"/>
        <w:numId w:val="9"/>
      </w:numPr>
      <w:ind w:left="1276" w:hanging="562"/>
      <w:jc w:val="both"/>
    </w:pPr>
    <w:rPr>
      <w:rFonts w:ascii="Times New Roman" w:hAnsi="Times New Roman" w:eastAsia="宋体" w:cs="Times New Roman"/>
      <w:kern w:val="2"/>
      <w:sz w:val="24"/>
      <w:szCs w:val="24"/>
      <w:lang w:val="en-US" w:eastAsia="zh-CN" w:bidi="ar-SA"/>
    </w:rPr>
  </w:style>
  <w:style w:type="character" w:customStyle="1" w:styleId="984">
    <w:name w:val="正文文本 2 Char1"/>
    <w:autoRedefine/>
    <w:semiHidden/>
    <w:qFormat/>
    <w:uiPriority w:val="99"/>
    <w:rPr>
      <w:rFonts w:ascii="Times New Roman" w:hAnsi="Times New Roman"/>
      <w:kern w:val="2"/>
      <w:sz w:val="21"/>
      <w:szCs w:val="24"/>
    </w:rPr>
  </w:style>
  <w:style w:type="paragraph" w:customStyle="1" w:styleId="985">
    <w:name w:val="通用标题7"/>
    <w:basedOn w:val="1"/>
    <w:autoRedefine/>
    <w:qFormat/>
    <w:uiPriority w:val="0"/>
    <w:pPr>
      <w:numPr>
        <w:ilvl w:val="5"/>
        <w:numId w:val="10"/>
      </w:numPr>
      <w:wordWrap w:val="0"/>
      <w:topLinePunct/>
      <w:adjustRightInd w:val="0"/>
      <w:snapToGrid w:val="0"/>
      <w:spacing w:after="120" w:afterLines="50" w:line="360" w:lineRule="auto"/>
      <w:ind w:firstLine="200" w:firstLineChars="200"/>
      <w:textAlignment w:val="auto"/>
    </w:pPr>
    <w:rPr>
      <w:rFonts w:ascii="宋体" w:hAnsi="宋体"/>
      <w:kern w:val="0"/>
      <w:sz w:val="24"/>
      <w:szCs w:val="20"/>
    </w:rPr>
  </w:style>
  <w:style w:type="paragraph" w:customStyle="1" w:styleId="986">
    <w:name w:val="Char Char Char Char Char Char Char Char Char Char Char Char Char"/>
    <w:basedOn w:val="1"/>
    <w:autoRedefine/>
    <w:qFormat/>
    <w:uiPriority w:val="0"/>
    <w:pPr>
      <w:widowControl w:val="0"/>
      <w:textAlignment w:val="auto"/>
    </w:pPr>
    <w:rPr>
      <w:rFonts w:ascii="宋体" w:hAnsi="宋体"/>
      <w:sz w:val="24"/>
    </w:rPr>
  </w:style>
  <w:style w:type="paragraph" w:customStyle="1" w:styleId="987">
    <w:name w:val="缩进2中"/>
    <w:autoRedefine/>
    <w:qFormat/>
    <w:uiPriority w:val="0"/>
    <w:pPr>
      <w:ind w:left="708" w:leftChars="295"/>
      <w:jc w:val="both"/>
    </w:pPr>
    <w:rPr>
      <w:rFonts w:ascii="Times" w:hAnsi="Times" w:eastAsia="宋体" w:cs="Times New Roman"/>
      <w:kern w:val="2"/>
      <w:sz w:val="24"/>
      <w:szCs w:val="22"/>
      <w:lang w:val="en-US" w:eastAsia="zh-CN" w:bidi="ar-SA"/>
    </w:rPr>
  </w:style>
  <w:style w:type="paragraph" w:customStyle="1" w:styleId="988">
    <w:name w:val="小标题"/>
    <w:autoRedefine/>
    <w:qFormat/>
    <w:uiPriority w:val="0"/>
    <w:pPr>
      <w:tabs>
        <w:tab w:val="left" w:pos="993"/>
      </w:tabs>
      <w:adjustRightInd w:val="0"/>
      <w:snapToGrid w:val="0"/>
    </w:pPr>
    <w:rPr>
      <w:rFonts w:ascii="Times New Roman" w:hAnsi="Times New Roman" w:eastAsia="宋体" w:cs="Times New Roman"/>
      <w:bCs/>
      <w:kern w:val="2"/>
      <w:sz w:val="24"/>
      <w:szCs w:val="22"/>
      <w:lang w:val="en-US" w:eastAsia="zh-CN" w:bidi="ar-SA"/>
    </w:rPr>
  </w:style>
  <w:style w:type="paragraph" w:customStyle="1" w:styleId="989">
    <w:name w:val="附件标题"/>
    <w:basedOn w:val="3"/>
    <w:next w:val="1"/>
    <w:qFormat/>
    <w:uiPriority w:val="0"/>
    <w:pPr>
      <w:widowControl/>
      <w:numPr>
        <w:ilvl w:val="0"/>
        <w:numId w:val="11"/>
      </w:numPr>
      <w:tabs>
        <w:tab w:val="left" w:pos="1134"/>
      </w:tabs>
      <w:wordWrap w:val="0"/>
      <w:topLinePunct/>
      <w:adjustRightInd w:val="0"/>
      <w:snapToGrid w:val="0"/>
      <w:spacing w:before="0" w:after="120" w:afterLines="50" w:line="360" w:lineRule="auto"/>
      <w:ind w:firstLine="0"/>
      <w:jc w:val="center"/>
    </w:pPr>
    <w:rPr>
      <w:rFonts w:ascii="黑体" w:hAnsi="黑体"/>
      <w:bCs w:val="0"/>
      <w:kern w:val="0"/>
      <w:sz w:val="30"/>
      <w:szCs w:val="30"/>
    </w:rPr>
  </w:style>
  <w:style w:type="paragraph" w:customStyle="1" w:styleId="990">
    <w:name w:val="table"/>
    <w:autoRedefine/>
    <w:qFormat/>
    <w:uiPriority w:val="0"/>
    <w:pPr>
      <w:framePr w:hSpace="180" w:wrap="around" w:vAnchor="text" w:hAnchor="margin" w:y="1418"/>
      <w:adjustRightInd w:val="0"/>
      <w:snapToGrid w:val="0"/>
    </w:pPr>
    <w:rPr>
      <w:rFonts w:ascii="宋体" w:hAnsi="Calibri" w:eastAsia="宋体" w:cs="Times New Roman"/>
      <w:kern w:val="2"/>
      <w:sz w:val="24"/>
      <w:szCs w:val="22"/>
      <w:lang w:val="en-US" w:eastAsia="zh-CN" w:bidi="ar-SA"/>
    </w:rPr>
  </w:style>
  <w:style w:type="paragraph" w:customStyle="1" w:styleId="991">
    <w:name w:val="通用标题2"/>
    <w:basedOn w:val="3"/>
    <w:next w:val="1"/>
    <w:autoRedefine/>
    <w:qFormat/>
    <w:uiPriority w:val="0"/>
    <w:pPr>
      <w:keepNext w:val="0"/>
      <w:keepLines w:val="0"/>
      <w:widowControl/>
      <w:numPr>
        <w:ilvl w:val="0"/>
        <w:numId w:val="10"/>
      </w:numPr>
      <w:tabs>
        <w:tab w:val="left" w:pos="993"/>
      </w:tabs>
      <w:wordWrap w:val="0"/>
      <w:topLinePunct/>
      <w:adjustRightInd w:val="0"/>
      <w:snapToGrid w:val="0"/>
      <w:spacing w:before="0" w:after="120" w:afterLines="50" w:line="360" w:lineRule="auto"/>
    </w:pPr>
    <w:rPr>
      <w:rFonts w:ascii="黑体" w:hAnsi="黑体"/>
      <w:bCs w:val="0"/>
      <w:kern w:val="0"/>
      <w:sz w:val="28"/>
      <w:szCs w:val="20"/>
    </w:rPr>
  </w:style>
  <w:style w:type="paragraph" w:customStyle="1" w:styleId="992">
    <w:name w:val="样式8"/>
    <w:basedOn w:val="1"/>
    <w:autoRedefine/>
    <w:qFormat/>
    <w:uiPriority w:val="0"/>
    <w:pPr>
      <w:wordWrap w:val="0"/>
      <w:topLinePunct/>
      <w:autoSpaceDE w:val="0"/>
      <w:autoSpaceDN w:val="0"/>
      <w:adjustRightInd w:val="0"/>
      <w:ind w:left="1274" w:leftChars="531" w:firstLine="2"/>
      <w:textAlignment w:val="auto"/>
    </w:pPr>
    <w:rPr>
      <w:rFonts w:ascii="宋体" w:hAnsi="宋体"/>
      <w:bCs/>
      <w:kern w:val="0"/>
      <w:sz w:val="24"/>
      <w:szCs w:val="20"/>
    </w:rPr>
  </w:style>
  <w:style w:type="paragraph" w:customStyle="1" w:styleId="993">
    <w:name w:val="专用标题2"/>
    <w:basedOn w:val="3"/>
    <w:next w:val="1"/>
    <w:autoRedefine/>
    <w:qFormat/>
    <w:uiPriority w:val="0"/>
    <w:pPr>
      <w:keepNext w:val="0"/>
      <w:keepLines w:val="0"/>
      <w:widowControl/>
      <w:tabs>
        <w:tab w:val="left" w:pos="993"/>
      </w:tabs>
      <w:adjustRightInd w:val="0"/>
      <w:snapToGrid w:val="0"/>
      <w:spacing w:before="0" w:after="120" w:afterLines="50" w:line="360" w:lineRule="auto"/>
    </w:pPr>
    <w:rPr>
      <w:rFonts w:ascii="宋体" w:hAnsi="宋体" w:eastAsia="宋体" w:cs="Times"/>
      <w:bCs w:val="0"/>
      <w:kern w:val="0"/>
      <w:sz w:val="28"/>
      <w:szCs w:val="20"/>
    </w:rPr>
  </w:style>
  <w:style w:type="paragraph" w:customStyle="1" w:styleId="994">
    <w:name w:val="通用标题4"/>
    <w:next w:val="1"/>
    <w:autoRedefine/>
    <w:qFormat/>
    <w:uiPriority w:val="0"/>
    <w:pPr>
      <w:numPr>
        <w:ilvl w:val="2"/>
        <w:numId w:val="3"/>
      </w:numPr>
      <w:tabs>
        <w:tab w:val="left" w:pos="851"/>
      </w:tabs>
      <w:adjustRightInd w:val="0"/>
      <w:snapToGrid w:val="0"/>
      <w:spacing w:after="120" w:afterLines="50" w:line="360" w:lineRule="auto"/>
      <w:jc w:val="both"/>
      <w:outlineLvl w:val="3"/>
    </w:pPr>
    <w:rPr>
      <w:rFonts w:ascii="宋体" w:hAnsi="宋体" w:eastAsia="宋体" w:cs="Times New Roman"/>
      <w:kern w:val="2"/>
      <w:sz w:val="24"/>
      <w:szCs w:val="21"/>
      <w:lang w:val="en-US" w:eastAsia="zh-CN" w:bidi="ar-SA"/>
    </w:rPr>
  </w:style>
  <w:style w:type="paragraph" w:customStyle="1" w:styleId="995">
    <w:name w:val="通用标题5"/>
    <w:autoRedefine/>
    <w:qFormat/>
    <w:uiPriority w:val="0"/>
    <w:pPr>
      <w:widowControl w:val="0"/>
      <w:numPr>
        <w:ilvl w:val="3"/>
        <w:numId w:val="3"/>
      </w:numPr>
      <w:tabs>
        <w:tab w:val="left" w:pos="1134"/>
      </w:tabs>
      <w:autoSpaceDE w:val="0"/>
      <w:autoSpaceDN w:val="0"/>
      <w:adjustRightInd w:val="0"/>
      <w:snapToGrid w:val="0"/>
      <w:spacing w:after="120" w:afterLines="50" w:line="360" w:lineRule="auto"/>
      <w:jc w:val="both"/>
    </w:pPr>
    <w:rPr>
      <w:rFonts w:ascii="宋体" w:hAnsi="宋体" w:eastAsia="宋体" w:cs="Times New Roman"/>
      <w:kern w:val="2"/>
      <w:sz w:val="24"/>
      <w:szCs w:val="21"/>
      <w:lang w:val="en-US" w:eastAsia="zh-CN" w:bidi="ar-SA"/>
    </w:rPr>
  </w:style>
  <w:style w:type="paragraph" w:customStyle="1" w:styleId="996">
    <w:name w:val="Default"/>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997">
    <w:name w:val="Main Title"/>
    <w:next w:val="1"/>
    <w:autoRedefine/>
    <w:qFormat/>
    <w:uiPriority w:val="0"/>
    <w:pPr>
      <w:adjustRightInd w:val="0"/>
      <w:snapToGrid w:val="0"/>
      <w:spacing w:after="120" w:afterLines="50" w:line="360" w:lineRule="auto"/>
      <w:jc w:val="center"/>
    </w:pPr>
    <w:rPr>
      <w:rFonts w:ascii="黑体" w:hAnsi="黑体" w:eastAsia="黑体" w:cs="Times New Roman"/>
      <w:b/>
      <w:kern w:val="2"/>
      <w:sz w:val="36"/>
      <w:szCs w:val="22"/>
      <w:lang w:val="zh-CN" w:eastAsia="zh-CN" w:bidi="ar-SA"/>
    </w:rPr>
  </w:style>
  <w:style w:type="table" w:customStyle="1" w:styleId="998">
    <w:name w:val="网格型1"/>
    <w:basedOn w:val="45"/>
    <w:autoRedefine/>
    <w:qFormat/>
    <w:uiPriority w:val="39"/>
    <w:rPr>
      <w:rFonts w:eastAsia="Times New Roman"/>
      <w:kern w:val="2"/>
      <w:sz w:val="21"/>
      <w:szCs w:val="21"/>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image" Target="media/image1.png"/><Relationship Id="rId16" Type="http://schemas.openxmlformats.org/officeDocument/2006/relationships/theme" Target="theme/theme1.xml"/><Relationship Id="rId15" Type="http://schemas.openxmlformats.org/officeDocument/2006/relationships/footer" Target="footer10.xml"/><Relationship Id="rId14" Type="http://schemas.openxmlformats.org/officeDocument/2006/relationships/footer" Target="footer9.xml"/><Relationship Id="rId13" Type="http://schemas.openxmlformats.org/officeDocument/2006/relationships/header" Target="header3.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3078"/>
    <customShpInfo spid="_x0000_s3077"/>
    <customShpInfo spid="_x0000_s3075"/>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微软公司</Company>
  <Pages>249</Pages>
  <Words>4551</Words>
  <Characters>11336</Characters>
  <Lines>1059</Lines>
  <Paragraphs>298</Paragraphs>
  <TotalTime>0</TotalTime>
  <ScaleCrop>false</ScaleCrop>
  <LinksUpToDate>false</LinksUpToDate>
  <CharactersWithSpaces>11952</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2020-09-21T02:02:00Z</dcterms:created>
  <dc:creator>Administrator</dc:creator>
  <cp:lastModifiedBy>Administrator</cp:lastModifiedBy>
  <cp:lastPrinted>2020-09-17T08:35:00Z</cp:lastPrinted>
  <dcterms:modified xsi:type="dcterms:W3CDTF">2025-06-10T01:30:39Z</dcterms:modified>
  <dc:title>大同市老年大学暨老干部活动中心项目工程总承包</dc:title>
  <cp:revision>28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D1C1299A2F5647E1BF34297F935D7B3E</vt:lpwstr>
  </property>
  <property fmtid="{D5CDD505-2E9C-101B-9397-08002B2CF9AE}" pid="4" name="KSOTemplateDocerSaveRecord">
    <vt:lpwstr>eyJoZGlkIjoiZTQ3MzQ1ZDFiZDQ5ZjA0NzE5NDc5ZjRlYWVhMWNjZDIifQ==</vt:lpwstr>
  </property>
</Properties>
</file>