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8-2</w:t>
      </w:r>
    </w:p>
    <w:p>
      <w:pPr>
        <w:spacing w:after="0" w:line="480" w:lineRule="auto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更换项目班子人员基本情况</w:t>
      </w:r>
    </w:p>
    <w:tbl>
      <w:tblPr>
        <w:tblStyle w:val="2"/>
        <w:tblW w:w="9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93"/>
        <w:gridCol w:w="858"/>
        <w:gridCol w:w="1276"/>
        <w:gridCol w:w="992"/>
        <w:gridCol w:w="828"/>
        <w:gridCol w:w="19"/>
        <w:gridCol w:w="142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建设单位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承建工程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工程地址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工程范围</w:t>
            </w:r>
          </w:p>
        </w:tc>
        <w:tc>
          <w:tcPr>
            <w:tcW w:w="7538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工程规模</w:t>
            </w:r>
          </w:p>
        </w:tc>
        <w:tc>
          <w:tcPr>
            <w:tcW w:w="397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结构/层数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承包时间</w:t>
            </w:r>
          </w:p>
        </w:tc>
        <w:tc>
          <w:tcPr>
            <w:tcW w:w="397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开竣工日</w:t>
            </w:r>
          </w:p>
        </w:tc>
        <w:tc>
          <w:tcPr>
            <w:tcW w:w="397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当前进度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90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更换项目班子人员花名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执业资格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换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</w:p>
        </w:tc>
        <w:tc>
          <w:tcPr>
            <w:tcW w:w="8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重病或重伤不能履职；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限制人身自由的刑事处罚；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行政违法违规被停止执（从）业；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因质量安全事故被任职企业认定不称职；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被发包人认定其履职不力；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离职或调离本企业；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个人证书失效；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死亡。</w:t>
            </w:r>
          </w:p>
        </w:tc>
      </w:tr>
    </w:tbl>
    <w:p>
      <w:bookmarkStart w:id="0" w:name="_GoBack"/>
      <w:bookmarkEnd w:id="0"/>
    </w:p>
    <w:sectPr>
      <w:pgSz w:w="11906" w:h="16838"/>
      <w:pgMar w:top="1000" w:right="1080" w:bottom="10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7E53"/>
    <w:rsid w:val="0E9A4974"/>
    <w:rsid w:val="18E9555A"/>
    <w:rsid w:val="1D4C2AE8"/>
    <w:rsid w:val="2D1C0900"/>
    <w:rsid w:val="37D9267F"/>
    <w:rsid w:val="39F37E53"/>
    <w:rsid w:val="574D4D9C"/>
    <w:rsid w:val="62007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2017-10-18T14:30:00Z</dcterms:created>
  <dc:creator>Administrator</dc:creator>
  <cp:lastModifiedBy>聚宝盆</cp:lastModifiedBy>
  <cp:lastPrinted>2017-10-23T02:24:00Z</cp:lastPrinted>
  <dcterms:modified xsi:type="dcterms:W3CDTF">2019-05-24T02:52:25Z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